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516699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66995" cy="38735"/>
                    </a:xfrm>
                    <a:prstGeom prst="rect">
                      <a:avLst/>
                    </a:prstGeom>
                    <a:noFill/>
                  </pic:spPr>
                </pic:pic>
              </a:graphicData>
            </a:graphic>
          </wp:anchor>
        </w:drawing>
        <w:t>SECURITIES AND EXCHANGE COMMISSION</w:t>
      </w:r>
    </w:p>
    <w:p>
      <w:pPr>
        <w:spacing w:after="0" w:line="15"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Washington, D. C. 20549</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FORM 10-K</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580" w:right="2139" w:hanging="572"/>
        <w:spacing w:after="0" w:line="268"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118" w:lineRule="exact"/>
        <w:rPr>
          <w:sz w:val="24"/>
          <w:szCs w:val="24"/>
          <w:color w:val="auto"/>
        </w:rPr>
      </w:pPr>
    </w:p>
    <w:p>
      <w:pPr>
        <w:ind w:left="580"/>
        <w:spacing w:after="0"/>
        <w:rPr>
          <w:sz w:val="20"/>
          <w:szCs w:val="20"/>
          <w:color w:val="auto"/>
        </w:rPr>
      </w:pPr>
      <w:r>
        <w:rPr>
          <w:rFonts w:ascii="Arial" w:cs="Arial" w:eastAsia="Arial" w:hAnsi="Arial"/>
          <w:sz w:val="18"/>
          <w:szCs w:val="18"/>
          <w:color w:val="auto"/>
        </w:rPr>
        <w:t>For the fiscal year ended December 31, 2005</w:t>
      </w:r>
    </w:p>
    <w:p>
      <w:pPr>
        <w:spacing w:after="0" w:line="158" w:lineRule="exact"/>
        <w:rPr>
          <w:sz w:val="24"/>
          <w:szCs w:val="24"/>
          <w:color w:val="auto"/>
        </w:rPr>
      </w:pPr>
    </w:p>
    <w:p>
      <w:pPr>
        <w:ind w:left="580" w:right="2219" w:hanging="572"/>
        <w:spacing w:after="0" w:line="268"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18"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For the transition period from __________ to __________</w:t>
      </w:r>
    </w:p>
    <w:p>
      <w:pPr>
        <w:spacing w:after="0" w:line="225"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Commission File No.: 000-09881</w:t>
      </w:r>
    </w:p>
    <w:p>
      <w:pPr>
        <w:spacing w:after="0" w:line="225"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SHENANDOAH TELECOMMUNICATIONS COMPANY</w:t>
      </w:r>
    </w:p>
    <w:p>
      <w:pPr>
        <w:spacing w:after="0" w:line="15"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540" w:type="dxa"/>
        <w:tblCellMar>
          <w:top w:w="0" w:type="dxa"/>
          <w:left w:w="0" w:type="dxa"/>
          <w:bottom w:w="0" w:type="dxa"/>
          <w:right w:w="0" w:type="dxa"/>
        </w:tblCellMar>
      </w:tblPr>
      <w:tr>
        <w:trPr>
          <w:trHeight w:val="216"/>
        </w:trPr>
        <w:tc>
          <w:tcPr>
            <w:tcW w:w="3580" w:type="dxa"/>
            <w:vAlign w:val="bottom"/>
          </w:tcPr>
          <w:p>
            <w:pPr>
              <w:jc w:val="center"/>
              <w:ind w:right="732"/>
              <w:spacing w:after="0"/>
              <w:rPr>
                <w:sz w:val="20"/>
                <w:szCs w:val="20"/>
                <w:color w:val="auto"/>
              </w:rPr>
            </w:pPr>
            <w:r>
              <w:rPr>
                <w:rFonts w:ascii="Arial" w:cs="Arial" w:eastAsia="Arial" w:hAnsi="Arial"/>
                <w:sz w:val="18"/>
                <w:szCs w:val="18"/>
                <w:color w:val="auto"/>
              </w:rPr>
              <w:t>VIRGINIA</w:t>
            </w:r>
          </w:p>
        </w:tc>
        <w:tc>
          <w:tcPr>
            <w:tcW w:w="3340" w:type="dxa"/>
            <w:vAlign w:val="bottom"/>
          </w:tcPr>
          <w:p>
            <w:pPr>
              <w:jc w:val="right"/>
              <w:ind w:right="772"/>
              <w:spacing w:after="0"/>
              <w:rPr>
                <w:sz w:val="20"/>
                <w:szCs w:val="20"/>
                <w:color w:val="auto"/>
              </w:rPr>
            </w:pPr>
            <w:r>
              <w:rPr>
                <w:rFonts w:ascii="Arial" w:cs="Arial" w:eastAsia="Arial" w:hAnsi="Arial"/>
                <w:sz w:val="18"/>
                <w:szCs w:val="18"/>
                <w:color w:val="auto"/>
              </w:rPr>
              <w:t>54-1162807</w:t>
            </w:r>
          </w:p>
        </w:tc>
      </w:tr>
      <w:tr>
        <w:trPr>
          <w:trHeight w:val="216"/>
        </w:trPr>
        <w:tc>
          <w:tcPr>
            <w:tcW w:w="3580" w:type="dxa"/>
            <w:vAlign w:val="bottom"/>
          </w:tcPr>
          <w:p>
            <w:pPr>
              <w:jc w:val="center"/>
              <w:ind w:right="732"/>
              <w:spacing w:after="0"/>
              <w:rPr>
                <w:sz w:val="20"/>
                <w:szCs w:val="20"/>
                <w:color w:val="auto"/>
              </w:rPr>
            </w:pPr>
            <w:r>
              <w:rPr>
                <w:rFonts w:ascii="Arial" w:cs="Arial" w:eastAsia="Arial" w:hAnsi="Arial"/>
                <w:sz w:val="18"/>
                <w:szCs w:val="18"/>
                <w:color w:val="auto"/>
                <w:w w:val="90"/>
              </w:rPr>
              <w:t>(State or other jurisdiction of</w:t>
            </w:r>
          </w:p>
        </w:tc>
        <w:tc>
          <w:tcPr>
            <w:tcW w:w="3340" w:type="dxa"/>
            <w:vAlign w:val="bottom"/>
          </w:tcPr>
          <w:p>
            <w:pPr>
              <w:jc w:val="center"/>
              <w:ind w:left="692"/>
              <w:spacing w:after="0"/>
              <w:rPr>
                <w:sz w:val="20"/>
                <w:szCs w:val="20"/>
                <w:color w:val="auto"/>
              </w:rPr>
            </w:pPr>
            <w:r>
              <w:rPr>
                <w:rFonts w:ascii="Arial" w:cs="Arial" w:eastAsia="Arial" w:hAnsi="Arial"/>
                <w:sz w:val="18"/>
                <w:szCs w:val="18"/>
                <w:color w:val="auto"/>
                <w:w w:val="92"/>
              </w:rPr>
              <w:t>(I.R.S. Employer Identification No.)</w:t>
            </w:r>
          </w:p>
        </w:tc>
      </w:tr>
      <w:tr>
        <w:trPr>
          <w:trHeight w:val="222"/>
        </w:trPr>
        <w:tc>
          <w:tcPr>
            <w:tcW w:w="3580" w:type="dxa"/>
            <w:vAlign w:val="bottom"/>
          </w:tcPr>
          <w:p>
            <w:pPr>
              <w:jc w:val="center"/>
              <w:ind w:right="732"/>
              <w:spacing w:after="0"/>
              <w:rPr>
                <w:sz w:val="20"/>
                <w:szCs w:val="20"/>
                <w:color w:val="auto"/>
              </w:rPr>
            </w:pPr>
            <w:r>
              <w:rPr>
                <w:rFonts w:ascii="Arial" w:cs="Arial" w:eastAsia="Arial" w:hAnsi="Arial"/>
                <w:sz w:val="18"/>
                <w:szCs w:val="18"/>
                <w:color w:val="auto"/>
                <w:w w:val="90"/>
              </w:rPr>
              <w:t>incorporation or organization)</w:t>
            </w:r>
          </w:p>
        </w:tc>
        <w:tc>
          <w:tcPr>
            <w:tcW w:w="3340" w:type="dxa"/>
            <w:vAlign w:val="bottom"/>
          </w:tcPr>
          <w:p>
            <w:pPr>
              <w:spacing w:after="0"/>
              <w:rPr>
                <w:sz w:val="19"/>
                <w:szCs w:val="19"/>
                <w:color w:val="auto"/>
              </w:rPr>
            </w:pPr>
          </w:p>
        </w:tc>
      </w:tr>
      <w:tr>
        <w:trPr>
          <w:trHeight w:val="466"/>
        </w:trPr>
        <w:tc>
          <w:tcPr>
            <w:tcW w:w="3580" w:type="dxa"/>
            <w:vAlign w:val="bottom"/>
          </w:tcPr>
          <w:p>
            <w:pPr>
              <w:jc w:val="center"/>
              <w:ind w:right="712"/>
              <w:spacing w:after="0"/>
              <w:rPr>
                <w:sz w:val="20"/>
                <w:szCs w:val="20"/>
                <w:color w:val="auto"/>
              </w:rPr>
            </w:pPr>
            <w:r>
              <w:rPr>
                <w:rFonts w:ascii="Arial" w:cs="Arial" w:eastAsia="Arial" w:hAnsi="Arial"/>
                <w:sz w:val="18"/>
                <w:szCs w:val="18"/>
                <w:color w:val="auto"/>
                <w:w w:val="89"/>
              </w:rPr>
              <w:t>500 Shentel Way, Edinburg,Virginia</w:t>
            </w:r>
          </w:p>
        </w:tc>
        <w:tc>
          <w:tcPr>
            <w:tcW w:w="3340" w:type="dxa"/>
            <w:vAlign w:val="bottom"/>
          </w:tcPr>
          <w:p>
            <w:pPr>
              <w:jc w:val="right"/>
              <w:ind w:right="972"/>
              <w:spacing w:after="0"/>
              <w:rPr>
                <w:sz w:val="20"/>
                <w:szCs w:val="20"/>
                <w:color w:val="auto"/>
              </w:rPr>
            </w:pPr>
            <w:r>
              <w:rPr>
                <w:rFonts w:ascii="Arial" w:cs="Arial" w:eastAsia="Arial" w:hAnsi="Arial"/>
                <w:sz w:val="18"/>
                <w:szCs w:val="18"/>
                <w:color w:val="auto"/>
              </w:rPr>
              <w:t>22824</w:t>
            </w:r>
          </w:p>
        </w:tc>
      </w:tr>
      <w:tr>
        <w:trPr>
          <w:trHeight w:val="222"/>
        </w:trPr>
        <w:tc>
          <w:tcPr>
            <w:tcW w:w="3580" w:type="dxa"/>
            <w:vAlign w:val="bottom"/>
          </w:tcPr>
          <w:p>
            <w:pPr>
              <w:jc w:val="center"/>
              <w:ind w:right="712"/>
              <w:spacing w:after="0"/>
              <w:rPr>
                <w:sz w:val="20"/>
                <w:szCs w:val="20"/>
                <w:color w:val="auto"/>
              </w:rPr>
            </w:pPr>
            <w:r>
              <w:rPr>
                <w:rFonts w:ascii="Arial" w:cs="Arial" w:eastAsia="Arial" w:hAnsi="Arial"/>
                <w:sz w:val="18"/>
                <w:szCs w:val="18"/>
                <w:color w:val="auto"/>
                <w:w w:val="90"/>
              </w:rPr>
              <w:t>(Address of principal executive offices)</w:t>
            </w:r>
          </w:p>
        </w:tc>
        <w:tc>
          <w:tcPr>
            <w:tcW w:w="3340" w:type="dxa"/>
            <w:vAlign w:val="bottom"/>
          </w:tcPr>
          <w:p>
            <w:pPr>
              <w:jc w:val="center"/>
              <w:ind w:left="692"/>
              <w:spacing w:after="0"/>
              <w:rPr>
                <w:sz w:val="20"/>
                <w:szCs w:val="20"/>
                <w:color w:val="auto"/>
              </w:rPr>
            </w:pPr>
            <w:r>
              <w:rPr>
                <w:rFonts w:ascii="Arial" w:cs="Arial" w:eastAsia="Arial" w:hAnsi="Arial"/>
                <w:sz w:val="18"/>
                <w:szCs w:val="18"/>
                <w:color w:val="auto"/>
                <w:w w:val="89"/>
              </w:rPr>
              <w:t>(Zip Code)</w:t>
            </w:r>
          </w:p>
        </w:tc>
      </w:tr>
    </w:tbl>
    <w:p>
      <w:pPr>
        <w:spacing w:after="0" w:line="210"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(540) 984-4141</w:t>
      </w:r>
    </w:p>
    <w:p>
      <w:pPr>
        <w:spacing w:after="0" w:line="15"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Not Applicable</w:t>
      </w:r>
    </w:p>
    <w:p>
      <w:pPr>
        <w:spacing w:after="0" w:line="15"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144145</wp:posOffset>
            </wp:positionV>
            <wp:extent cx="1046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None</w:t>
      </w:r>
    </w:p>
    <w:p>
      <w:pPr>
        <w:spacing w:after="0" w:line="23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5"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Common Stock (No Par Value)</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51625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right="2319"/>
        <w:spacing w:after="0" w:line="268" w:lineRule="auto"/>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o No x</w:t>
      </w:r>
    </w:p>
    <w:p>
      <w:pPr>
        <w:spacing w:after="0" w:line="186" w:lineRule="exact"/>
        <w:rPr>
          <w:sz w:val="24"/>
          <w:szCs w:val="24"/>
          <w:color w:val="auto"/>
        </w:rPr>
      </w:pPr>
    </w:p>
    <w:p>
      <w:pPr>
        <w:jc w:val="both"/>
        <w:ind w:right="2159"/>
        <w:spacing w:after="0" w:line="268" w:lineRule="auto"/>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Exchange Act. Yes o No x</w:t>
      </w:r>
    </w:p>
    <w:p>
      <w:pPr>
        <w:spacing w:after="0" w:line="186" w:lineRule="exact"/>
        <w:rPr>
          <w:sz w:val="24"/>
          <w:szCs w:val="24"/>
          <w:color w:val="auto"/>
        </w:rPr>
      </w:pPr>
    </w:p>
    <w:p>
      <w:pPr>
        <w:ind w:right="2159"/>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97" w:lineRule="exact"/>
        <w:rPr>
          <w:sz w:val="24"/>
          <w:szCs w:val="24"/>
          <w:color w:val="auto"/>
        </w:rPr>
      </w:pPr>
    </w:p>
    <w:p>
      <w:pPr>
        <w:ind w:right="2299"/>
        <w:spacing w:after="0" w:line="30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61" w:lineRule="exact"/>
        <w:rPr>
          <w:sz w:val="24"/>
          <w:szCs w:val="24"/>
          <w:color w:val="auto"/>
        </w:rPr>
      </w:pPr>
    </w:p>
    <w:p>
      <w:pPr>
        <w:ind w:right="2239"/>
        <w:spacing w:after="0" w:line="370" w:lineRule="auto"/>
        <w:rPr>
          <w:sz w:val="20"/>
          <w:szCs w:val="20"/>
          <w:color w:val="auto"/>
        </w:rPr>
      </w:pPr>
      <w:r>
        <w:rPr>
          <w:rFonts w:ascii="Arial" w:cs="Arial" w:eastAsia="Arial" w:hAnsi="Arial"/>
          <w:sz w:val="15"/>
          <w:szCs w:val="15"/>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0219"/>
          </w:cols>
          <w:pgMar w:left="240" w:top="671" w:right="1440" w:bottom="1440" w:gutter="0" w:footer="0" w:header="0"/>
        </w:sectPr>
      </w:pPr>
    </w:p>
    <w:p>
      <w:pPr>
        <w:spacing w:after="0" w:line="116" w:lineRule="exact"/>
        <w:rPr>
          <w:sz w:val="24"/>
          <w:szCs w:val="24"/>
          <w:color w:val="auto"/>
        </w:rPr>
      </w:pPr>
    </w:p>
    <w:p>
      <w:pPr>
        <w:ind w:left="4020"/>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516699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66995" cy="38735"/>
                    </a:xfrm>
                    <a:prstGeom prst="rect">
                      <a:avLst/>
                    </a:prstGeom>
                    <a:noFill/>
                  </pic:spPr>
                </pic:pic>
              </a:graphicData>
            </a:graphic>
          </wp:anchor>
        </w:drawing>
      </w:r>
    </w:p>
    <w:p>
      <w:pPr>
        <w:sectPr>
          <w:pgSz w:w="11900" w:h="16838" w:orient="portrait"/>
          <w:cols w:equalWidth="0" w:num="1">
            <w:col w:w="10219"/>
          </w:cols>
          <w:pgMar w:left="240" w:top="671" w:right="1440" w:bottom="1440" w:gutter="0" w:footer="0" w:header="0"/>
          <w:type w:val="continuous"/>
        </w:sectPr>
      </w:pPr>
    </w:p>
    <w:bookmarkStart w:id="1" w:name="page2"/>
    <w:bookmarkEnd w:id="1"/>
    <w:p>
      <w:pPr>
        <w:ind w:left="620"/>
        <w:spacing w:after="0"/>
        <w:tabs>
          <w:tab w:leader="none" w:pos="3460" w:val="left"/>
          <w:tab w:leader="none" w:pos="588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x</w:t>
      </w:r>
      <w:r>
        <w:rPr>
          <w:sz w:val="20"/>
          <w:szCs w:val="20"/>
          <w:color w:val="auto"/>
        </w:rPr>
        <w:tab/>
      </w:r>
      <w:r>
        <w:rPr>
          <w:rFonts w:ascii="Arial" w:cs="Arial" w:eastAsia="Arial" w:hAnsi="Arial"/>
          <w:sz w:val="16"/>
          <w:szCs w:val="16"/>
          <w:color w:val="auto"/>
        </w:rPr>
        <w:t>Non-accelerated filer o</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3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Yes o</w:t>
        <w:tab/>
        <w:t>No x</w:t>
      </w:r>
    </w:p>
    <w:p>
      <w:pPr>
        <w:spacing w:after="0" w:line="219" w:lineRule="exact"/>
        <w:rPr>
          <w:sz w:val="20"/>
          <w:szCs w:val="20"/>
          <w:color w:val="auto"/>
        </w:rPr>
      </w:pPr>
    </w:p>
    <w:p>
      <w:pPr>
        <w:ind w:right="2139"/>
        <w:spacing w:after="0" w:line="259" w:lineRule="auto"/>
        <w:rPr>
          <w:sz w:val="20"/>
          <w:szCs w:val="20"/>
          <w:color w:val="auto"/>
        </w:rPr>
      </w:pPr>
      <w:r>
        <w:rPr>
          <w:rFonts w:ascii="Arial" w:cs="Arial" w:eastAsia="Arial" w:hAnsi="Arial"/>
          <w:sz w:val="18"/>
          <w:szCs w:val="18"/>
          <w:color w:val="auto"/>
        </w:rPr>
        <w:t>The aggregate market value of the registrant’s voting stock held by non-affiliates of the registrant at June 30, 2005, based on the closing price of such stock on the Nasdaq National Market on such date, was approximately $277,733,000.</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on February 28, 2006 was 7,699,122.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163195</wp:posOffset>
            </wp:positionV>
            <wp:extent cx="10464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DOCUMENTS INCORPORATED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Portions of the following documents are incorporated by reference in this Form 10-K as indicated herein: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00" w:type="dxa"/>
            <w:vAlign w:val="bottom"/>
          </w:tcPr>
          <w:p>
            <w:pPr>
              <w:ind w:left="160"/>
              <w:spacing w:after="0"/>
              <w:rPr>
                <w:sz w:val="20"/>
                <w:szCs w:val="20"/>
                <w:color w:val="auto"/>
              </w:rPr>
            </w:pPr>
            <w:r>
              <w:rPr>
                <w:rFonts w:ascii="Arial" w:cs="Arial" w:eastAsia="Arial" w:hAnsi="Arial"/>
                <w:sz w:val="14"/>
                <w:szCs w:val="14"/>
                <w:b w:val="1"/>
                <w:bCs w:val="1"/>
                <w:color w:val="auto"/>
              </w:rPr>
              <w:t>Document</w:t>
            </w:r>
          </w:p>
        </w:tc>
        <w:tc>
          <w:tcPr>
            <w:tcW w:w="4240" w:type="dxa"/>
            <w:vAlign w:val="bottom"/>
          </w:tcPr>
          <w:p>
            <w:pPr>
              <w:ind w:left="320"/>
              <w:spacing w:after="0"/>
              <w:rPr>
                <w:sz w:val="20"/>
                <w:szCs w:val="20"/>
                <w:color w:val="auto"/>
              </w:rPr>
            </w:pPr>
            <w:r>
              <w:rPr>
                <w:rFonts w:ascii="Arial" w:cs="Arial" w:eastAsia="Arial" w:hAnsi="Arial"/>
                <w:sz w:val="14"/>
                <w:szCs w:val="14"/>
                <w:b w:val="1"/>
                <w:bCs w:val="1"/>
                <w:color w:val="auto"/>
              </w:rPr>
              <w:t>Part of Form 10-K into which incorporated</w:t>
            </w:r>
          </w:p>
        </w:tc>
      </w:tr>
      <w:tr>
        <w:trPr>
          <w:trHeight w:val="95"/>
        </w:trPr>
        <w:tc>
          <w:tcPr>
            <w:tcW w:w="3900" w:type="dxa"/>
            <w:vAlign w:val="bottom"/>
            <w:tcBorders>
              <w:bottom w:val="single" w:sz="8" w:color="808080"/>
            </w:tcBorders>
          </w:tcPr>
          <w:p>
            <w:pPr>
              <w:spacing w:after="0"/>
              <w:rPr>
                <w:sz w:val="8"/>
                <w:szCs w:val="8"/>
                <w:color w:val="auto"/>
              </w:rPr>
            </w:pPr>
          </w:p>
        </w:tc>
        <w:tc>
          <w:tcPr>
            <w:tcW w:w="4240" w:type="dxa"/>
            <w:vAlign w:val="bottom"/>
            <w:tcBorders>
              <w:bottom w:val="single" w:sz="8" w:color="808080"/>
            </w:tcBorders>
          </w:tcPr>
          <w:p>
            <w:pPr>
              <w:spacing w:after="0"/>
              <w:rPr>
                <w:sz w:val="8"/>
                <w:szCs w:val="8"/>
                <w:color w:val="auto"/>
              </w:rPr>
            </w:pPr>
          </w:p>
        </w:tc>
      </w:tr>
      <w:tr>
        <w:trPr>
          <w:trHeight w:val="309"/>
        </w:trPr>
        <w:tc>
          <w:tcPr>
            <w:tcW w:w="3900" w:type="dxa"/>
            <w:vAlign w:val="bottom"/>
          </w:tcPr>
          <w:p>
            <w:pPr>
              <w:spacing w:after="0"/>
              <w:rPr>
                <w:sz w:val="20"/>
                <w:szCs w:val="20"/>
                <w:color w:val="auto"/>
              </w:rPr>
            </w:pPr>
            <w:r>
              <w:rPr>
                <w:rFonts w:ascii="Arial" w:cs="Arial" w:eastAsia="Arial" w:hAnsi="Arial"/>
                <w:sz w:val="18"/>
                <w:szCs w:val="18"/>
                <w:color w:val="auto"/>
                <w:w w:val="91"/>
              </w:rPr>
              <w:t>Proxy Statement relating to Registrant’s 2006 Annual</w:t>
            </w:r>
          </w:p>
        </w:tc>
        <w:tc>
          <w:tcPr>
            <w:tcW w:w="4240" w:type="dxa"/>
            <w:vAlign w:val="bottom"/>
          </w:tcPr>
          <w:p>
            <w:pPr>
              <w:ind w:left="320"/>
              <w:spacing w:after="0"/>
              <w:rPr>
                <w:sz w:val="20"/>
                <w:szCs w:val="20"/>
                <w:color w:val="auto"/>
              </w:rPr>
            </w:pPr>
            <w:r>
              <w:rPr>
                <w:rFonts w:ascii="Arial" w:cs="Arial" w:eastAsia="Arial" w:hAnsi="Arial"/>
                <w:sz w:val="18"/>
                <w:szCs w:val="18"/>
                <w:color w:val="auto"/>
              </w:rPr>
              <w:t>Part III</w:t>
            </w: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Meeting of Shareholders</w:t>
            </w:r>
          </w:p>
        </w:tc>
        <w:tc>
          <w:tcPr>
            <w:tcW w:w="4240" w:type="dxa"/>
            <w:vAlign w:val="bottom"/>
          </w:tcPr>
          <w:p>
            <w:pPr>
              <w:spacing w:after="0"/>
              <w:rPr>
                <w:sz w:val="19"/>
                <w:szCs w:val="19"/>
                <w:color w:val="auto"/>
              </w:rPr>
            </w:pPr>
          </w:p>
        </w:tc>
      </w:tr>
      <w:tr>
        <w:trPr>
          <w:trHeight w:val="110"/>
        </w:trPr>
        <w:tc>
          <w:tcPr>
            <w:tcW w:w="3900" w:type="dxa"/>
            <w:vAlign w:val="bottom"/>
            <w:tcBorders>
              <w:bottom w:val="single" w:sz="8" w:color="808080"/>
            </w:tcBorders>
          </w:tcPr>
          <w:p>
            <w:pPr>
              <w:spacing w:after="0"/>
              <w:rPr>
                <w:sz w:val="9"/>
                <w:szCs w:val="9"/>
                <w:color w:val="auto"/>
              </w:rPr>
            </w:pPr>
          </w:p>
        </w:tc>
        <w:tc>
          <w:tcPr>
            <w:tcW w:w="4240" w:type="dxa"/>
            <w:vAlign w:val="bottom"/>
            <w:tcBorders>
              <w:bottom w:val="single" w:sz="8" w:color="808080"/>
            </w:tcBorders>
          </w:tcPr>
          <w:p>
            <w:pPr>
              <w:spacing w:after="0"/>
              <w:rPr>
                <w:sz w:val="9"/>
                <w:szCs w:val="9"/>
                <w:color w:val="auto"/>
              </w:rPr>
            </w:pPr>
          </w:p>
        </w:tc>
      </w:tr>
      <w:tr>
        <w:trPr>
          <w:trHeight w:val="532"/>
        </w:trPr>
        <w:tc>
          <w:tcPr>
            <w:tcW w:w="3900" w:type="dxa"/>
            <w:vAlign w:val="bottom"/>
          </w:tcPr>
          <w:p>
            <w:pPr>
              <w:spacing w:after="0"/>
              <w:rPr>
                <w:sz w:val="24"/>
                <w:szCs w:val="24"/>
                <w:color w:val="auto"/>
              </w:rPr>
            </w:pPr>
          </w:p>
        </w:tc>
        <w:tc>
          <w:tcPr>
            <w:tcW w:w="4240" w:type="dxa"/>
            <w:vAlign w:val="bottom"/>
          </w:tcPr>
          <w:p>
            <w:pPr>
              <w:jc w:val="right"/>
              <w:ind w:right="3959"/>
              <w:spacing w:after="0"/>
              <w:rPr>
                <w:sz w:val="20"/>
                <w:szCs w:val="20"/>
                <w:color w:val="auto"/>
              </w:rPr>
            </w:pPr>
            <w:r>
              <w:rPr>
                <w:rFonts w:ascii="Arial" w:cs="Arial" w:eastAsia="Arial" w:hAnsi="Arial"/>
                <w:sz w:val="18"/>
                <w:szCs w:val="18"/>
                <w:color w:val="auto"/>
              </w:rPr>
              <w:t>2</w:t>
            </w:r>
          </w:p>
        </w:tc>
      </w:tr>
      <w:tr>
        <w:trPr>
          <w:trHeight w:val="215"/>
        </w:trPr>
        <w:tc>
          <w:tcPr>
            <w:tcW w:w="390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74"/>
        </w:trPr>
        <w:tc>
          <w:tcPr>
            <w:tcW w:w="3900" w:type="dxa"/>
            <w:vAlign w:val="bottom"/>
            <w:shd w:val="clear" w:color="auto" w:fill="808080"/>
          </w:tcPr>
          <w:p>
            <w:pPr>
              <w:spacing w:after="0"/>
              <w:rPr>
                <w:sz w:val="6"/>
                <w:szCs w:val="6"/>
                <w:color w:val="auto"/>
              </w:rPr>
            </w:pPr>
          </w:p>
        </w:tc>
        <w:tc>
          <w:tcPr>
            <w:tcW w:w="4240" w:type="dxa"/>
            <w:vAlign w:val="bottom"/>
            <w:shd w:val="clear" w:color="auto" w:fill="808080"/>
          </w:tcPr>
          <w:p>
            <w:pPr>
              <w:spacing w:after="0"/>
              <w:rPr>
                <w:sz w:val="6"/>
                <w:szCs w:val="6"/>
                <w:color w:val="auto"/>
              </w:rPr>
            </w:pPr>
          </w:p>
        </w:tc>
      </w:tr>
    </w:tbl>
    <w:p>
      <w:pPr>
        <w:sectPr>
          <w:pgSz w:w="11900" w:h="16838" w:orient="portrait"/>
          <w:cols w:equalWidth="0" w:num="1">
            <w:col w:w="10219"/>
          </w:cols>
          <w:pgMar w:left="240" w:top="388"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360" w:type="dxa"/>
            <w:vAlign w:val="bottom"/>
            <w:gridSpan w:val="5"/>
          </w:tcPr>
          <w:p>
            <w:pPr>
              <w:jc w:val="center"/>
              <w:ind w:right="320"/>
              <w:spacing w:after="0"/>
              <w:rPr>
                <w:sz w:val="20"/>
                <w:szCs w:val="20"/>
                <w:color w:val="auto"/>
              </w:rPr>
            </w:pPr>
            <w:r>
              <w:rPr>
                <w:rFonts w:ascii="Arial" w:cs="Arial" w:eastAsia="Arial" w:hAnsi="Arial"/>
                <w:sz w:val="18"/>
                <w:szCs w:val="18"/>
                <w:color w:val="auto"/>
                <w:w w:val="95"/>
              </w:rPr>
              <w:t>SHENANDOAH TELECOMMUNICATIONS COMPANY</w:t>
            </w:r>
          </w:p>
        </w:tc>
        <w:tc>
          <w:tcPr>
            <w:tcW w:w="1200" w:type="dxa"/>
            <w:vAlign w:val="bottom"/>
          </w:tcPr>
          <w:p>
            <w:pPr>
              <w:spacing w:after="0"/>
              <w:rPr>
                <w:sz w:val="18"/>
                <w:szCs w:val="18"/>
                <w:color w:val="auto"/>
              </w:rPr>
            </w:pPr>
          </w:p>
        </w:tc>
      </w:tr>
      <w:tr>
        <w:trPr>
          <w:trHeight w:val="228"/>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40" w:type="dxa"/>
            <w:vAlign w:val="bottom"/>
            <w:gridSpan w:val="3"/>
          </w:tcPr>
          <w:p>
            <w:pPr>
              <w:jc w:val="center"/>
              <w:ind w:right="1440"/>
              <w:spacing w:after="0"/>
              <w:rPr>
                <w:sz w:val="20"/>
                <w:szCs w:val="20"/>
                <w:color w:val="auto"/>
              </w:rPr>
            </w:pPr>
            <w:r>
              <w:rPr>
                <w:rFonts w:ascii="Arial" w:cs="Arial" w:eastAsia="Arial" w:hAnsi="Arial"/>
                <w:sz w:val="18"/>
                <w:szCs w:val="18"/>
                <w:b w:val="1"/>
                <w:bCs w:val="1"/>
                <w:color w:val="auto"/>
                <w:w w:val="96"/>
              </w:rPr>
              <w:t>TABLE OF CONTENTS</w:t>
            </w:r>
          </w:p>
        </w:tc>
        <w:tc>
          <w:tcPr>
            <w:tcW w:w="1200" w:type="dxa"/>
            <w:vAlign w:val="bottom"/>
          </w:tcPr>
          <w:p>
            <w:pPr>
              <w:spacing w:after="0"/>
              <w:rPr>
                <w:sz w:val="19"/>
                <w:szCs w:val="19"/>
                <w:color w:val="auto"/>
              </w:rPr>
            </w:pPr>
          </w:p>
        </w:tc>
      </w:tr>
      <w:tr>
        <w:trPr>
          <w:trHeight w:val="367"/>
        </w:trPr>
        <w:tc>
          <w:tcPr>
            <w:tcW w:w="580" w:type="dxa"/>
            <w:vAlign w:val="bottom"/>
            <w:gridSpan w:val="3"/>
          </w:tcPr>
          <w:p>
            <w:pPr>
              <w:spacing w:after="0"/>
              <w:rPr>
                <w:sz w:val="20"/>
                <w:szCs w:val="20"/>
                <w:color w:val="auto"/>
              </w:rPr>
            </w:pPr>
            <w:r>
              <w:rPr>
                <w:rFonts w:ascii="Arial" w:cs="Arial" w:eastAsia="Arial" w:hAnsi="Arial"/>
                <w:sz w:val="14"/>
                <w:szCs w:val="14"/>
                <w:b w:val="1"/>
                <w:bCs w:val="1"/>
                <w:color w:val="auto"/>
              </w:rPr>
              <w:t>Item</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00" w:type="dxa"/>
            <w:vAlign w:val="bottom"/>
          </w:tcPr>
          <w:p>
            <w:pPr>
              <w:ind w:left="820"/>
              <w:spacing w:after="0"/>
              <w:rPr>
                <w:sz w:val="20"/>
                <w:szCs w:val="20"/>
                <w:color w:val="auto"/>
              </w:rPr>
            </w:pPr>
            <w:r>
              <w:rPr>
                <w:rFonts w:ascii="Arial" w:cs="Arial" w:eastAsia="Arial" w:hAnsi="Arial"/>
                <w:sz w:val="14"/>
                <w:szCs w:val="14"/>
                <w:b w:val="1"/>
                <w:bCs w:val="1"/>
                <w:color w:val="auto"/>
              </w:rPr>
              <w:t>Page</w:t>
            </w:r>
          </w:p>
        </w:tc>
      </w:tr>
      <w:tr>
        <w:trPr>
          <w:trHeight w:val="174"/>
        </w:trPr>
        <w:tc>
          <w:tcPr>
            <w:tcW w:w="58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00" w:type="dxa"/>
            <w:vAlign w:val="bottom"/>
          </w:tcPr>
          <w:p>
            <w:pPr>
              <w:ind w:left="720"/>
              <w:spacing w:after="0"/>
              <w:rPr>
                <w:sz w:val="20"/>
                <w:szCs w:val="20"/>
                <w:color w:val="auto"/>
              </w:rPr>
            </w:pPr>
            <w:r>
              <w:rPr>
                <w:rFonts w:ascii="Arial" w:cs="Arial" w:eastAsia="Arial" w:hAnsi="Arial"/>
                <w:sz w:val="14"/>
                <w:szCs w:val="14"/>
                <w:b w:val="1"/>
                <w:bCs w:val="1"/>
                <w:color w:val="auto"/>
                <w:w w:val="86"/>
              </w:rPr>
              <w:t>Number</w:t>
            </w:r>
          </w:p>
        </w:tc>
      </w:tr>
      <w:tr>
        <w:trPr>
          <w:trHeight w:val="311"/>
        </w:trPr>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PART I</w:t>
              </w:r>
            </w:hyperlink>
          </w:p>
        </w:tc>
        <w:tc>
          <w:tcPr>
            <w:tcW w:w="25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45"/>
        </w:trPr>
        <w:tc>
          <w:tcPr>
            <w:tcW w:w="140" w:type="dxa"/>
            <w:vAlign w:val="bottom"/>
          </w:tcPr>
          <w:p>
            <w:pPr>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1.</w:t>
              </w:r>
            </w:hyperlink>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20" w:type="dxa"/>
            <w:vAlign w:val="bottom"/>
            <w:gridSpan w:val="9"/>
          </w:tcPr>
          <w:p>
            <w:pPr>
              <w:ind w:left="80"/>
              <w:spacing w:after="0"/>
              <w:rPr>
                <w:rFonts w:ascii="Arial" w:cs="Arial" w:eastAsia="Arial" w:hAnsi="Arial"/>
                <w:sz w:val="18"/>
                <w:szCs w:val="18"/>
                <w:color w:val="0000EE"/>
              </w:rPr>
            </w:pPr>
            <w:hyperlink w:anchor="page10">
              <w:r>
                <w:rPr>
                  <w:rFonts w:ascii="Arial" w:cs="Arial" w:eastAsia="Arial" w:hAnsi="Arial"/>
                  <w:sz w:val="18"/>
                  <w:szCs w:val="18"/>
                  <w:color w:val="0000EE"/>
                </w:rPr>
                <w:t>Business</w:t>
              </w:r>
            </w:hyperlink>
          </w:p>
        </w:tc>
        <w:tc>
          <w:tcPr>
            <w:tcW w:w="1200" w:type="dxa"/>
            <w:vAlign w:val="bottom"/>
          </w:tcPr>
          <w:p>
            <w:pPr>
              <w:ind w:left="840"/>
              <w:spacing w:after="0"/>
              <w:rPr>
                <w:sz w:val="20"/>
                <w:szCs w:val="20"/>
                <w:color w:val="auto"/>
              </w:rPr>
            </w:pPr>
            <w:r>
              <w:rPr>
                <w:rFonts w:ascii="Arial" w:cs="Arial" w:eastAsia="Arial" w:hAnsi="Arial"/>
                <w:sz w:val="18"/>
                <w:szCs w:val="18"/>
                <w:color w:val="auto"/>
              </w:rPr>
              <w:t>10</w:t>
            </w:r>
          </w:p>
        </w:tc>
      </w:tr>
      <w:tr>
        <w:trPr>
          <w:trHeight w:val="20"/>
        </w:trPr>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580" w:type="dxa"/>
            <w:vAlign w:val="bottom"/>
            <w:gridSpan w:val="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1A.</w:t>
              </w:r>
            </w:hyperlink>
          </w:p>
        </w:tc>
        <w:tc>
          <w:tcPr>
            <w:tcW w:w="6320" w:type="dxa"/>
            <w:vAlign w:val="bottom"/>
            <w:gridSpan w:val="9"/>
          </w:tcPr>
          <w:p>
            <w:pPr>
              <w:ind w:left="80"/>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1200" w:type="dxa"/>
            <w:vAlign w:val="bottom"/>
          </w:tcPr>
          <w:p>
            <w:pPr>
              <w:ind w:left="840"/>
              <w:spacing w:after="0" w:line="196" w:lineRule="exact"/>
              <w:rPr>
                <w:sz w:val="20"/>
                <w:szCs w:val="20"/>
                <w:color w:val="auto"/>
              </w:rPr>
            </w:pPr>
            <w:r>
              <w:rPr>
                <w:rFonts w:ascii="Arial" w:cs="Arial" w:eastAsia="Arial" w:hAnsi="Arial"/>
                <w:sz w:val="18"/>
                <w:szCs w:val="18"/>
                <w:color w:val="auto"/>
              </w:rPr>
              <w:t>29</w:t>
            </w:r>
          </w:p>
        </w:tc>
      </w:tr>
      <w:tr>
        <w:trPr>
          <w:trHeight w:val="20"/>
        </w:trPr>
        <w:tc>
          <w:tcPr>
            <w:tcW w:w="2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260" w:type="dxa"/>
            <w:vAlign w:val="bottom"/>
            <w:gridSpan w:val="2"/>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1B.</w:t>
              </w:r>
            </w:hyperlink>
          </w:p>
        </w:tc>
        <w:tc>
          <w:tcPr>
            <w:tcW w:w="320" w:type="dxa"/>
            <w:vAlign w:val="bottom"/>
          </w:tcPr>
          <w:p>
            <w:pPr>
              <w:spacing w:after="0"/>
              <w:rPr>
                <w:sz w:val="17"/>
                <w:szCs w:val="17"/>
                <w:color w:val="auto"/>
              </w:rPr>
            </w:pPr>
          </w:p>
        </w:tc>
        <w:tc>
          <w:tcPr>
            <w:tcW w:w="6320" w:type="dxa"/>
            <w:vAlign w:val="bottom"/>
            <w:gridSpan w:val="9"/>
          </w:tcPr>
          <w:p>
            <w:pPr>
              <w:ind w:left="80"/>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Unresolved Staff Comments</w:t>
              </w:r>
            </w:hyperlink>
          </w:p>
        </w:tc>
        <w:tc>
          <w:tcPr>
            <w:tcW w:w="1200" w:type="dxa"/>
            <w:vAlign w:val="bottom"/>
          </w:tcPr>
          <w:p>
            <w:pPr>
              <w:ind w:left="840"/>
              <w:spacing w:after="0" w:line="196" w:lineRule="exact"/>
              <w:rPr>
                <w:sz w:val="20"/>
                <w:szCs w:val="20"/>
                <w:color w:val="auto"/>
              </w:rPr>
            </w:pPr>
            <w:r>
              <w:rPr>
                <w:rFonts w:ascii="Arial" w:cs="Arial" w:eastAsia="Arial" w:hAnsi="Arial"/>
                <w:sz w:val="18"/>
                <w:szCs w:val="18"/>
                <w:color w:val="auto"/>
              </w:rPr>
              <w:t>37</w:t>
            </w:r>
          </w:p>
        </w:tc>
      </w:tr>
      <w:tr>
        <w:trPr>
          <w:trHeight w:val="20"/>
        </w:trPr>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140" w:type="dxa"/>
            <w:vAlign w:val="bottom"/>
          </w:tcPr>
          <w:p>
            <w:pPr>
              <w:spacing w:after="0" w:line="19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2.</w:t>
              </w:r>
            </w:hyperlink>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20" w:type="dxa"/>
            <w:vAlign w:val="bottom"/>
            <w:gridSpan w:val="9"/>
          </w:tcPr>
          <w:p>
            <w:pPr>
              <w:ind w:left="80"/>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Properties</w:t>
              </w:r>
            </w:hyperlink>
          </w:p>
        </w:tc>
        <w:tc>
          <w:tcPr>
            <w:tcW w:w="1200" w:type="dxa"/>
            <w:vAlign w:val="bottom"/>
          </w:tcPr>
          <w:p>
            <w:pPr>
              <w:ind w:left="840"/>
              <w:spacing w:after="0" w:line="196" w:lineRule="exact"/>
              <w:rPr>
                <w:sz w:val="20"/>
                <w:szCs w:val="20"/>
                <w:color w:val="auto"/>
              </w:rPr>
            </w:pPr>
            <w:r>
              <w:rPr>
                <w:rFonts w:ascii="Arial" w:cs="Arial" w:eastAsia="Arial" w:hAnsi="Arial"/>
                <w:sz w:val="18"/>
                <w:szCs w:val="18"/>
                <w:color w:val="auto"/>
              </w:rPr>
              <w:t>37</w:t>
            </w:r>
          </w:p>
        </w:tc>
      </w:tr>
      <w:tr>
        <w:trPr>
          <w:trHeight w:val="20"/>
        </w:trPr>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140" w:type="dxa"/>
            <w:vAlign w:val="bottom"/>
          </w:tcPr>
          <w:p>
            <w:pPr>
              <w:spacing w:after="0" w:line="196"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3.</w:t>
              </w:r>
            </w:hyperlink>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20" w:type="dxa"/>
            <w:vAlign w:val="bottom"/>
            <w:gridSpan w:val="9"/>
          </w:tcPr>
          <w:p>
            <w:pPr>
              <w:ind w:left="80"/>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1200" w:type="dxa"/>
            <w:vAlign w:val="bottom"/>
          </w:tcPr>
          <w:p>
            <w:pPr>
              <w:ind w:left="840"/>
              <w:spacing w:after="0" w:line="196" w:lineRule="exact"/>
              <w:rPr>
                <w:sz w:val="20"/>
                <w:szCs w:val="20"/>
                <w:color w:val="auto"/>
              </w:rPr>
            </w:pPr>
            <w:r>
              <w:rPr>
                <w:rFonts w:ascii="Arial" w:cs="Arial" w:eastAsia="Arial" w:hAnsi="Arial"/>
                <w:sz w:val="18"/>
                <w:szCs w:val="18"/>
                <w:color w:val="auto"/>
              </w:rPr>
              <w:t>38</w:t>
            </w:r>
          </w:p>
        </w:tc>
      </w:tr>
      <w:tr>
        <w:trPr>
          <w:trHeight w:val="20"/>
        </w:trPr>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140" w:type="dxa"/>
            <w:vAlign w:val="bottom"/>
          </w:tcPr>
          <w:p>
            <w:pPr>
              <w:spacing w:after="0" w:line="196"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4.</w:t>
              </w:r>
            </w:hyperlink>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20" w:type="dxa"/>
            <w:vAlign w:val="bottom"/>
            <w:gridSpan w:val="9"/>
          </w:tcPr>
          <w:p>
            <w:pPr>
              <w:ind w:left="80"/>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Submission of Matters to a Vote of Security Holders</w:t>
              </w:r>
            </w:hyperlink>
          </w:p>
        </w:tc>
        <w:tc>
          <w:tcPr>
            <w:tcW w:w="1200" w:type="dxa"/>
            <w:vAlign w:val="bottom"/>
          </w:tcPr>
          <w:p>
            <w:pPr>
              <w:ind w:left="840"/>
              <w:spacing w:after="0" w:line="196" w:lineRule="exact"/>
              <w:rPr>
                <w:sz w:val="20"/>
                <w:szCs w:val="20"/>
                <w:color w:val="auto"/>
              </w:rPr>
            </w:pPr>
            <w:r>
              <w:rPr>
                <w:rFonts w:ascii="Arial" w:cs="Arial" w:eastAsia="Arial" w:hAnsi="Arial"/>
                <w:sz w:val="18"/>
                <w:szCs w:val="18"/>
                <w:color w:val="auto"/>
              </w:rPr>
              <w:t>38</w:t>
            </w:r>
          </w:p>
        </w:tc>
      </w:tr>
      <w:tr>
        <w:trPr>
          <w:trHeight w:val="20"/>
        </w:trPr>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67" w:lineRule="exact"/>
        <w:rPr>
          <w:sz w:val="20"/>
          <w:szCs w:val="20"/>
          <w:color w:val="auto"/>
        </w:rPr>
      </w:pPr>
    </w:p>
    <w:p>
      <w:pPr>
        <w:ind w:left="376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PART II</w:t>
        </w:r>
      </w:hyperlink>
    </w:p>
    <w:p>
      <w:pPr>
        <w:spacing w:after="0" w:line="158"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Market for the Registrant’s Common Equity, Related Stockholder Matters and Issuer Purchasers</w:t>
        </w:r>
      </w:hyperlink>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540" w:type="dxa"/>
            <w:vAlign w:val="bottom"/>
            <w:gridSpan w:val="1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of Equity Securities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40" w:type="dxa"/>
            <w:vAlign w:val="bottom"/>
          </w:tcPr>
          <w:p>
            <w:pPr>
              <w:spacing w:after="0" w:line="19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6.</w:t>
              </w:r>
            </w:hyperlink>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900" w:type="dxa"/>
            <w:vAlign w:val="bottom"/>
            <w:gridSpan w:val="14"/>
          </w:tcPr>
          <w:p>
            <w:pPr>
              <w:ind w:left="200"/>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Selected Financial Data</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40" w:type="dxa"/>
            <w:vAlign w:val="bottom"/>
          </w:tcPr>
          <w:p>
            <w:pPr>
              <w:spacing w:after="0" w:line="196"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7.</w:t>
              </w:r>
            </w:hyperlink>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900" w:type="dxa"/>
            <w:vAlign w:val="bottom"/>
            <w:gridSpan w:val="14"/>
          </w:tcPr>
          <w:p>
            <w:pPr>
              <w:ind w:left="200"/>
              <w:spacing w:after="0" w:line="196" w:lineRule="exact"/>
              <w:rPr>
                <w:rFonts w:ascii="Arial" w:cs="Arial" w:eastAsia="Arial" w:hAnsi="Arial"/>
                <w:sz w:val="18"/>
                <w:szCs w:val="18"/>
                <w:color w:val="0000EE"/>
                <w:w w:val="94"/>
              </w:rPr>
            </w:pPr>
            <w:hyperlink w:anchor="page42">
              <w:r>
                <w:rPr>
                  <w:rFonts w:ascii="Arial" w:cs="Arial" w:eastAsia="Arial" w:hAnsi="Arial"/>
                  <w:sz w:val="18"/>
                  <w:szCs w:val="18"/>
                  <w:color w:val="0000EE"/>
                  <w:w w:val="94"/>
                </w:rPr>
                <w:t>Management’s Discussion and Analysis of Financial Condition and Results of Operations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3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460" w:type="dxa"/>
            <w:vAlign w:val="bottom"/>
            <w:gridSpan w:val="3"/>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7A.</w:t>
              </w:r>
            </w:hyperlink>
          </w:p>
        </w:tc>
        <w:tc>
          <w:tcPr>
            <w:tcW w:w="6900" w:type="dxa"/>
            <w:vAlign w:val="bottom"/>
            <w:gridSpan w:val="14"/>
          </w:tcPr>
          <w:p>
            <w:pPr>
              <w:ind w:left="200"/>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Quantitative and Qualitative Disclosures About Market Risk</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20"/>
        </w:trPr>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3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40" w:type="dxa"/>
            <w:vAlign w:val="bottom"/>
          </w:tcPr>
          <w:p>
            <w:pPr>
              <w:spacing w:after="0" w:line="196"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8.</w:t>
              </w:r>
            </w:hyperlink>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900" w:type="dxa"/>
            <w:vAlign w:val="bottom"/>
            <w:gridSpan w:val="14"/>
          </w:tcPr>
          <w:p>
            <w:pPr>
              <w:ind w:left="200"/>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Financial Statements and Supplementary Data</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20"/>
        </w:trPr>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3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40" w:type="dxa"/>
            <w:vAlign w:val="bottom"/>
          </w:tcPr>
          <w:p>
            <w:pPr>
              <w:spacing w:after="0" w:line="196"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9.</w:t>
              </w:r>
            </w:hyperlink>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900" w:type="dxa"/>
            <w:vAlign w:val="bottom"/>
            <w:gridSpan w:val="14"/>
          </w:tcPr>
          <w:p>
            <w:pPr>
              <w:ind w:left="200"/>
              <w:spacing w:after="0" w:line="196" w:lineRule="exact"/>
              <w:rPr>
                <w:rFonts w:ascii="Arial" w:cs="Arial" w:eastAsia="Arial" w:hAnsi="Arial"/>
                <w:sz w:val="18"/>
                <w:szCs w:val="18"/>
                <w:color w:val="0000EE"/>
                <w:w w:val="93"/>
              </w:rPr>
            </w:pPr>
            <w:hyperlink w:anchor="page62">
              <w:r>
                <w:rPr>
                  <w:rFonts w:ascii="Arial" w:cs="Arial" w:eastAsia="Arial" w:hAnsi="Arial"/>
                  <w:sz w:val="18"/>
                  <w:szCs w:val="18"/>
                  <w:color w:val="0000EE"/>
                  <w:w w:val="93"/>
                </w:rPr>
                <w:t>Changes in and Disagreements with Accountants on Accounting and Financial Disclosure</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3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460" w:type="dxa"/>
            <w:vAlign w:val="bottom"/>
            <w:gridSpan w:val="3"/>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9A.</w:t>
              </w:r>
            </w:hyperlink>
          </w:p>
        </w:tc>
        <w:tc>
          <w:tcPr>
            <w:tcW w:w="6900" w:type="dxa"/>
            <w:vAlign w:val="bottom"/>
            <w:gridSpan w:val="14"/>
          </w:tcPr>
          <w:p>
            <w:pPr>
              <w:ind w:left="200"/>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Controls and Procedures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20" w:type="dxa"/>
            <w:vAlign w:val="bottom"/>
            <w:gridSpan w:val="2"/>
          </w:tcPr>
          <w:p>
            <w:pPr>
              <w:spacing w:after="0" w:line="196" w:lineRule="exact"/>
              <w:rPr>
                <w:rFonts w:ascii="Arial" w:cs="Arial" w:eastAsia="Arial" w:hAnsi="Arial"/>
                <w:sz w:val="18"/>
                <w:szCs w:val="18"/>
                <w:color w:val="0000EE"/>
                <w:w w:val="81"/>
              </w:rPr>
            </w:pPr>
            <w:hyperlink w:anchor="page64">
              <w:r>
                <w:rPr>
                  <w:rFonts w:ascii="Arial" w:cs="Arial" w:eastAsia="Arial" w:hAnsi="Arial"/>
                  <w:sz w:val="18"/>
                  <w:szCs w:val="18"/>
                  <w:color w:val="0000EE"/>
                  <w:w w:val="81"/>
                </w:rPr>
                <w:t>9B</w:t>
              </w:r>
            </w:hyperlink>
          </w:p>
        </w:tc>
        <w:tc>
          <w:tcPr>
            <w:tcW w:w="240" w:type="dxa"/>
            <w:vAlign w:val="bottom"/>
          </w:tcPr>
          <w:p>
            <w:pPr>
              <w:spacing w:after="0"/>
              <w:rPr>
                <w:sz w:val="17"/>
                <w:szCs w:val="17"/>
                <w:color w:val="auto"/>
              </w:rPr>
            </w:pPr>
          </w:p>
        </w:tc>
        <w:tc>
          <w:tcPr>
            <w:tcW w:w="6900" w:type="dxa"/>
            <w:vAlign w:val="bottom"/>
            <w:gridSpan w:val="14"/>
          </w:tcPr>
          <w:p>
            <w:pPr>
              <w:ind w:left="200"/>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Other Information</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345"/>
        </w:trPr>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4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65">
              <w:r>
                <w:rPr>
                  <w:rFonts w:ascii="Arial" w:cs="Arial" w:eastAsia="Arial" w:hAnsi="Arial"/>
                  <w:sz w:val="18"/>
                  <w:szCs w:val="18"/>
                  <w:color w:val="0000EE"/>
                  <w:w w:val="91"/>
                </w:rPr>
                <w:t>PART III</w:t>
              </w:r>
            </w:hyperlink>
          </w:p>
        </w:tc>
        <w:tc>
          <w:tcPr>
            <w:tcW w:w="2980" w:type="dxa"/>
            <w:vAlign w:val="bottom"/>
            <w:gridSpan w:val="4"/>
          </w:tcPr>
          <w:p>
            <w:pPr>
              <w:spacing w:after="0"/>
              <w:rPr>
                <w:sz w:val="24"/>
                <w:szCs w:val="24"/>
                <w:color w:val="auto"/>
              </w:rPr>
            </w:pPr>
          </w:p>
        </w:tc>
        <w:tc>
          <w:tcPr>
            <w:tcW w:w="540" w:type="dxa"/>
            <w:vAlign w:val="bottom"/>
          </w:tcPr>
          <w:p>
            <w:pPr>
              <w:spacing w:after="0"/>
              <w:rPr>
                <w:sz w:val="24"/>
                <w:szCs w:val="24"/>
                <w:color w:val="auto"/>
              </w:rPr>
            </w:pPr>
          </w:p>
        </w:tc>
      </w:tr>
      <w:tr>
        <w:trPr>
          <w:trHeight w:val="345"/>
        </w:trPr>
        <w:tc>
          <w:tcPr>
            <w:tcW w:w="220" w:type="dxa"/>
            <w:vAlign w:val="bottom"/>
            <w:gridSpan w:val="2"/>
          </w:tcPr>
          <w:p>
            <w:pPr>
              <w:spacing w:after="0"/>
              <w:rPr>
                <w:rFonts w:ascii="Arial" w:cs="Arial" w:eastAsia="Arial" w:hAnsi="Arial"/>
                <w:sz w:val="18"/>
                <w:szCs w:val="18"/>
                <w:color w:val="0000EE"/>
                <w:w w:val="71"/>
              </w:rPr>
            </w:pPr>
            <w:hyperlink w:anchor="page65">
              <w:r>
                <w:rPr>
                  <w:rFonts w:ascii="Arial" w:cs="Arial" w:eastAsia="Arial" w:hAnsi="Arial"/>
                  <w:sz w:val="18"/>
                  <w:szCs w:val="18"/>
                  <w:color w:val="0000EE"/>
                  <w:w w:val="71"/>
                </w:rPr>
                <w:t>10.</w:t>
              </w:r>
            </w:hyperlink>
          </w:p>
        </w:tc>
        <w:tc>
          <w:tcPr>
            <w:tcW w:w="240" w:type="dxa"/>
            <w:vAlign w:val="bottom"/>
          </w:tcPr>
          <w:p>
            <w:pPr>
              <w:spacing w:after="0"/>
              <w:rPr>
                <w:sz w:val="24"/>
                <w:szCs w:val="24"/>
                <w:color w:val="auto"/>
              </w:rPr>
            </w:pPr>
          </w:p>
        </w:tc>
        <w:tc>
          <w:tcPr>
            <w:tcW w:w="6900" w:type="dxa"/>
            <w:vAlign w:val="bottom"/>
            <w:gridSpan w:val="14"/>
          </w:tcPr>
          <w:p>
            <w:pPr>
              <w:ind w:left="200"/>
              <w:spacing w:after="0"/>
              <w:rPr>
                <w:rFonts w:ascii="Arial" w:cs="Arial" w:eastAsia="Arial" w:hAnsi="Arial"/>
                <w:sz w:val="18"/>
                <w:szCs w:val="18"/>
                <w:color w:val="0000EE"/>
              </w:rPr>
            </w:pPr>
            <w:hyperlink w:anchor="page65">
              <w:r>
                <w:rPr>
                  <w:rFonts w:ascii="Arial" w:cs="Arial" w:eastAsia="Arial" w:hAnsi="Arial"/>
                  <w:sz w:val="18"/>
                  <w:szCs w:val="18"/>
                  <w:color w:val="0000EE"/>
                </w:rPr>
                <w:t>Directors and Executive Officers of the Registrant</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gridSpan w:val="5"/>
            <w:shd w:val="clear" w:color="auto" w:fill="0000EE"/>
          </w:tcPr>
          <w:p>
            <w:pPr>
              <w:spacing w:after="0" w:line="20" w:lineRule="exact"/>
              <w:rPr>
                <w:sz w:val="1"/>
                <w:szCs w:val="1"/>
                <w:color w:val="auto"/>
              </w:rPr>
            </w:pPr>
          </w:p>
        </w:tc>
        <w:tc>
          <w:tcPr>
            <w:tcW w:w="1800" w:type="dxa"/>
            <w:vAlign w:val="bottom"/>
            <w:tcBorders>
              <w:left w:val="single" w:sz="8" w:color="0000EE"/>
            </w:tcBorders>
            <w:gridSpan w:val="3"/>
            <w:shd w:val="clear" w:color="auto" w:fill="0000EE"/>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20" w:type="dxa"/>
            <w:vAlign w:val="bottom"/>
            <w:gridSpan w:val="2"/>
          </w:tcPr>
          <w:p>
            <w:pPr>
              <w:spacing w:after="0" w:line="196" w:lineRule="exact"/>
              <w:rPr>
                <w:rFonts w:ascii="Arial" w:cs="Arial" w:eastAsia="Arial" w:hAnsi="Arial"/>
                <w:sz w:val="18"/>
                <w:szCs w:val="18"/>
                <w:color w:val="0000EE"/>
                <w:w w:val="71"/>
              </w:rPr>
            </w:pPr>
            <w:hyperlink w:anchor="page65">
              <w:r>
                <w:rPr>
                  <w:rFonts w:ascii="Arial" w:cs="Arial" w:eastAsia="Arial" w:hAnsi="Arial"/>
                  <w:sz w:val="18"/>
                  <w:szCs w:val="18"/>
                  <w:color w:val="0000EE"/>
                  <w:w w:val="71"/>
                </w:rPr>
                <w:t>11.</w:t>
              </w:r>
            </w:hyperlink>
          </w:p>
        </w:tc>
        <w:tc>
          <w:tcPr>
            <w:tcW w:w="240" w:type="dxa"/>
            <w:vAlign w:val="bottom"/>
          </w:tcPr>
          <w:p>
            <w:pPr>
              <w:spacing w:after="0"/>
              <w:rPr>
                <w:sz w:val="17"/>
                <w:szCs w:val="17"/>
                <w:color w:val="auto"/>
              </w:rPr>
            </w:pPr>
          </w:p>
        </w:tc>
        <w:tc>
          <w:tcPr>
            <w:tcW w:w="6900" w:type="dxa"/>
            <w:vAlign w:val="bottom"/>
            <w:gridSpan w:val="14"/>
          </w:tcPr>
          <w:p>
            <w:pPr>
              <w:ind w:left="200"/>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Executive Compensation</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20"/>
        </w:trPr>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19"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Security Ownership of Certain Beneficial Owners and Management and Related Stockholder</w:t>
        </w:r>
      </w:hyperlink>
    </w:p>
    <w:tbl>
      <w:tblPr>
        <w:tblLayout w:type="fixed"/>
        <w:tblInd w:w="0" w:type="dxa"/>
        <w:tblCellMar>
          <w:top w:w="0" w:type="dxa"/>
          <w:left w:w="0" w:type="dxa"/>
          <w:bottom w:w="0" w:type="dxa"/>
          <w:right w:w="0" w:type="dxa"/>
        </w:tblCellMar>
      </w:tblPr>
      <w:tr>
        <w:trPr>
          <w:trHeight w:val="193"/>
        </w:trPr>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40" w:type="dxa"/>
            <w:vAlign w:val="bottom"/>
            <w:gridSpan w:val="7"/>
          </w:tcPr>
          <w:p>
            <w:pPr>
              <w:spacing w:after="0" w:line="193" w:lineRule="exact"/>
              <w:rPr>
                <w:rFonts w:ascii="Arial" w:cs="Arial" w:eastAsia="Arial" w:hAnsi="Arial"/>
                <w:sz w:val="18"/>
                <w:szCs w:val="18"/>
                <w:color w:val="0000EE"/>
              </w:rPr>
            </w:pPr>
            <w:hyperlink w:anchor="page65">
              <w:r>
                <w:rPr>
                  <w:rFonts w:ascii="Arial" w:cs="Arial" w:eastAsia="Arial" w:hAnsi="Arial"/>
                  <w:sz w:val="18"/>
                  <w:szCs w:val="18"/>
                  <w:color w:val="0000EE"/>
                </w:rPr>
                <w:t>Matters</w:t>
              </w:r>
            </w:hyperlink>
          </w:p>
        </w:tc>
        <w:tc>
          <w:tcPr>
            <w:tcW w:w="2080" w:type="dxa"/>
            <w:vAlign w:val="bottom"/>
          </w:tcPr>
          <w:p>
            <w:pPr>
              <w:jc w:val="right"/>
              <w:ind w:right="152"/>
              <w:spacing w:after="0" w:line="193" w:lineRule="exact"/>
              <w:rPr>
                <w:sz w:val="20"/>
                <w:szCs w:val="20"/>
                <w:color w:val="auto"/>
              </w:rPr>
            </w:pPr>
            <w:r>
              <w:rPr>
                <w:rFonts w:ascii="Arial" w:cs="Arial" w:eastAsia="Arial" w:hAnsi="Arial"/>
                <w:sz w:val="18"/>
                <w:szCs w:val="18"/>
                <w:color w:val="auto"/>
              </w:rPr>
              <w:t>65</w:t>
            </w:r>
          </w:p>
        </w:tc>
      </w:tr>
      <w:tr>
        <w:trPr>
          <w:trHeight w:val="20"/>
        </w:trPr>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220" w:type="dxa"/>
            <w:vAlign w:val="bottom"/>
          </w:tcPr>
          <w:p>
            <w:pPr>
              <w:jc w:val="right"/>
              <w:spacing w:after="0" w:line="196"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13.</w:t>
              </w:r>
            </w:hyperlink>
          </w:p>
        </w:tc>
        <w:tc>
          <w:tcPr>
            <w:tcW w:w="5840" w:type="dxa"/>
            <w:vAlign w:val="bottom"/>
            <w:gridSpan w:val="9"/>
          </w:tcPr>
          <w:p>
            <w:pPr>
              <w:ind w:left="440"/>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Certain Relationships and Related Transactions</w:t>
              </w:r>
            </w:hyperlink>
          </w:p>
        </w:tc>
        <w:tc>
          <w:tcPr>
            <w:tcW w:w="2080" w:type="dxa"/>
            <w:vAlign w:val="bottom"/>
          </w:tcPr>
          <w:p>
            <w:pPr>
              <w:jc w:val="right"/>
              <w:ind w:right="152"/>
              <w:spacing w:after="0" w:line="196" w:lineRule="exact"/>
              <w:rPr>
                <w:sz w:val="20"/>
                <w:szCs w:val="20"/>
                <w:color w:val="auto"/>
              </w:rPr>
            </w:pPr>
            <w:r>
              <w:rPr>
                <w:rFonts w:ascii="Arial" w:cs="Arial" w:eastAsia="Arial" w:hAnsi="Arial"/>
                <w:sz w:val="18"/>
                <w:szCs w:val="18"/>
                <w:color w:val="auto"/>
              </w:rPr>
              <w:t>65</w:t>
            </w:r>
          </w:p>
        </w:tc>
      </w:tr>
      <w:tr>
        <w:trPr>
          <w:trHeight w:val="20"/>
        </w:trPr>
        <w:tc>
          <w:tcPr>
            <w:tcW w:w="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220" w:type="dxa"/>
            <w:vAlign w:val="bottom"/>
          </w:tcPr>
          <w:p>
            <w:pPr>
              <w:jc w:val="right"/>
              <w:spacing w:after="0" w:line="196"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14.</w:t>
              </w:r>
            </w:hyperlink>
          </w:p>
        </w:tc>
        <w:tc>
          <w:tcPr>
            <w:tcW w:w="5840" w:type="dxa"/>
            <w:vAlign w:val="bottom"/>
            <w:gridSpan w:val="9"/>
          </w:tcPr>
          <w:p>
            <w:pPr>
              <w:ind w:left="440"/>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Principal Accountant Fees and Services</w:t>
              </w:r>
            </w:hyperlink>
          </w:p>
        </w:tc>
        <w:tc>
          <w:tcPr>
            <w:tcW w:w="2080" w:type="dxa"/>
            <w:vAlign w:val="bottom"/>
          </w:tcPr>
          <w:p>
            <w:pPr>
              <w:jc w:val="right"/>
              <w:ind w:right="152"/>
              <w:spacing w:after="0" w:line="196" w:lineRule="exact"/>
              <w:rPr>
                <w:sz w:val="20"/>
                <w:szCs w:val="20"/>
                <w:color w:val="auto"/>
              </w:rPr>
            </w:pPr>
            <w:r>
              <w:rPr>
                <w:rFonts w:ascii="Arial" w:cs="Arial" w:eastAsia="Arial" w:hAnsi="Arial"/>
                <w:sz w:val="18"/>
                <w:szCs w:val="18"/>
                <w:color w:val="auto"/>
              </w:rPr>
              <w:t>65</w:t>
            </w:r>
          </w:p>
        </w:tc>
      </w:tr>
      <w:tr>
        <w:trPr>
          <w:trHeight w:val="345"/>
        </w:trPr>
        <w:tc>
          <w:tcPr>
            <w:tcW w:w="22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1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Borders>
              <w:bottom w:val="single" w:sz="8" w:color="0000EE"/>
            </w:tcBorders>
            <w:gridSpan w:val="3"/>
          </w:tcPr>
          <w:p>
            <w:pPr>
              <w:jc w:val="center"/>
              <w:spacing w:after="0"/>
              <w:rPr>
                <w:rFonts w:ascii="Arial" w:cs="Arial" w:eastAsia="Arial" w:hAnsi="Arial"/>
                <w:sz w:val="18"/>
                <w:szCs w:val="18"/>
                <w:color w:val="0000EE"/>
                <w:w w:val="94"/>
              </w:rPr>
            </w:pPr>
            <w:hyperlink w:anchor="page66">
              <w:r>
                <w:rPr>
                  <w:rFonts w:ascii="Arial" w:cs="Arial" w:eastAsia="Arial" w:hAnsi="Arial"/>
                  <w:sz w:val="18"/>
                  <w:szCs w:val="18"/>
                  <w:color w:val="0000EE"/>
                  <w:w w:val="94"/>
                </w:rPr>
                <w:t>PART IV</w:t>
              </w:r>
            </w:hyperlink>
          </w:p>
        </w:tc>
        <w:tc>
          <w:tcPr>
            <w:tcW w:w="16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45"/>
        </w:trPr>
        <w:tc>
          <w:tcPr>
            <w:tcW w:w="220" w:type="dxa"/>
            <w:vAlign w:val="bottom"/>
          </w:tcPr>
          <w:p>
            <w:pPr>
              <w:jc w:val="right"/>
              <w:spacing w:after="0"/>
              <w:rPr>
                <w:rFonts w:ascii="Arial" w:cs="Arial" w:eastAsia="Arial" w:hAnsi="Arial"/>
                <w:sz w:val="18"/>
                <w:szCs w:val="18"/>
                <w:color w:val="0000EE"/>
                <w:w w:val="79"/>
              </w:rPr>
            </w:pPr>
            <w:hyperlink w:anchor="page66">
              <w:r>
                <w:rPr>
                  <w:rFonts w:ascii="Arial" w:cs="Arial" w:eastAsia="Arial" w:hAnsi="Arial"/>
                  <w:sz w:val="18"/>
                  <w:szCs w:val="18"/>
                  <w:color w:val="0000EE"/>
                  <w:w w:val="79"/>
                </w:rPr>
                <w:t>15.</w:t>
              </w:r>
            </w:hyperlink>
          </w:p>
        </w:tc>
        <w:tc>
          <w:tcPr>
            <w:tcW w:w="5840" w:type="dxa"/>
            <w:vAlign w:val="bottom"/>
            <w:gridSpan w:val="9"/>
          </w:tcPr>
          <w:p>
            <w:pPr>
              <w:ind w:left="440"/>
              <w:spacing w:after="0"/>
              <w:rPr>
                <w:rFonts w:ascii="Arial" w:cs="Arial" w:eastAsia="Arial" w:hAnsi="Arial"/>
                <w:sz w:val="18"/>
                <w:szCs w:val="18"/>
                <w:color w:val="0000EE"/>
              </w:rPr>
            </w:pPr>
            <w:hyperlink w:anchor="page66">
              <w:r>
                <w:rPr>
                  <w:rFonts w:ascii="Arial" w:cs="Arial" w:eastAsia="Arial" w:hAnsi="Arial"/>
                  <w:sz w:val="18"/>
                  <w:szCs w:val="18"/>
                  <w:color w:val="0000EE"/>
                </w:rPr>
                <w:t>Exhibits and Financial Statement Schedules</w:t>
              </w:r>
            </w:hyperlink>
          </w:p>
        </w:tc>
        <w:tc>
          <w:tcPr>
            <w:tcW w:w="2080" w:type="dxa"/>
            <w:vAlign w:val="bottom"/>
          </w:tcPr>
          <w:p>
            <w:pPr>
              <w:jc w:val="right"/>
              <w:ind w:right="152"/>
              <w:spacing w:after="0"/>
              <w:rPr>
                <w:sz w:val="20"/>
                <w:szCs w:val="20"/>
                <w:color w:val="auto"/>
              </w:rPr>
            </w:pPr>
            <w:r>
              <w:rPr>
                <w:rFonts w:ascii="Arial" w:cs="Arial" w:eastAsia="Arial" w:hAnsi="Arial"/>
                <w:sz w:val="18"/>
                <w:szCs w:val="18"/>
                <w:color w:val="auto"/>
              </w:rPr>
              <w:t>66</w:t>
            </w:r>
          </w:p>
        </w:tc>
      </w:tr>
      <w:tr>
        <w:trPr>
          <w:trHeight w:val="451"/>
        </w:trPr>
        <w:tc>
          <w:tcPr>
            <w:tcW w:w="22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3080" w:type="dxa"/>
            <w:vAlign w:val="bottom"/>
            <w:tcBorders>
              <w:top w:val="single" w:sz="8" w:color="0000EE"/>
            </w:tcBorders>
            <w:gridSpan w:val="5"/>
          </w:tcPr>
          <w:p>
            <w:pPr>
              <w:spacing w:after="0"/>
              <w:rPr>
                <w:sz w:val="24"/>
                <w:szCs w:val="2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6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15"/>
        </w:trPr>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74"/>
        </w:trPr>
        <w:tc>
          <w:tcPr>
            <w:tcW w:w="220" w:type="dxa"/>
            <w:vAlign w:val="bottom"/>
            <w:shd w:val="clear" w:color="auto" w:fill="808080"/>
          </w:tcPr>
          <w:p>
            <w:pPr>
              <w:spacing w:after="0"/>
              <w:rPr>
                <w:sz w:val="6"/>
                <w:szCs w:val="6"/>
                <w:color w:val="auto"/>
              </w:rPr>
            </w:pPr>
          </w:p>
        </w:tc>
        <w:tc>
          <w:tcPr>
            <w:tcW w:w="44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520" w:type="dxa"/>
            <w:vAlign w:val="bottom"/>
            <w:shd w:val="clear" w:color="auto" w:fill="808080"/>
          </w:tcPr>
          <w:p>
            <w:pPr>
              <w:spacing w:after="0"/>
              <w:rPr>
                <w:sz w:val="6"/>
                <w:szCs w:val="6"/>
                <w:color w:val="auto"/>
              </w:rPr>
            </w:pPr>
          </w:p>
        </w:tc>
        <w:tc>
          <w:tcPr>
            <w:tcW w:w="2100" w:type="dxa"/>
            <w:vAlign w:val="bottom"/>
            <w:shd w:val="clear" w:color="auto" w:fill="808080"/>
          </w:tcPr>
          <w:p>
            <w:pPr>
              <w:spacing w:after="0"/>
              <w:rPr>
                <w:sz w:val="6"/>
                <w:szCs w:val="6"/>
                <w:color w:val="auto"/>
              </w:rPr>
            </w:pPr>
          </w:p>
        </w:tc>
        <w:tc>
          <w:tcPr>
            <w:tcW w:w="28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240" w:type="dxa"/>
            <w:vAlign w:val="bottom"/>
            <w:shd w:val="clear" w:color="auto" w:fill="808080"/>
          </w:tcPr>
          <w:p>
            <w:pPr>
              <w:spacing w:after="0"/>
              <w:rPr>
                <w:sz w:val="6"/>
                <w:szCs w:val="6"/>
                <w:color w:val="auto"/>
              </w:rPr>
            </w:pPr>
          </w:p>
        </w:tc>
        <w:tc>
          <w:tcPr>
            <w:tcW w:w="400" w:type="dxa"/>
            <w:vAlign w:val="bottom"/>
            <w:shd w:val="clear" w:color="auto" w:fill="808080"/>
          </w:tcPr>
          <w:p>
            <w:pPr>
              <w:spacing w:after="0"/>
              <w:rPr>
                <w:sz w:val="6"/>
                <w:szCs w:val="6"/>
                <w:color w:val="auto"/>
              </w:rPr>
            </w:pPr>
          </w:p>
        </w:tc>
        <w:tc>
          <w:tcPr>
            <w:tcW w:w="1680" w:type="dxa"/>
            <w:vAlign w:val="bottom"/>
            <w:shd w:val="clear" w:color="auto" w:fill="808080"/>
          </w:tcPr>
          <w:p>
            <w:pPr>
              <w:spacing w:after="0"/>
              <w:rPr>
                <w:sz w:val="6"/>
                <w:szCs w:val="6"/>
                <w:color w:val="auto"/>
              </w:rPr>
            </w:pPr>
          </w:p>
        </w:tc>
        <w:tc>
          <w:tcPr>
            <w:tcW w:w="2080" w:type="dxa"/>
            <w:vAlign w:val="bottom"/>
            <w:shd w:val="clear" w:color="auto" w:fill="808080"/>
          </w:tcPr>
          <w:p>
            <w:pPr>
              <w:spacing w:after="0"/>
              <w:rPr>
                <w:sz w:val="6"/>
                <w:szCs w:val="6"/>
                <w:color w:val="auto"/>
              </w:rPr>
            </w:pPr>
          </w:p>
        </w:tc>
      </w:tr>
    </w:tbl>
    <w:p>
      <w:pPr>
        <w:sectPr>
          <w:pgSz w:w="11900" w:h="16838" w:orient="portrait"/>
          <w:cols w:equalWidth="0" w:num="1">
            <w:col w:w="10219"/>
          </w:cols>
          <w:pgMar w:left="240" w:top="590" w:right="1440" w:bottom="1440" w:gutter="0" w:footer="0" w:header="0"/>
        </w:sectPr>
      </w:pPr>
    </w:p>
    <w:bookmarkStart w:id="3" w:name="page4"/>
    <w:bookmarkEnd w:id="3"/>
    <w:p>
      <w:pPr>
        <w:ind w:left="108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1" w:lineRule="exact"/>
        <w:rPr>
          <w:sz w:val="20"/>
          <w:szCs w:val="20"/>
          <w:color w:val="auto"/>
        </w:rPr>
      </w:pPr>
    </w:p>
    <w:p>
      <w:pPr>
        <w:ind w:right="2239" w:firstLine="436"/>
        <w:spacing w:after="0" w:line="288" w:lineRule="auto"/>
        <w:rPr>
          <w:sz w:val="20"/>
          <w:szCs w:val="20"/>
          <w:color w:val="auto"/>
        </w:rPr>
      </w:pPr>
      <w:r>
        <w:rPr>
          <w:rFonts w:ascii="Arial" w:cs="Arial" w:eastAsia="Arial" w:hAnsi="Arial"/>
          <w:sz w:val="16"/>
          <w:szCs w:val="16"/>
          <w:color w:val="auto"/>
        </w:rPr>
        <w:t>This report includes “forward-looking statements” within the meaning of Section 27A of the Securities Act of 1933 and Section 21E of the Securities Exchange Act of 1934. The words “may,” “will,” “anticipate,” “estimate,” “expect,” “intend,” “plan,” “continue” and similar expressions as they relate to us or our management are intended to identify these forward-looking statements. All statements by us regarding our expected financial position, revenues, cash flow and other operating results, business strategy, financing plans, forecasted trends related to the markets in which we operate and similar matters are forward-looking statements. Our expectations expressed or implied in these forward-looking statements may not turn out to be correct. Our results could be materially different from our expectations because of various risks, including the risks discussed in this report under “Business-Recent Developments” and “Risk Factors.”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159"/>
        <w:spacing w:after="0" w:line="310" w:lineRule="auto"/>
        <w:rPr>
          <w:sz w:val="20"/>
          <w:szCs w:val="20"/>
          <w:color w:val="auto"/>
        </w:rPr>
      </w:pPr>
      <w:r>
        <w:rPr>
          <w:rFonts w:ascii="Arial" w:cs="Arial" w:eastAsia="Arial" w:hAnsi="Arial"/>
          <w:sz w:val="15"/>
          <w:szCs w:val="15"/>
          <w:color w:val="auto"/>
        </w:rPr>
        <w:t>In this filing, Shenandoah Telecommunications Company is restating the Company’s consolidated financial statements as of and for the years ended December 31, 2004 and 2003, including the beginning retained earnings for the year ended December 31, 2003, all quarters in 2004 and the first three quarters of the year ended December 31, 2005, to correct errors relating to the Company’s accounting for operating leases. Although management believes that the impact of the errors is not material to any previously issued financial statements, it determined that the cumulative adjustment required to correct the errors was too large to record in the consolidated financial statements as of and for the year ended December 31, 2005. The Company is also restating selected financial data as of and for the years ended December 31, 2002 and 2001 to correct for the same errors.</w:t>
      </w:r>
    </w:p>
    <w:p>
      <w:pPr>
        <w:spacing w:after="0" w:line="162" w:lineRule="exact"/>
        <w:rPr>
          <w:sz w:val="20"/>
          <w:szCs w:val="20"/>
          <w:color w:val="auto"/>
        </w:rPr>
      </w:pPr>
    </w:p>
    <w:p>
      <w:pPr>
        <w:ind w:right="2119"/>
        <w:spacing w:after="0" w:line="286" w:lineRule="auto"/>
        <w:rPr>
          <w:sz w:val="20"/>
          <w:szCs w:val="20"/>
          <w:color w:val="auto"/>
        </w:rPr>
      </w:pPr>
      <w:r>
        <w:rPr>
          <w:rFonts w:ascii="Arial" w:cs="Arial" w:eastAsia="Arial" w:hAnsi="Arial"/>
          <w:sz w:val="16"/>
          <w:szCs w:val="16"/>
          <w:color w:val="auto"/>
        </w:rPr>
        <w:t>The Company’s method of accounting for operating leases did not comply with the requirements of SFAS No. 13, “Accounting for Leases,” and FASB Technical Bulletin No. 85-3, “Accounting for Operating Leases with Scheduled Rent Increases.” Historically, the Company has not assumed the exercise of available renewal options in accounting for operating leases. The Company has operating leases, primarily for cell sites owned by third parties, land leases for towers owned by the Company and leases with third parties for space on the Company’s towers that have escalating rentals during the initial lease term and during succeeding optional renewal periods. In light of the Company’s investment in each site, including acquisition costs and leasehold improvements, the Company determined that the exercise of certain renewal options was reasonably assured at the inception of the leases. Accordingly, the Company will correct its accounting to recognize rent expense on a straight-line basis over the initial lease term and renewal periods that are reasonably assured. Where the Company is the lessor, it will recognize revenue on a straight-line basis over the current term of the lease.</w:t>
      </w:r>
    </w:p>
    <w:p>
      <w:pPr>
        <w:spacing w:after="0" w:line="18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4" w:name="page5"/>
    <w:bookmarkEnd w:id="4"/>
    <w:p>
      <w:pPr>
        <w:ind w:left="2320"/>
        <w:spacing w:after="0"/>
        <w:rPr>
          <w:sz w:val="20"/>
          <w:szCs w:val="20"/>
          <w:color w:val="auto"/>
        </w:rPr>
      </w:pPr>
      <w:r>
        <w:rPr>
          <w:rFonts w:ascii="Arial" w:cs="Arial" w:eastAsia="Arial" w:hAnsi="Arial"/>
          <w:sz w:val="18"/>
          <w:szCs w:val="18"/>
          <w:b w:val="1"/>
          <w:bCs w:val="1"/>
          <w:color w:val="auto"/>
        </w:rPr>
        <w:t>RESTATEMENT OF 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Corrective Actions</w:t>
      </w:r>
    </w:p>
    <w:p>
      <w:pPr>
        <w:spacing w:after="0" w:line="231" w:lineRule="exact"/>
        <w:rPr>
          <w:sz w:val="20"/>
          <w:szCs w:val="20"/>
          <w:color w:val="auto"/>
        </w:rPr>
      </w:pPr>
    </w:p>
    <w:p>
      <w:pPr>
        <w:ind w:right="2219"/>
        <w:spacing w:after="0" w:line="268" w:lineRule="auto"/>
        <w:rPr>
          <w:sz w:val="20"/>
          <w:szCs w:val="20"/>
          <w:color w:val="auto"/>
        </w:rPr>
      </w:pPr>
      <w:r>
        <w:rPr>
          <w:rFonts w:ascii="Arial" w:cs="Arial" w:eastAsia="Arial" w:hAnsi="Arial"/>
          <w:sz w:val="18"/>
          <w:szCs w:val="18"/>
          <w:color w:val="auto"/>
        </w:rPr>
        <w:t>In response to the issues raised as a result of the Company’s review of the errors in the lease accounting described above, the Company will:</w:t>
      </w:r>
    </w:p>
    <w:p>
      <w:pPr>
        <w:spacing w:after="0" w:line="199" w:lineRule="exact"/>
        <w:rPr>
          <w:sz w:val="20"/>
          <w:szCs w:val="20"/>
          <w:color w:val="auto"/>
        </w:rPr>
      </w:pPr>
    </w:p>
    <w:p>
      <w:pPr>
        <w:ind w:left="820" w:hanging="407"/>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review any renewing lease to determine if a new straight-line calculation is required;</w:t>
      </w:r>
    </w:p>
    <w:p>
      <w:pPr>
        <w:spacing w:after="0" w:line="157" w:lineRule="exact"/>
        <w:rPr>
          <w:rFonts w:ascii="Arial" w:cs="Arial" w:eastAsia="Arial" w:hAnsi="Arial"/>
          <w:sz w:val="18"/>
          <w:szCs w:val="18"/>
          <w:color w:val="auto"/>
        </w:rPr>
      </w:pPr>
    </w:p>
    <w:p>
      <w:pPr>
        <w:ind w:left="820" w:right="2519" w:hanging="407"/>
        <w:spacing w:after="0" w:line="268"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review new and/or modified lease arrangements to ensure appropriate accounting under Generally Accepted Accounting Principles (“GAAP”); and</w:t>
      </w:r>
    </w:p>
    <w:p>
      <w:pPr>
        <w:spacing w:after="0" w:line="118" w:lineRule="exact"/>
        <w:rPr>
          <w:rFonts w:ascii="Arial" w:cs="Arial" w:eastAsia="Arial" w:hAnsi="Arial"/>
          <w:sz w:val="18"/>
          <w:szCs w:val="18"/>
          <w:color w:val="auto"/>
        </w:rPr>
      </w:pPr>
    </w:p>
    <w:p>
      <w:pPr>
        <w:ind w:left="820" w:hanging="407"/>
        <w:spacing w:after="0"/>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enhance systematic controls applicable to the calculation of deferred rent assets and liabilities.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the Restatement</w:t>
      </w:r>
    </w:p>
    <w:p>
      <w:pPr>
        <w:spacing w:after="0" w:line="231" w:lineRule="exact"/>
        <w:rPr>
          <w:sz w:val="20"/>
          <w:szCs w:val="20"/>
          <w:color w:val="auto"/>
        </w:rPr>
      </w:pPr>
    </w:p>
    <w:p>
      <w:pPr>
        <w:ind w:right="2199"/>
        <w:spacing w:after="0" w:line="256" w:lineRule="auto"/>
        <w:rPr>
          <w:sz w:val="20"/>
          <w:szCs w:val="20"/>
          <w:color w:val="auto"/>
        </w:rPr>
      </w:pPr>
      <w:r>
        <w:rPr>
          <w:rFonts w:ascii="Arial" w:cs="Arial" w:eastAsia="Arial" w:hAnsi="Arial"/>
          <w:sz w:val="18"/>
          <w:szCs w:val="18"/>
          <w:color w:val="auto"/>
        </w:rPr>
        <w:t>The following tables set forth the effects of the restatement relating to accounting for operating leases on affected line items within our previously reported consolidated statements of income for the years ended December 31, 2004 and 2003, the first three quarters of the year 2005 and all four quarters of the year ended December 31, 2004 which were previously reported.</w:t>
      </w:r>
    </w:p>
    <w:p>
      <w:pPr>
        <w:spacing w:after="0" w:line="197" w:lineRule="exact"/>
        <w:rPr>
          <w:sz w:val="20"/>
          <w:szCs w:val="20"/>
          <w:color w:val="auto"/>
        </w:rPr>
      </w:pPr>
    </w:p>
    <w:p>
      <w:pPr>
        <w:ind w:right="2119"/>
        <w:spacing w:after="0" w:line="287" w:lineRule="auto"/>
        <w:rPr>
          <w:sz w:val="20"/>
          <w:szCs w:val="20"/>
          <w:color w:val="auto"/>
        </w:rPr>
      </w:pPr>
      <w:r>
        <w:rPr>
          <w:rFonts w:ascii="Arial" w:cs="Arial" w:eastAsia="Arial" w:hAnsi="Arial"/>
          <w:sz w:val="16"/>
          <w:szCs w:val="16"/>
          <w:color w:val="auto"/>
        </w:rPr>
        <w:t>The impact of these restatements to the Company’s statements of income for the years ended December 31, 2004 and December 31, 2003 was a decrease to net income of $0.2 million for both years. The impact associated with correcting the Company’s accounting for operating leases was an increase to lease expense of $0.4 million reflected in “Cost of goods and services” for both years. The restatements also impacted the consolidated balance sheet lines for “Deferred charges and other assets, net,” “Deferred income taxes,” “Deferred lease payable” and “Retained earnings.” For the years ended December 31, 2004 and 2003, the Company’s consolidated statements of shareholders’ equity and comprehensive income were impacted by the restatement adjustments by a decrease in net income of $0.2 million for both years, as well as a decrease to retained earnings of $0.6 million as of December 31, 2002. The adjustments do not affect historical net cash flows from operating, investing or financing activities, future cash flows or the timing of payments under related leases.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tables show the impact of the restatement for each of the years ended December 31, 2004 and 2003.</w:t>
      </w:r>
    </w:p>
    <w:p>
      <w:pPr>
        <w:spacing w:after="0" w:line="260" w:lineRule="exact"/>
        <w:rPr>
          <w:sz w:val="20"/>
          <w:szCs w:val="20"/>
          <w:color w:val="auto"/>
        </w:rPr>
      </w:pPr>
    </w:p>
    <w:p>
      <w:pPr>
        <w:ind w:right="2179"/>
        <w:spacing w:after="0" w:line="306" w:lineRule="auto"/>
        <w:rPr>
          <w:sz w:val="20"/>
          <w:szCs w:val="20"/>
          <w:color w:val="auto"/>
        </w:rPr>
      </w:pPr>
      <w:r>
        <w:rPr>
          <w:rFonts w:ascii="Arial" w:cs="Arial" w:eastAsia="Arial" w:hAnsi="Arial"/>
          <w:sz w:val="16"/>
          <w:szCs w:val="16"/>
          <w:color w:val="auto"/>
        </w:rPr>
        <w:t>In the “Reclassifications” column, in the tables presented below, certain amounts reported in prior period financial statements have been reclassified to conform to the current year presentation, with no effect on net income or shareholders’ equity. See Note 1 to the consolidated financial statements appearing elsewhere in this report.</w:t>
      </w:r>
    </w:p>
    <w:p>
      <w:pPr>
        <w:spacing w:after="0" w:line="16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5" w:name="page6"/>
    <w:bookmarkEnd w:id="5"/>
    <w:p>
      <w:pPr>
        <w:ind w:right="2139"/>
        <w:spacing w:after="0" w:line="268" w:lineRule="auto"/>
        <w:rPr>
          <w:sz w:val="20"/>
          <w:szCs w:val="20"/>
          <w:color w:val="auto"/>
        </w:rPr>
      </w:pPr>
      <w:r>
        <w:rPr>
          <w:rFonts w:ascii="Arial" w:cs="Arial" w:eastAsia="Arial" w:hAnsi="Arial"/>
          <w:sz w:val="18"/>
          <w:szCs w:val="18"/>
          <w:color w:val="auto"/>
        </w:rPr>
        <w:t>The reclassification and restatement adjustments to amounts previously presented in the consolidated statements of income are summarized below (in thousands except per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2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w w:val="86"/>
              </w:rPr>
              <w:t>Year Ended December 31, 2004</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31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gridSpan w:val="2"/>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237"/>
        </w:trPr>
        <w:tc>
          <w:tcPr>
            <w:tcW w:w="3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2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Restatement</w:t>
            </w: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74"/>
        </w:trPr>
        <w:tc>
          <w:tcPr>
            <w:tcW w:w="3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(Reported)</w:t>
            </w:r>
          </w:p>
        </w:tc>
        <w:tc>
          <w:tcPr>
            <w:tcW w:w="1400" w:type="dxa"/>
            <w:vAlign w:val="bottom"/>
            <w:gridSpan w:val="2"/>
          </w:tcPr>
          <w:p>
            <w:pPr>
              <w:jc w:val="right"/>
              <w:ind w:right="214"/>
              <w:spacing w:after="0"/>
              <w:rPr>
                <w:sz w:val="20"/>
                <w:szCs w:val="20"/>
                <w:color w:val="auto"/>
              </w:rPr>
            </w:pPr>
            <w:r>
              <w:rPr>
                <w:rFonts w:ascii="Arial" w:cs="Arial" w:eastAsia="Arial" w:hAnsi="Arial"/>
                <w:sz w:val="14"/>
                <w:szCs w:val="14"/>
                <w:b w:val="1"/>
                <w:bCs w:val="1"/>
                <w:color w:val="auto"/>
                <w:w w:val="94"/>
              </w:rPr>
              <w:t>Reclassifications</w:t>
            </w:r>
          </w:p>
        </w:tc>
        <w:tc>
          <w:tcPr>
            <w:tcW w:w="122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Adjustments</w:t>
            </w:r>
          </w:p>
        </w:tc>
        <w:tc>
          <w:tcPr>
            <w:tcW w:w="3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(Restated)</w:t>
            </w:r>
          </w:p>
        </w:tc>
      </w:tr>
      <w:tr>
        <w:trPr>
          <w:trHeight w:val="136"/>
        </w:trPr>
        <w:tc>
          <w:tcPr>
            <w:tcW w:w="3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31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Operating revenues</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AF9E8"/>
          </w:tcPr>
          <w:p>
            <w:pPr>
              <w:jc w:val="right"/>
              <w:ind w:right="54"/>
              <w:spacing w:after="0"/>
              <w:rPr>
                <w:sz w:val="20"/>
                <w:szCs w:val="20"/>
                <w:color w:val="auto"/>
              </w:rPr>
            </w:pPr>
            <w:r>
              <w:rPr>
                <w:rFonts w:ascii="Arial" w:cs="Arial" w:eastAsia="Arial" w:hAnsi="Arial"/>
                <w:sz w:val="18"/>
                <w:szCs w:val="18"/>
                <w:color w:val="auto"/>
                <w:w w:val="98"/>
              </w:rPr>
              <w:t>120,974</w:t>
            </w:r>
          </w:p>
        </w:tc>
        <w:tc>
          <w:tcPr>
            <w:tcW w:w="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9E8"/>
          </w:tcPr>
          <w:p>
            <w:pPr>
              <w:jc w:val="right"/>
              <w:ind w:right="214"/>
              <w:spacing w:after="0"/>
              <w:rPr>
                <w:sz w:val="20"/>
                <w:szCs w:val="20"/>
                <w:color w:val="auto"/>
              </w:rPr>
            </w:pPr>
            <w:r>
              <w:rPr>
                <w:rFonts w:ascii="Arial" w:cs="Arial" w:eastAsia="Arial" w:hAnsi="Arial"/>
                <w:sz w:val="18"/>
                <w:szCs w:val="18"/>
                <w:color w:val="auto"/>
              </w:rPr>
              <w:t>—</w:t>
            </w:r>
          </w:p>
        </w:tc>
        <w:tc>
          <w:tcPr>
            <w:tcW w:w="500" w:type="dxa"/>
            <w:vAlign w:val="bottom"/>
            <w:shd w:val="clear" w:color="auto" w:fill="EAF9E8"/>
          </w:tcPr>
          <w:p>
            <w:pPr>
              <w:jc w:val="right"/>
              <w:ind w:right="39"/>
              <w:spacing w:after="0"/>
              <w:rPr>
                <w:sz w:val="20"/>
                <w:szCs w:val="20"/>
                <w:color w:val="auto"/>
              </w:rPr>
            </w:pPr>
            <w:r>
              <w:rPr>
                <w:rFonts w:ascii="Arial" w:cs="Arial" w:eastAsia="Arial" w:hAnsi="Arial"/>
                <w:sz w:val="18"/>
                <w:szCs w:val="18"/>
                <w:color w:val="auto"/>
              </w:rPr>
              <w:t>$</w:t>
            </w:r>
          </w:p>
        </w:tc>
        <w:tc>
          <w:tcPr>
            <w:tcW w:w="72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rPr>
              <w:t>20</w:t>
            </w:r>
          </w:p>
        </w:tc>
        <w:tc>
          <w:tcPr>
            <w:tcW w:w="3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w w:val="92"/>
              </w:rPr>
              <w:t>120,994</w:t>
            </w:r>
          </w:p>
        </w:tc>
        <w:tc>
          <w:tcPr>
            <w:tcW w:w="20" w:type="dxa"/>
            <w:vAlign w:val="bottom"/>
          </w:tcPr>
          <w:p>
            <w:pPr>
              <w:spacing w:after="0"/>
              <w:rPr>
                <w:sz w:val="18"/>
                <w:szCs w:val="18"/>
                <w:color w:val="auto"/>
              </w:rPr>
            </w:pPr>
          </w:p>
        </w:tc>
      </w:tr>
      <w:tr>
        <w:trPr>
          <w:trHeight w:val="216"/>
        </w:trPr>
        <w:tc>
          <w:tcPr>
            <w:tcW w:w="3140" w:type="dxa"/>
            <w:vAlign w:val="bottom"/>
          </w:tcPr>
          <w:p>
            <w:pPr>
              <w:ind w:left="320"/>
              <w:spacing w:after="0"/>
              <w:rPr>
                <w:sz w:val="20"/>
                <w:szCs w:val="20"/>
                <w:color w:val="auto"/>
              </w:rPr>
            </w:pPr>
            <w:r>
              <w:rPr>
                <w:rFonts w:ascii="Arial" w:cs="Arial" w:eastAsia="Arial" w:hAnsi="Arial"/>
                <w:sz w:val="18"/>
                <w:szCs w:val="18"/>
                <w:color w:val="auto"/>
              </w:rPr>
              <w:t>Cost of goods and services</w:t>
            </w:r>
          </w:p>
        </w:tc>
        <w:tc>
          <w:tcPr>
            <w:tcW w:w="520" w:type="dxa"/>
            <w:vAlign w:val="bottom"/>
          </w:tcPr>
          <w:p>
            <w:pPr>
              <w:spacing w:after="0"/>
              <w:rPr>
                <w:sz w:val="18"/>
                <w:szCs w:val="18"/>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15,793</w:t>
            </w:r>
          </w:p>
        </w:tc>
        <w:tc>
          <w:tcPr>
            <w:tcW w:w="400" w:type="dxa"/>
            <w:vAlign w:val="bottom"/>
          </w:tcPr>
          <w:p>
            <w:pPr>
              <w:spacing w:after="0"/>
              <w:rPr>
                <w:sz w:val="18"/>
                <w:szCs w:val="18"/>
                <w:color w:val="auto"/>
              </w:rPr>
            </w:pPr>
          </w:p>
        </w:tc>
        <w:tc>
          <w:tcPr>
            <w:tcW w:w="1000" w:type="dxa"/>
            <w:vAlign w:val="bottom"/>
          </w:tcPr>
          <w:p>
            <w:pPr>
              <w:jc w:val="right"/>
              <w:ind w:right="214"/>
              <w:spacing w:after="0"/>
              <w:rPr>
                <w:sz w:val="20"/>
                <w:szCs w:val="20"/>
                <w:color w:val="auto"/>
              </w:rPr>
            </w:pPr>
            <w:r>
              <w:rPr>
                <w:rFonts w:ascii="Arial" w:cs="Arial" w:eastAsia="Arial" w:hAnsi="Arial"/>
                <w:sz w:val="18"/>
                <w:szCs w:val="18"/>
                <w:color w:val="auto"/>
              </w:rPr>
              <w:t>29,672</w:t>
            </w:r>
          </w:p>
        </w:tc>
        <w:tc>
          <w:tcPr>
            <w:tcW w:w="5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382</w:t>
            </w:r>
          </w:p>
        </w:tc>
        <w:tc>
          <w:tcPr>
            <w:tcW w:w="32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45,847</w:t>
            </w:r>
          </w:p>
        </w:tc>
        <w:tc>
          <w:tcPr>
            <w:tcW w:w="20" w:type="dxa"/>
            <w:vAlign w:val="bottom"/>
          </w:tcPr>
          <w:p>
            <w:pPr>
              <w:spacing w:after="0"/>
              <w:rPr>
                <w:sz w:val="18"/>
                <w:szCs w:val="18"/>
                <w:color w:val="auto"/>
              </w:rPr>
            </w:pPr>
          </w:p>
        </w:tc>
      </w:tr>
      <w:tr>
        <w:trPr>
          <w:trHeight w:val="216"/>
        </w:trPr>
        <w:tc>
          <w:tcPr>
            <w:tcW w:w="31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Network operating costs</w:t>
            </w:r>
          </w:p>
        </w:tc>
        <w:tc>
          <w:tcPr>
            <w:tcW w:w="52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54"/>
              <w:spacing w:after="0"/>
              <w:rPr>
                <w:sz w:val="20"/>
                <w:szCs w:val="20"/>
                <w:color w:val="auto"/>
              </w:rPr>
            </w:pPr>
            <w:r>
              <w:rPr>
                <w:rFonts w:ascii="Arial" w:cs="Arial" w:eastAsia="Arial" w:hAnsi="Arial"/>
                <w:sz w:val="18"/>
                <w:szCs w:val="18"/>
                <w:color w:val="auto"/>
              </w:rPr>
              <w:t>36,220</w:t>
            </w:r>
          </w:p>
        </w:tc>
        <w:tc>
          <w:tcPr>
            <w:tcW w:w="400" w:type="dxa"/>
            <w:vAlign w:val="bottom"/>
            <w:shd w:val="clear" w:color="auto" w:fill="EAF9E8"/>
          </w:tcPr>
          <w:p>
            <w:pPr>
              <w:spacing w:after="0"/>
              <w:rPr>
                <w:sz w:val="18"/>
                <w:szCs w:val="18"/>
                <w:color w:val="auto"/>
              </w:rPr>
            </w:pPr>
          </w:p>
        </w:tc>
        <w:tc>
          <w:tcPr>
            <w:tcW w:w="1000" w:type="dxa"/>
            <w:vAlign w:val="bottom"/>
            <w:shd w:val="clear" w:color="auto" w:fill="EAF9E8"/>
          </w:tcPr>
          <w:p>
            <w:pPr>
              <w:jc w:val="right"/>
              <w:ind w:right="154"/>
              <w:spacing w:after="0"/>
              <w:rPr>
                <w:sz w:val="20"/>
                <w:szCs w:val="20"/>
                <w:color w:val="auto"/>
              </w:rPr>
            </w:pPr>
            <w:r>
              <w:rPr>
                <w:rFonts w:ascii="Arial" w:cs="Arial" w:eastAsia="Arial" w:hAnsi="Arial"/>
                <w:sz w:val="18"/>
                <w:szCs w:val="18"/>
                <w:color w:val="auto"/>
              </w:rPr>
              <w:t>(36,220)</w:t>
            </w:r>
          </w:p>
        </w:tc>
        <w:tc>
          <w:tcPr>
            <w:tcW w:w="500" w:type="dxa"/>
            <w:vAlign w:val="bottom"/>
            <w:shd w:val="clear" w:color="auto" w:fill="EAF9E8"/>
          </w:tcPr>
          <w:p>
            <w:pPr>
              <w:spacing w:after="0"/>
              <w:rPr>
                <w:sz w:val="18"/>
                <w:szCs w:val="18"/>
                <w:color w:val="auto"/>
              </w:rPr>
            </w:pPr>
          </w:p>
        </w:tc>
        <w:tc>
          <w:tcPr>
            <w:tcW w:w="72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18"/>
                <w:szCs w:val="18"/>
                <w:color w:val="auto"/>
              </w:rPr>
            </w:pPr>
          </w:p>
        </w:tc>
        <w:tc>
          <w:tcPr>
            <w:tcW w:w="72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140" w:type="dxa"/>
            <w:vAlign w:val="bottom"/>
          </w:tcPr>
          <w:p>
            <w:pPr>
              <w:ind w:left="320"/>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tcPr>
          <w:p>
            <w:pPr>
              <w:spacing w:after="0"/>
              <w:rPr>
                <w:sz w:val="18"/>
                <w:szCs w:val="18"/>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30,316</w:t>
            </w:r>
          </w:p>
        </w:tc>
        <w:tc>
          <w:tcPr>
            <w:tcW w:w="400" w:type="dxa"/>
            <w:vAlign w:val="bottom"/>
          </w:tcPr>
          <w:p>
            <w:pPr>
              <w:spacing w:after="0"/>
              <w:rPr>
                <w:sz w:val="18"/>
                <w:szCs w:val="18"/>
                <w:color w:val="auto"/>
              </w:rPr>
            </w:pPr>
          </w:p>
        </w:tc>
        <w:tc>
          <w:tcPr>
            <w:tcW w:w="1000" w:type="dxa"/>
            <w:vAlign w:val="bottom"/>
          </w:tcPr>
          <w:p>
            <w:pPr>
              <w:jc w:val="right"/>
              <w:ind w:right="214"/>
              <w:spacing w:after="0"/>
              <w:rPr>
                <w:sz w:val="20"/>
                <w:szCs w:val="20"/>
                <w:color w:val="auto"/>
              </w:rPr>
            </w:pPr>
            <w:r>
              <w:rPr>
                <w:rFonts w:ascii="Arial" w:cs="Arial" w:eastAsia="Arial" w:hAnsi="Arial"/>
                <w:sz w:val="18"/>
                <w:szCs w:val="18"/>
                <w:color w:val="auto"/>
              </w:rPr>
              <w:t>7,800</w:t>
            </w:r>
          </w:p>
        </w:tc>
        <w:tc>
          <w:tcPr>
            <w:tcW w:w="5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38,116</w:t>
            </w:r>
          </w:p>
        </w:tc>
        <w:tc>
          <w:tcPr>
            <w:tcW w:w="20" w:type="dxa"/>
            <w:vAlign w:val="bottom"/>
          </w:tcPr>
          <w:p>
            <w:pPr>
              <w:spacing w:after="0"/>
              <w:rPr>
                <w:sz w:val="18"/>
                <w:szCs w:val="18"/>
                <w:color w:val="auto"/>
              </w:rPr>
            </w:pPr>
          </w:p>
        </w:tc>
      </w:tr>
      <w:tr>
        <w:trPr>
          <w:trHeight w:val="216"/>
        </w:trPr>
        <w:tc>
          <w:tcPr>
            <w:tcW w:w="31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Operating income</w:t>
            </w:r>
          </w:p>
        </w:tc>
        <w:tc>
          <w:tcPr>
            <w:tcW w:w="52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54"/>
              <w:spacing w:after="0"/>
              <w:rPr>
                <w:sz w:val="20"/>
                <w:szCs w:val="20"/>
                <w:color w:val="auto"/>
              </w:rPr>
            </w:pPr>
            <w:r>
              <w:rPr>
                <w:rFonts w:ascii="Arial" w:cs="Arial" w:eastAsia="Arial" w:hAnsi="Arial"/>
                <w:sz w:val="18"/>
                <w:szCs w:val="18"/>
                <w:color w:val="auto"/>
              </w:rPr>
              <w:t>19,625</w:t>
            </w:r>
          </w:p>
        </w:tc>
        <w:tc>
          <w:tcPr>
            <w:tcW w:w="400" w:type="dxa"/>
            <w:vAlign w:val="bottom"/>
            <w:shd w:val="clear" w:color="auto" w:fill="EAF9E8"/>
          </w:tcPr>
          <w:p>
            <w:pPr>
              <w:spacing w:after="0"/>
              <w:rPr>
                <w:sz w:val="18"/>
                <w:szCs w:val="18"/>
                <w:color w:val="auto"/>
              </w:rPr>
            </w:pPr>
          </w:p>
        </w:tc>
        <w:tc>
          <w:tcPr>
            <w:tcW w:w="1000" w:type="dxa"/>
            <w:vAlign w:val="bottom"/>
            <w:shd w:val="clear" w:color="auto" w:fill="EAF9E8"/>
          </w:tcPr>
          <w:p>
            <w:pPr>
              <w:jc w:val="right"/>
              <w:ind w:right="154"/>
              <w:spacing w:after="0"/>
              <w:rPr>
                <w:sz w:val="20"/>
                <w:szCs w:val="20"/>
                <w:color w:val="auto"/>
              </w:rPr>
            </w:pPr>
            <w:r>
              <w:rPr>
                <w:rFonts w:ascii="Arial" w:cs="Arial" w:eastAsia="Arial" w:hAnsi="Arial"/>
                <w:sz w:val="18"/>
                <w:szCs w:val="18"/>
                <w:color w:val="auto"/>
              </w:rPr>
              <w:t>(1,252)</w:t>
            </w:r>
          </w:p>
        </w:tc>
        <w:tc>
          <w:tcPr>
            <w:tcW w:w="500" w:type="dxa"/>
            <w:vAlign w:val="bottom"/>
            <w:shd w:val="clear" w:color="auto" w:fill="EAF9E8"/>
          </w:tcPr>
          <w:p>
            <w:pPr>
              <w:spacing w:after="0"/>
              <w:rPr>
                <w:sz w:val="18"/>
                <w:szCs w:val="18"/>
                <w:color w:val="auto"/>
              </w:rPr>
            </w:pPr>
          </w:p>
        </w:tc>
        <w:tc>
          <w:tcPr>
            <w:tcW w:w="72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rPr>
              <w:t>(362)</w:t>
            </w:r>
          </w:p>
        </w:tc>
        <w:tc>
          <w:tcPr>
            <w:tcW w:w="320" w:type="dxa"/>
            <w:vAlign w:val="bottom"/>
            <w:shd w:val="clear" w:color="auto" w:fill="EAF9E8"/>
          </w:tcPr>
          <w:p>
            <w:pPr>
              <w:spacing w:after="0"/>
              <w:rPr>
                <w:sz w:val="18"/>
                <w:szCs w:val="18"/>
                <w:color w:val="auto"/>
              </w:rPr>
            </w:pPr>
          </w:p>
        </w:tc>
        <w:tc>
          <w:tcPr>
            <w:tcW w:w="72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18,011</w:t>
            </w:r>
          </w:p>
        </w:tc>
        <w:tc>
          <w:tcPr>
            <w:tcW w:w="20" w:type="dxa"/>
            <w:vAlign w:val="bottom"/>
          </w:tcPr>
          <w:p>
            <w:pPr>
              <w:spacing w:after="0"/>
              <w:rPr>
                <w:sz w:val="18"/>
                <w:szCs w:val="18"/>
                <w:color w:val="auto"/>
              </w:rPr>
            </w:pPr>
          </w:p>
        </w:tc>
      </w:tr>
      <w:tr>
        <w:trPr>
          <w:trHeight w:val="216"/>
        </w:trPr>
        <w:tc>
          <w:tcPr>
            <w:tcW w:w="3140" w:type="dxa"/>
            <w:vAlign w:val="bottom"/>
          </w:tcPr>
          <w:p>
            <w:pPr>
              <w:ind w:left="320"/>
              <w:spacing w:after="0"/>
              <w:rPr>
                <w:sz w:val="20"/>
                <w:szCs w:val="20"/>
                <w:color w:val="auto"/>
              </w:rPr>
            </w:pPr>
            <w:r>
              <w:rPr>
                <w:rFonts w:ascii="Arial" w:cs="Arial" w:eastAsia="Arial" w:hAnsi="Arial"/>
                <w:sz w:val="18"/>
                <w:szCs w:val="18"/>
                <w:color w:val="auto"/>
              </w:rPr>
              <w:t>Income tax provision</w:t>
            </w:r>
          </w:p>
        </w:tc>
        <w:tc>
          <w:tcPr>
            <w:tcW w:w="520" w:type="dxa"/>
            <w:vAlign w:val="bottom"/>
          </w:tcPr>
          <w:p>
            <w:pPr>
              <w:spacing w:after="0"/>
              <w:rPr>
                <w:sz w:val="18"/>
                <w:szCs w:val="18"/>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6,078</w:t>
            </w:r>
          </w:p>
        </w:tc>
        <w:tc>
          <w:tcPr>
            <w:tcW w:w="400" w:type="dxa"/>
            <w:vAlign w:val="bottom"/>
          </w:tcPr>
          <w:p>
            <w:pPr>
              <w:spacing w:after="0"/>
              <w:rPr>
                <w:sz w:val="18"/>
                <w:szCs w:val="18"/>
                <w:color w:val="auto"/>
              </w:rPr>
            </w:pPr>
          </w:p>
        </w:tc>
        <w:tc>
          <w:tcPr>
            <w:tcW w:w="100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(157)</w:t>
            </w:r>
          </w:p>
        </w:tc>
        <w:tc>
          <w:tcPr>
            <w:tcW w:w="32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5,921</w:t>
            </w:r>
          </w:p>
        </w:tc>
        <w:tc>
          <w:tcPr>
            <w:tcW w:w="20" w:type="dxa"/>
            <w:vAlign w:val="bottom"/>
          </w:tcPr>
          <w:p>
            <w:pPr>
              <w:spacing w:after="0"/>
              <w:rPr>
                <w:sz w:val="18"/>
                <w:szCs w:val="18"/>
                <w:color w:val="auto"/>
              </w:rPr>
            </w:pPr>
          </w:p>
        </w:tc>
      </w:tr>
      <w:tr>
        <w:trPr>
          <w:trHeight w:val="216"/>
        </w:trPr>
        <w:tc>
          <w:tcPr>
            <w:tcW w:w="31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AF9E8"/>
          </w:tcPr>
          <w:p>
            <w:pPr>
              <w:jc w:val="right"/>
              <w:ind w:right="54"/>
              <w:spacing w:after="0"/>
              <w:rPr>
                <w:sz w:val="20"/>
                <w:szCs w:val="20"/>
                <w:color w:val="auto"/>
              </w:rPr>
            </w:pPr>
            <w:r>
              <w:rPr>
                <w:rFonts w:ascii="Arial" w:cs="Arial" w:eastAsia="Arial" w:hAnsi="Arial"/>
                <w:sz w:val="18"/>
                <w:szCs w:val="18"/>
                <w:color w:val="auto"/>
              </w:rPr>
              <w:t>10,243</w:t>
            </w:r>
          </w:p>
        </w:tc>
        <w:tc>
          <w:tcPr>
            <w:tcW w:w="40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AF9E8"/>
          </w:tcPr>
          <w:p>
            <w:pPr>
              <w:jc w:val="right"/>
              <w:ind w:right="214"/>
              <w:spacing w:after="0"/>
              <w:rPr>
                <w:sz w:val="20"/>
                <w:szCs w:val="20"/>
                <w:color w:val="auto"/>
              </w:rPr>
            </w:pPr>
            <w:r>
              <w:rPr>
                <w:rFonts w:ascii="Arial" w:cs="Arial" w:eastAsia="Arial" w:hAnsi="Arial"/>
                <w:sz w:val="18"/>
                <w:szCs w:val="18"/>
                <w:color w:val="auto"/>
              </w:rPr>
              <w:t>—</w:t>
            </w:r>
          </w:p>
        </w:tc>
        <w:tc>
          <w:tcPr>
            <w:tcW w:w="500" w:type="dxa"/>
            <w:vAlign w:val="bottom"/>
            <w:shd w:val="clear" w:color="auto" w:fill="EAF9E8"/>
          </w:tcPr>
          <w:p>
            <w:pPr>
              <w:jc w:val="right"/>
              <w:ind w:right="39"/>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rPr>
              <w:t>(205)</w:t>
            </w:r>
          </w:p>
        </w:tc>
        <w:tc>
          <w:tcPr>
            <w:tcW w:w="32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10,038</w:t>
            </w:r>
          </w:p>
        </w:tc>
        <w:tc>
          <w:tcPr>
            <w:tcW w:w="20" w:type="dxa"/>
            <w:vAlign w:val="bottom"/>
          </w:tcPr>
          <w:p>
            <w:pPr>
              <w:spacing w:after="0"/>
              <w:rPr>
                <w:sz w:val="18"/>
                <w:szCs w:val="18"/>
                <w:color w:val="auto"/>
              </w:rPr>
            </w:pPr>
          </w:p>
        </w:tc>
      </w:tr>
      <w:tr>
        <w:trPr>
          <w:trHeight w:val="216"/>
        </w:trPr>
        <w:tc>
          <w:tcPr>
            <w:tcW w:w="3140" w:type="dxa"/>
            <w:vAlign w:val="bottom"/>
          </w:tcPr>
          <w:p>
            <w:pPr>
              <w:ind w:left="320"/>
              <w:spacing w:after="0"/>
              <w:rPr>
                <w:sz w:val="20"/>
                <w:szCs w:val="20"/>
                <w:color w:val="auto"/>
              </w:rPr>
            </w:pPr>
            <w:r>
              <w:rPr>
                <w:rFonts w:ascii="Arial" w:cs="Arial" w:eastAsia="Arial" w:hAnsi="Arial"/>
                <w:sz w:val="18"/>
                <w:szCs w:val="18"/>
                <w:color w:val="auto"/>
              </w:rPr>
              <w:t>Net income per share, basic</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1.35</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9"/>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(0.03)</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r>
      <w:tr>
        <w:trPr>
          <w:trHeight w:val="216"/>
        </w:trPr>
        <w:tc>
          <w:tcPr>
            <w:tcW w:w="31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Net income per share, diluted</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AF9E8"/>
          </w:tcPr>
          <w:p>
            <w:pPr>
              <w:jc w:val="right"/>
              <w:ind w:right="54"/>
              <w:spacing w:after="0"/>
              <w:rPr>
                <w:sz w:val="20"/>
                <w:szCs w:val="20"/>
                <w:color w:val="auto"/>
              </w:rPr>
            </w:pPr>
            <w:r>
              <w:rPr>
                <w:rFonts w:ascii="Arial" w:cs="Arial" w:eastAsia="Arial" w:hAnsi="Arial"/>
                <w:sz w:val="18"/>
                <w:szCs w:val="18"/>
                <w:color w:val="auto"/>
              </w:rPr>
              <w:t>1.34</w:t>
            </w:r>
          </w:p>
        </w:tc>
        <w:tc>
          <w:tcPr>
            <w:tcW w:w="40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AF9E8"/>
          </w:tcPr>
          <w:p>
            <w:pPr>
              <w:jc w:val="right"/>
              <w:ind w:right="214"/>
              <w:spacing w:after="0"/>
              <w:rPr>
                <w:sz w:val="20"/>
                <w:szCs w:val="20"/>
                <w:color w:val="auto"/>
              </w:rPr>
            </w:pPr>
            <w:r>
              <w:rPr>
                <w:rFonts w:ascii="Arial" w:cs="Arial" w:eastAsia="Arial" w:hAnsi="Arial"/>
                <w:sz w:val="18"/>
                <w:szCs w:val="18"/>
                <w:color w:val="auto"/>
              </w:rPr>
              <w:t>—</w:t>
            </w:r>
          </w:p>
        </w:tc>
        <w:tc>
          <w:tcPr>
            <w:tcW w:w="500" w:type="dxa"/>
            <w:vAlign w:val="bottom"/>
            <w:shd w:val="clear" w:color="auto" w:fill="EAF9E8"/>
          </w:tcPr>
          <w:p>
            <w:pPr>
              <w:jc w:val="right"/>
              <w:ind w:right="39"/>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rPr>
              <w:t>(0.03)</w:t>
            </w:r>
          </w:p>
        </w:tc>
        <w:tc>
          <w:tcPr>
            <w:tcW w:w="32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r>
      <w:tr>
        <w:trPr>
          <w:trHeight w:val="418"/>
        </w:trPr>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2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w w:val="86"/>
              </w:rPr>
              <w:t>Year Ended December 31, 2003</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5"/>
        </w:trPr>
        <w:tc>
          <w:tcPr>
            <w:tcW w:w="31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gridSpan w:val="2"/>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237"/>
        </w:trPr>
        <w:tc>
          <w:tcPr>
            <w:tcW w:w="3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2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Restatement</w:t>
            </w: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74"/>
        </w:trPr>
        <w:tc>
          <w:tcPr>
            <w:tcW w:w="3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(Reported)</w:t>
            </w:r>
          </w:p>
        </w:tc>
        <w:tc>
          <w:tcPr>
            <w:tcW w:w="1400" w:type="dxa"/>
            <w:vAlign w:val="bottom"/>
            <w:gridSpan w:val="2"/>
          </w:tcPr>
          <w:p>
            <w:pPr>
              <w:jc w:val="right"/>
              <w:ind w:right="234"/>
              <w:spacing w:after="0"/>
              <w:rPr>
                <w:sz w:val="20"/>
                <w:szCs w:val="20"/>
                <w:color w:val="auto"/>
              </w:rPr>
            </w:pPr>
            <w:r>
              <w:rPr>
                <w:rFonts w:ascii="Arial" w:cs="Arial" w:eastAsia="Arial" w:hAnsi="Arial"/>
                <w:sz w:val="14"/>
                <w:szCs w:val="14"/>
                <w:b w:val="1"/>
                <w:bCs w:val="1"/>
                <w:color w:val="auto"/>
                <w:w w:val="92"/>
              </w:rPr>
              <w:t>Reclassifications</w:t>
            </w:r>
          </w:p>
        </w:tc>
        <w:tc>
          <w:tcPr>
            <w:tcW w:w="122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Adjustments</w:t>
            </w:r>
          </w:p>
        </w:tc>
        <w:tc>
          <w:tcPr>
            <w:tcW w:w="3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(Restated)</w:t>
            </w:r>
          </w:p>
        </w:tc>
      </w:tr>
      <w:tr>
        <w:trPr>
          <w:trHeight w:val="136"/>
        </w:trPr>
        <w:tc>
          <w:tcPr>
            <w:tcW w:w="3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31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Operating revenues</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AF9E8"/>
          </w:tcPr>
          <w:p>
            <w:pPr>
              <w:jc w:val="right"/>
              <w:ind w:right="54"/>
              <w:spacing w:after="0"/>
              <w:rPr>
                <w:sz w:val="20"/>
                <w:szCs w:val="20"/>
                <w:color w:val="auto"/>
              </w:rPr>
            </w:pPr>
            <w:r>
              <w:rPr>
                <w:rFonts w:ascii="Arial" w:cs="Arial" w:eastAsia="Arial" w:hAnsi="Arial"/>
                <w:sz w:val="18"/>
                <w:szCs w:val="18"/>
                <w:color w:val="auto"/>
                <w:w w:val="98"/>
              </w:rPr>
              <w:t>105,617</w:t>
            </w:r>
          </w:p>
        </w:tc>
        <w:tc>
          <w:tcPr>
            <w:tcW w:w="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9E8"/>
          </w:tcPr>
          <w:p>
            <w:pPr>
              <w:jc w:val="right"/>
              <w:ind w:right="214"/>
              <w:spacing w:after="0"/>
              <w:rPr>
                <w:sz w:val="20"/>
                <w:szCs w:val="20"/>
                <w:color w:val="auto"/>
              </w:rPr>
            </w:pPr>
            <w:r>
              <w:rPr>
                <w:rFonts w:ascii="Arial" w:cs="Arial" w:eastAsia="Arial" w:hAnsi="Arial"/>
                <w:sz w:val="18"/>
                <w:szCs w:val="18"/>
                <w:color w:val="auto"/>
              </w:rPr>
              <w:t>—</w:t>
            </w:r>
          </w:p>
        </w:tc>
        <w:tc>
          <w:tcPr>
            <w:tcW w:w="500" w:type="dxa"/>
            <w:vAlign w:val="bottom"/>
            <w:shd w:val="clear" w:color="auto" w:fill="EAF9E8"/>
          </w:tcPr>
          <w:p>
            <w:pPr>
              <w:jc w:val="right"/>
              <w:ind w:right="39"/>
              <w:spacing w:after="0"/>
              <w:rPr>
                <w:sz w:val="20"/>
                <w:szCs w:val="20"/>
                <w:color w:val="auto"/>
              </w:rPr>
            </w:pPr>
            <w:r>
              <w:rPr>
                <w:rFonts w:ascii="Arial" w:cs="Arial" w:eastAsia="Arial" w:hAnsi="Arial"/>
                <w:sz w:val="18"/>
                <w:szCs w:val="18"/>
                <w:color w:val="auto"/>
              </w:rPr>
              <w:t>$</w:t>
            </w:r>
          </w:p>
        </w:tc>
        <w:tc>
          <w:tcPr>
            <w:tcW w:w="72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rPr>
              <w:t>44</w:t>
            </w:r>
          </w:p>
        </w:tc>
        <w:tc>
          <w:tcPr>
            <w:tcW w:w="3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w w:val="92"/>
              </w:rPr>
              <w:t>105,661</w:t>
            </w:r>
          </w:p>
        </w:tc>
        <w:tc>
          <w:tcPr>
            <w:tcW w:w="20" w:type="dxa"/>
            <w:vAlign w:val="bottom"/>
          </w:tcPr>
          <w:p>
            <w:pPr>
              <w:spacing w:after="0"/>
              <w:rPr>
                <w:sz w:val="18"/>
                <w:szCs w:val="18"/>
                <w:color w:val="auto"/>
              </w:rPr>
            </w:pPr>
          </w:p>
        </w:tc>
      </w:tr>
      <w:tr>
        <w:trPr>
          <w:trHeight w:val="216"/>
        </w:trPr>
        <w:tc>
          <w:tcPr>
            <w:tcW w:w="3140" w:type="dxa"/>
            <w:vAlign w:val="bottom"/>
          </w:tcPr>
          <w:p>
            <w:pPr>
              <w:ind w:left="320"/>
              <w:spacing w:after="0"/>
              <w:rPr>
                <w:sz w:val="20"/>
                <w:szCs w:val="20"/>
                <w:color w:val="auto"/>
              </w:rPr>
            </w:pPr>
            <w:r>
              <w:rPr>
                <w:rFonts w:ascii="Arial" w:cs="Arial" w:eastAsia="Arial" w:hAnsi="Arial"/>
                <w:sz w:val="18"/>
                <w:szCs w:val="18"/>
                <w:color w:val="auto"/>
              </w:rPr>
              <w:t>Cost of goods and services</w:t>
            </w:r>
          </w:p>
        </w:tc>
        <w:tc>
          <w:tcPr>
            <w:tcW w:w="520" w:type="dxa"/>
            <w:vAlign w:val="bottom"/>
          </w:tcPr>
          <w:p>
            <w:pPr>
              <w:spacing w:after="0"/>
              <w:rPr>
                <w:sz w:val="18"/>
                <w:szCs w:val="18"/>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13,386</w:t>
            </w:r>
          </w:p>
        </w:tc>
        <w:tc>
          <w:tcPr>
            <w:tcW w:w="400" w:type="dxa"/>
            <w:vAlign w:val="bottom"/>
          </w:tcPr>
          <w:p>
            <w:pPr>
              <w:spacing w:after="0"/>
              <w:rPr>
                <w:sz w:val="18"/>
                <w:szCs w:val="18"/>
                <w:color w:val="auto"/>
              </w:rPr>
            </w:pPr>
          </w:p>
        </w:tc>
        <w:tc>
          <w:tcPr>
            <w:tcW w:w="1000" w:type="dxa"/>
            <w:vAlign w:val="bottom"/>
          </w:tcPr>
          <w:p>
            <w:pPr>
              <w:jc w:val="right"/>
              <w:ind w:right="214"/>
              <w:spacing w:after="0"/>
              <w:rPr>
                <w:sz w:val="20"/>
                <w:szCs w:val="20"/>
                <w:color w:val="auto"/>
              </w:rPr>
            </w:pPr>
            <w:r>
              <w:rPr>
                <w:rFonts w:ascii="Arial" w:cs="Arial" w:eastAsia="Arial" w:hAnsi="Arial"/>
                <w:sz w:val="18"/>
                <w:szCs w:val="18"/>
                <w:color w:val="auto"/>
              </w:rPr>
              <w:t>25,979</w:t>
            </w:r>
          </w:p>
        </w:tc>
        <w:tc>
          <w:tcPr>
            <w:tcW w:w="5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404</w:t>
            </w:r>
          </w:p>
        </w:tc>
        <w:tc>
          <w:tcPr>
            <w:tcW w:w="32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39,769</w:t>
            </w:r>
          </w:p>
        </w:tc>
        <w:tc>
          <w:tcPr>
            <w:tcW w:w="20" w:type="dxa"/>
            <w:vAlign w:val="bottom"/>
          </w:tcPr>
          <w:p>
            <w:pPr>
              <w:spacing w:after="0"/>
              <w:rPr>
                <w:sz w:val="18"/>
                <w:szCs w:val="18"/>
                <w:color w:val="auto"/>
              </w:rPr>
            </w:pPr>
          </w:p>
        </w:tc>
      </w:tr>
      <w:tr>
        <w:trPr>
          <w:trHeight w:val="216"/>
        </w:trPr>
        <w:tc>
          <w:tcPr>
            <w:tcW w:w="31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Network operating costs</w:t>
            </w:r>
          </w:p>
        </w:tc>
        <w:tc>
          <w:tcPr>
            <w:tcW w:w="52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54"/>
              <w:spacing w:after="0"/>
              <w:rPr>
                <w:sz w:val="20"/>
                <w:szCs w:val="20"/>
                <w:color w:val="auto"/>
              </w:rPr>
            </w:pPr>
            <w:r>
              <w:rPr>
                <w:rFonts w:ascii="Arial" w:cs="Arial" w:eastAsia="Arial" w:hAnsi="Arial"/>
                <w:sz w:val="18"/>
                <w:szCs w:val="18"/>
                <w:color w:val="auto"/>
              </w:rPr>
              <w:t>31,666</w:t>
            </w:r>
          </w:p>
        </w:tc>
        <w:tc>
          <w:tcPr>
            <w:tcW w:w="400" w:type="dxa"/>
            <w:vAlign w:val="bottom"/>
            <w:shd w:val="clear" w:color="auto" w:fill="EAF9E8"/>
          </w:tcPr>
          <w:p>
            <w:pPr>
              <w:spacing w:after="0"/>
              <w:rPr>
                <w:sz w:val="18"/>
                <w:szCs w:val="18"/>
                <w:color w:val="auto"/>
              </w:rPr>
            </w:pPr>
          </w:p>
        </w:tc>
        <w:tc>
          <w:tcPr>
            <w:tcW w:w="1000" w:type="dxa"/>
            <w:vAlign w:val="bottom"/>
            <w:shd w:val="clear" w:color="auto" w:fill="EAF9E8"/>
          </w:tcPr>
          <w:p>
            <w:pPr>
              <w:jc w:val="right"/>
              <w:ind w:right="154"/>
              <w:spacing w:after="0"/>
              <w:rPr>
                <w:sz w:val="20"/>
                <w:szCs w:val="20"/>
                <w:color w:val="auto"/>
              </w:rPr>
            </w:pPr>
            <w:r>
              <w:rPr>
                <w:rFonts w:ascii="Arial" w:cs="Arial" w:eastAsia="Arial" w:hAnsi="Arial"/>
                <w:sz w:val="18"/>
                <w:szCs w:val="18"/>
                <w:color w:val="auto"/>
              </w:rPr>
              <w:t>(31,666)</w:t>
            </w:r>
          </w:p>
        </w:tc>
        <w:tc>
          <w:tcPr>
            <w:tcW w:w="500" w:type="dxa"/>
            <w:vAlign w:val="bottom"/>
            <w:shd w:val="clear" w:color="auto" w:fill="EAF9E8"/>
          </w:tcPr>
          <w:p>
            <w:pPr>
              <w:spacing w:after="0"/>
              <w:rPr>
                <w:sz w:val="18"/>
                <w:szCs w:val="18"/>
                <w:color w:val="auto"/>
              </w:rPr>
            </w:pPr>
          </w:p>
        </w:tc>
        <w:tc>
          <w:tcPr>
            <w:tcW w:w="72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18"/>
                <w:szCs w:val="18"/>
                <w:color w:val="auto"/>
              </w:rPr>
            </w:pPr>
          </w:p>
        </w:tc>
        <w:tc>
          <w:tcPr>
            <w:tcW w:w="72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140" w:type="dxa"/>
            <w:vAlign w:val="bottom"/>
          </w:tcPr>
          <w:p>
            <w:pPr>
              <w:ind w:left="320"/>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tcPr>
          <w:p>
            <w:pPr>
              <w:spacing w:after="0"/>
              <w:rPr>
                <w:sz w:val="18"/>
                <w:szCs w:val="18"/>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25,306</w:t>
            </w:r>
          </w:p>
        </w:tc>
        <w:tc>
          <w:tcPr>
            <w:tcW w:w="400" w:type="dxa"/>
            <w:vAlign w:val="bottom"/>
          </w:tcPr>
          <w:p>
            <w:pPr>
              <w:spacing w:after="0"/>
              <w:rPr>
                <w:sz w:val="18"/>
                <w:szCs w:val="18"/>
                <w:color w:val="auto"/>
              </w:rPr>
            </w:pPr>
          </w:p>
        </w:tc>
        <w:tc>
          <w:tcPr>
            <w:tcW w:w="1000" w:type="dxa"/>
            <w:vAlign w:val="bottom"/>
          </w:tcPr>
          <w:p>
            <w:pPr>
              <w:jc w:val="right"/>
              <w:ind w:right="214"/>
              <w:spacing w:after="0"/>
              <w:rPr>
                <w:sz w:val="20"/>
                <w:szCs w:val="20"/>
                <w:color w:val="auto"/>
              </w:rPr>
            </w:pPr>
            <w:r>
              <w:rPr>
                <w:rFonts w:ascii="Arial" w:cs="Arial" w:eastAsia="Arial" w:hAnsi="Arial"/>
                <w:sz w:val="18"/>
                <w:szCs w:val="18"/>
                <w:color w:val="auto"/>
              </w:rPr>
              <w:t>6,034</w:t>
            </w:r>
          </w:p>
        </w:tc>
        <w:tc>
          <w:tcPr>
            <w:tcW w:w="50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31,340</w:t>
            </w:r>
          </w:p>
        </w:tc>
        <w:tc>
          <w:tcPr>
            <w:tcW w:w="20" w:type="dxa"/>
            <w:vAlign w:val="bottom"/>
          </w:tcPr>
          <w:p>
            <w:pPr>
              <w:spacing w:after="0"/>
              <w:rPr>
                <w:sz w:val="18"/>
                <w:szCs w:val="18"/>
                <w:color w:val="auto"/>
              </w:rPr>
            </w:pPr>
          </w:p>
        </w:tc>
      </w:tr>
      <w:tr>
        <w:trPr>
          <w:trHeight w:val="216"/>
        </w:trPr>
        <w:tc>
          <w:tcPr>
            <w:tcW w:w="31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Operating income</w:t>
            </w:r>
          </w:p>
        </w:tc>
        <w:tc>
          <w:tcPr>
            <w:tcW w:w="52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54"/>
              <w:spacing w:after="0"/>
              <w:rPr>
                <w:sz w:val="20"/>
                <w:szCs w:val="20"/>
                <w:color w:val="auto"/>
              </w:rPr>
            </w:pPr>
            <w:r>
              <w:rPr>
                <w:rFonts w:ascii="Arial" w:cs="Arial" w:eastAsia="Arial" w:hAnsi="Arial"/>
                <w:sz w:val="18"/>
                <w:szCs w:val="18"/>
                <w:color w:val="auto"/>
              </w:rPr>
              <w:t>18,628</w:t>
            </w:r>
          </w:p>
        </w:tc>
        <w:tc>
          <w:tcPr>
            <w:tcW w:w="400" w:type="dxa"/>
            <w:vAlign w:val="bottom"/>
            <w:shd w:val="clear" w:color="auto" w:fill="EAF9E8"/>
          </w:tcPr>
          <w:p>
            <w:pPr>
              <w:spacing w:after="0"/>
              <w:rPr>
                <w:sz w:val="18"/>
                <w:szCs w:val="18"/>
                <w:color w:val="auto"/>
              </w:rPr>
            </w:pPr>
          </w:p>
        </w:tc>
        <w:tc>
          <w:tcPr>
            <w:tcW w:w="1000" w:type="dxa"/>
            <w:vAlign w:val="bottom"/>
            <w:shd w:val="clear" w:color="auto" w:fill="EAF9E8"/>
          </w:tcPr>
          <w:p>
            <w:pPr>
              <w:jc w:val="right"/>
              <w:ind w:right="154"/>
              <w:spacing w:after="0"/>
              <w:rPr>
                <w:sz w:val="20"/>
                <w:szCs w:val="20"/>
                <w:color w:val="auto"/>
              </w:rPr>
            </w:pPr>
            <w:r>
              <w:rPr>
                <w:rFonts w:ascii="Arial" w:cs="Arial" w:eastAsia="Arial" w:hAnsi="Arial"/>
                <w:sz w:val="18"/>
                <w:szCs w:val="18"/>
                <w:color w:val="auto"/>
              </w:rPr>
              <w:t>(347)</w:t>
            </w:r>
          </w:p>
        </w:tc>
        <w:tc>
          <w:tcPr>
            <w:tcW w:w="500" w:type="dxa"/>
            <w:vAlign w:val="bottom"/>
            <w:shd w:val="clear" w:color="auto" w:fill="EAF9E8"/>
          </w:tcPr>
          <w:p>
            <w:pPr>
              <w:spacing w:after="0"/>
              <w:rPr>
                <w:sz w:val="18"/>
                <w:szCs w:val="18"/>
                <w:color w:val="auto"/>
              </w:rPr>
            </w:pPr>
          </w:p>
        </w:tc>
        <w:tc>
          <w:tcPr>
            <w:tcW w:w="72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rPr>
              <w:t>(360)</w:t>
            </w:r>
          </w:p>
        </w:tc>
        <w:tc>
          <w:tcPr>
            <w:tcW w:w="320" w:type="dxa"/>
            <w:vAlign w:val="bottom"/>
            <w:shd w:val="clear" w:color="auto" w:fill="EAF9E8"/>
          </w:tcPr>
          <w:p>
            <w:pPr>
              <w:spacing w:after="0"/>
              <w:rPr>
                <w:sz w:val="18"/>
                <w:szCs w:val="18"/>
                <w:color w:val="auto"/>
              </w:rPr>
            </w:pPr>
          </w:p>
        </w:tc>
        <w:tc>
          <w:tcPr>
            <w:tcW w:w="72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17,921</w:t>
            </w:r>
          </w:p>
        </w:tc>
        <w:tc>
          <w:tcPr>
            <w:tcW w:w="20" w:type="dxa"/>
            <w:vAlign w:val="bottom"/>
          </w:tcPr>
          <w:p>
            <w:pPr>
              <w:spacing w:after="0"/>
              <w:rPr>
                <w:sz w:val="18"/>
                <w:szCs w:val="18"/>
                <w:color w:val="auto"/>
              </w:rPr>
            </w:pPr>
          </w:p>
        </w:tc>
      </w:tr>
      <w:tr>
        <w:trPr>
          <w:trHeight w:val="216"/>
        </w:trPr>
        <w:tc>
          <w:tcPr>
            <w:tcW w:w="3140" w:type="dxa"/>
            <w:vAlign w:val="bottom"/>
          </w:tcPr>
          <w:p>
            <w:pPr>
              <w:ind w:left="320"/>
              <w:spacing w:after="0"/>
              <w:rPr>
                <w:sz w:val="20"/>
                <w:szCs w:val="20"/>
                <w:color w:val="auto"/>
              </w:rPr>
            </w:pPr>
            <w:r>
              <w:rPr>
                <w:rFonts w:ascii="Arial" w:cs="Arial" w:eastAsia="Arial" w:hAnsi="Arial"/>
                <w:sz w:val="18"/>
                <w:szCs w:val="18"/>
                <w:color w:val="auto"/>
              </w:rPr>
              <w:t>Income tax provision</w:t>
            </w:r>
          </w:p>
        </w:tc>
        <w:tc>
          <w:tcPr>
            <w:tcW w:w="520" w:type="dxa"/>
            <w:vAlign w:val="bottom"/>
          </w:tcPr>
          <w:p>
            <w:pPr>
              <w:spacing w:after="0"/>
              <w:rPr>
                <w:sz w:val="18"/>
                <w:szCs w:val="18"/>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5,304</w:t>
            </w:r>
          </w:p>
        </w:tc>
        <w:tc>
          <w:tcPr>
            <w:tcW w:w="400" w:type="dxa"/>
            <w:vAlign w:val="bottom"/>
          </w:tcPr>
          <w:p>
            <w:pPr>
              <w:spacing w:after="0"/>
              <w:rPr>
                <w:sz w:val="18"/>
                <w:szCs w:val="18"/>
                <w:color w:val="auto"/>
              </w:rPr>
            </w:pPr>
          </w:p>
        </w:tc>
        <w:tc>
          <w:tcPr>
            <w:tcW w:w="100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(138)</w:t>
            </w:r>
          </w:p>
        </w:tc>
        <w:tc>
          <w:tcPr>
            <w:tcW w:w="32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5,166</w:t>
            </w:r>
          </w:p>
        </w:tc>
        <w:tc>
          <w:tcPr>
            <w:tcW w:w="20" w:type="dxa"/>
            <w:vAlign w:val="bottom"/>
          </w:tcPr>
          <w:p>
            <w:pPr>
              <w:spacing w:after="0"/>
              <w:rPr>
                <w:sz w:val="18"/>
                <w:szCs w:val="18"/>
                <w:color w:val="auto"/>
              </w:rPr>
            </w:pPr>
          </w:p>
        </w:tc>
      </w:tr>
      <w:tr>
        <w:trPr>
          <w:trHeight w:val="216"/>
        </w:trPr>
        <w:tc>
          <w:tcPr>
            <w:tcW w:w="31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AF9E8"/>
          </w:tcPr>
          <w:p>
            <w:pPr>
              <w:jc w:val="right"/>
              <w:ind w:right="54"/>
              <w:spacing w:after="0"/>
              <w:rPr>
                <w:sz w:val="20"/>
                <w:szCs w:val="20"/>
                <w:color w:val="auto"/>
              </w:rPr>
            </w:pPr>
            <w:r>
              <w:rPr>
                <w:rFonts w:ascii="Arial" w:cs="Arial" w:eastAsia="Arial" w:hAnsi="Arial"/>
                <w:sz w:val="18"/>
                <w:szCs w:val="18"/>
                <w:color w:val="auto"/>
              </w:rPr>
              <w:t>32,074</w:t>
            </w:r>
          </w:p>
        </w:tc>
        <w:tc>
          <w:tcPr>
            <w:tcW w:w="40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AF9E8"/>
          </w:tcPr>
          <w:p>
            <w:pPr>
              <w:jc w:val="right"/>
              <w:ind w:right="214"/>
              <w:spacing w:after="0"/>
              <w:rPr>
                <w:sz w:val="20"/>
                <w:szCs w:val="20"/>
                <w:color w:val="auto"/>
              </w:rPr>
            </w:pPr>
            <w:r>
              <w:rPr>
                <w:rFonts w:ascii="Arial" w:cs="Arial" w:eastAsia="Arial" w:hAnsi="Arial"/>
                <w:sz w:val="18"/>
                <w:szCs w:val="18"/>
                <w:color w:val="auto"/>
              </w:rPr>
              <w:t>—</w:t>
            </w:r>
          </w:p>
        </w:tc>
        <w:tc>
          <w:tcPr>
            <w:tcW w:w="500" w:type="dxa"/>
            <w:vAlign w:val="bottom"/>
            <w:shd w:val="clear" w:color="auto" w:fill="EAF9E8"/>
          </w:tcPr>
          <w:p>
            <w:pPr>
              <w:jc w:val="right"/>
              <w:ind w:right="39"/>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rPr>
              <w:t>(222)</w:t>
            </w:r>
          </w:p>
        </w:tc>
        <w:tc>
          <w:tcPr>
            <w:tcW w:w="32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31,852</w:t>
            </w:r>
          </w:p>
        </w:tc>
        <w:tc>
          <w:tcPr>
            <w:tcW w:w="20" w:type="dxa"/>
            <w:vAlign w:val="bottom"/>
          </w:tcPr>
          <w:p>
            <w:pPr>
              <w:spacing w:after="0"/>
              <w:rPr>
                <w:sz w:val="18"/>
                <w:szCs w:val="18"/>
                <w:color w:val="auto"/>
              </w:rPr>
            </w:pPr>
          </w:p>
        </w:tc>
      </w:tr>
      <w:tr>
        <w:trPr>
          <w:trHeight w:val="216"/>
        </w:trPr>
        <w:tc>
          <w:tcPr>
            <w:tcW w:w="3140" w:type="dxa"/>
            <w:vAlign w:val="bottom"/>
          </w:tcPr>
          <w:p>
            <w:pPr>
              <w:ind w:left="320"/>
              <w:spacing w:after="0"/>
              <w:rPr>
                <w:sz w:val="20"/>
                <w:szCs w:val="20"/>
                <w:color w:val="auto"/>
              </w:rPr>
            </w:pPr>
            <w:r>
              <w:rPr>
                <w:rFonts w:ascii="Arial" w:cs="Arial" w:eastAsia="Arial" w:hAnsi="Arial"/>
                <w:sz w:val="18"/>
                <w:szCs w:val="18"/>
                <w:color w:val="auto"/>
              </w:rPr>
              <w:t>Net income per share, basic</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4.23</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9"/>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(0.03)</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4.20</w:t>
            </w:r>
          </w:p>
        </w:tc>
        <w:tc>
          <w:tcPr>
            <w:tcW w:w="20" w:type="dxa"/>
            <w:vAlign w:val="bottom"/>
          </w:tcPr>
          <w:p>
            <w:pPr>
              <w:spacing w:after="0"/>
              <w:rPr>
                <w:sz w:val="18"/>
                <w:szCs w:val="18"/>
                <w:color w:val="auto"/>
              </w:rPr>
            </w:pPr>
          </w:p>
        </w:tc>
      </w:tr>
      <w:tr>
        <w:trPr>
          <w:trHeight w:val="216"/>
        </w:trPr>
        <w:tc>
          <w:tcPr>
            <w:tcW w:w="31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Net income per share, diluted</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AF9E8"/>
          </w:tcPr>
          <w:p>
            <w:pPr>
              <w:jc w:val="right"/>
              <w:ind w:right="54"/>
              <w:spacing w:after="0"/>
              <w:rPr>
                <w:sz w:val="20"/>
                <w:szCs w:val="20"/>
                <w:color w:val="auto"/>
              </w:rPr>
            </w:pPr>
            <w:r>
              <w:rPr>
                <w:rFonts w:ascii="Arial" w:cs="Arial" w:eastAsia="Arial" w:hAnsi="Arial"/>
                <w:sz w:val="18"/>
                <w:szCs w:val="18"/>
                <w:color w:val="auto"/>
              </w:rPr>
              <w:t>4.22</w:t>
            </w:r>
          </w:p>
        </w:tc>
        <w:tc>
          <w:tcPr>
            <w:tcW w:w="40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AF9E8"/>
          </w:tcPr>
          <w:p>
            <w:pPr>
              <w:jc w:val="right"/>
              <w:ind w:right="214"/>
              <w:spacing w:after="0"/>
              <w:rPr>
                <w:sz w:val="20"/>
                <w:szCs w:val="20"/>
                <w:color w:val="auto"/>
              </w:rPr>
            </w:pPr>
            <w:r>
              <w:rPr>
                <w:rFonts w:ascii="Arial" w:cs="Arial" w:eastAsia="Arial" w:hAnsi="Arial"/>
                <w:sz w:val="18"/>
                <w:szCs w:val="18"/>
                <w:color w:val="auto"/>
              </w:rPr>
              <w:t>—</w:t>
            </w:r>
          </w:p>
        </w:tc>
        <w:tc>
          <w:tcPr>
            <w:tcW w:w="500" w:type="dxa"/>
            <w:vAlign w:val="bottom"/>
            <w:shd w:val="clear" w:color="auto" w:fill="EAF9E8"/>
          </w:tcPr>
          <w:p>
            <w:pPr>
              <w:jc w:val="right"/>
              <w:ind w:right="39"/>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rPr>
              <w:t>(0.04)</w:t>
            </w:r>
          </w:p>
        </w:tc>
        <w:tc>
          <w:tcPr>
            <w:tcW w:w="32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4.18</w:t>
            </w:r>
          </w:p>
        </w:tc>
        <w:tc>
          <w:tcPr>
            <w:tcW w:w="20" w:type="dxa"/>
            <w:vAlign w:val="bottom"/>
          </w:tcPr>
          <w:p>
            <w:pPr>
              <w:spacing w:after="0"/>
              <w:rPr>
                <w:sz w:val="18"/>
                <w:szCs w:val="18"/>
                <w:color w:val="auto"/>
              </w:rPr>
            </w:pPr>
          </w:p>
        </w:tc>
      </w:tr>
    </w:tbl>
    <w:p>
      <w:pPr>
        <w:spacing w:after="0" w:line="208" w:lineRule="exact"/>
        <w:rPr>
          <w:sz w:val="20"/>
          <w:szCs w:val="20"/>
          <w:color w:val="auto"/>
        </w:rPr>
      </w:pPr>
    </w:p>
    <w:p>
      <w:pPr>
        <w:jc w:val="both"/>
        <w:ind w:right="2199"/>
        <w:spacing w:after="0" w:line="268" w:lineRule="auto"/>
        <w:rPr>
          <w:sz w:val="20"/>
          <w:szCs w:val="20"/>
          <w:color w:val="auto"/>
        </w:rPr>
      </w:pPr>
      <w:r>
        <w:rPr>
          <w:rFonts w:ascii="Arial" w:cs="Arial" w:eastAsia="Arial" w:hAnsi="Arial"/>
          <w:sz w:val="18"/>
          <w:szCs w:val="18"/>
          <w:color w:val="auto"/>
        </w:rPr>
        <w:t>The reclassifications and restatement adjustments to amounts previously presented in the Company’s consolidated balance sheets are summarized below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20" w:type="dxa"/>
            <w:vAlign w:val="bottom"/>
            <w:gridSpan w:val="3"/>
          </w:tcPr>
          <w:p>
            <w:pPr>
              <w:jc w:val="right"/>
              <w:ind w:right="512"/>
              <w:spacing w:after="0"/>
              <w:rPr>
                <w:sz w:val="20"/>
                <w:szCs w:val="20"/>
                <w:color w:val="auto"/>
              </w:rPr>
            </w:pPr>
            <w:r>
              <w:rPr>
                <w:rFonts w:ascii="Arial" w:cs="Arial" w:eastAsia="Arial" w:hAnsi="Arial"/>
                <w:sz w:val="14"/>
                <w:szCs w:val="14"/>
                <w:b w:val="1"/>
                <w:bCs w:val="1"/>
                <w:color w:val="auto"/>
                <w:w w:val="90"/>
              </w:rPr>
              <w:t>As of December 31, 2004</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33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gridSpan w:val="2"/>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237"/>
        </w:trPr>
        <w:tc>
          <w:tcPr>
            <w:tcW w:w="3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2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Restatement</w:t>
            </w: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74"/>
        </w:trPr>
        <w:tc>
          <w:tcPr>
            <w:tcW w:w="3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ind w:right="56"/>
              <w:spacing w:after="0"/>
              <w:rPr>
                <w:sz w:val="20"/>
                <w:szCs w:val="20"/>
                <w:color w:val="auto"/>
              </w:rPr>
            </w:pPr>
            <w:r>
              <w:rPr>
                <w:rFonts w:ascii="Arial" w:cs="Arial" w:eastAsia="Arial" w:hAnsi="Arial"/>
                <w:sz w:val="14"/>
                <w:szCs w:val="14"/>
                <w:b w:val="1"/>
                <w:bCs w:val="1"/>
                <w:color w:val="auto"/>
                <w:w w:val="90"/>
              </w:rPr>
              <w:t>(Reported)</w:t>
            </w:r>
          </w:p>
        </w:tc>
        <w:tc>
          <w:tcPr>
            <w:tcW w:w="1400" w:type="dxa"/>
            <w:vAlign w:val="bottom"/>
            <w:gridSpan w:val="2"/>
          </w:tcPr>
          <w:p>
            <w:pPr>
              <w:jc w:val="right"/>
              <w:ind w:right="216"/>
              <w:spacing w:after="0"/>
              <w:rPr>
                <w:sz w:val="20"/>
                <w:szCs w:val="20"/>
                <w:color w:val="auto"/>
              </w:rPr>
            </w:pPr>
            <w:r>
              <w:rPr>
                <w:rFonts w:ascii="Arial" w:cs="Arial" w:eastAsia="Arial" w:hAnsi="Arial"/>
                <w:sz w:val="14"/>
                <w:szCs w:val="14"/>
                <w:b w:val="1"/>
                <w:bCs w:val="1"/>
                <w:color w:val="auto"/>
                <w:w w:val="94"/>
              </w:rPr>
              <w:t>Reclassifications</w:t>
            </w:r>
          </w:p>
        </w:tc>
        <w:tc>
          <w:tcPr>
            <w:tcW w:w="122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Adjustments</w:t>
            </w:r>
          </w:p>
        </w:tc>
        <w:tc>
          <w:tcPr>
            <w:tcW w:w="3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(Restated)</w:t>
            </w:r>
          </w:p>
        </w:tc>
      </w:tr>
      <w:tr>
        <w:trPr>
          <w:trHeight w:val="136"/>
        </w:trPr>
        <w:tc>
          <w:tcPr>
            <w:tcW w:w="3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3320" w:type="dxa"/>
            <w:vAlign w:val="bottom"/>
            <w:shd w:val="clear" w:color="auto" w:fill="EAF9E8"/>
          </w:tcPr>
          <w:p>
            <w:pPr>
              <w:ind w:left="320"/>
              <w:spacing w:after="0"/>
              <w:rPr>
                <w:sz w:val="20"/>
                <w:szCs w:val="20"/>
                <w:color w:val="auto"/>
              </w:rPr>
            </w:pPr>
            <w:r>
              <w:rPr>
                <w:rFonts w:ascii="Arial" w:cs="Arial" w:eastAsia="Arial" w:hAnsi="Arial"/>
                <w:sz w:val="18"/>
                <w:szCs w:val="18"/>
                <w:color w:val="auto"/>
                <w:w w:val="95"/>
              </w:rPr>
              <w:t>Deferred charges and other assets, net</w:t>
            </w:r>
          </w:p>
        </w:tc>
        <w:tc>
          <w:tcPr>
            <w:tcW w:w="34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AF9E8"/>
          </w:tcPr>
          <w:p>
            <w:pPr>
              <w:jc w:val="right"/>
              <w:ind w:right="56"/>
              <w:spacing w:after="0"/>
              <w:rPr>
                <w:sz w:val="20"/>
                <w:szCs w:val="20"/>
                <w:color w:val="auto"/>
              </w:rPr>
            </w:pPr>
            <w:r>
              <w:rPr>
                <w:rFonts w:ascii="Arial" w:cs="Arial" w:eastAsia="Arial" w:hAnsi="Arial"/>
                <w:sz w:val="18"/>
                <w:szCs w:val="18"/>
                <w:color w:val="auto"/>
              </w:rPr>
              <w:t>964</w:t>
            </w:r>
          </w:p>
        </w:tc>
        <w:tc>
          <w:tcPr>
            <w:tcW w:w="500" w:type="dxa"/>
            <w:vAlign w:val="bottom"/>
            <w:shd w:val="clear" w:color="auto" w:fill="EAF9E8"/>
          </w:tcPr>
          <w:p>
            <w:pPr>
              <w:jc w:val="right"/>
              <w:ind w:right="39"/>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AF9E8"/>
          </w:tcPr>
          <w:p>
            <w:pPr>
              <w:jc w:val="right"/>
              <w:ind w:right="156"/>
              <w:spacing w:after="0"/>
              <w:rPr>
                <w:sz w:val="20"/>
                <w:szCs w:val="20"/>
                <w:color w:val="auto"/>
              </w:rPr>
            </w:pPr>
            <w:r>
              <w:rPr>
                <w:rFonts w:ascii="Arial" w:cs="Arial" w:eastAsia="Arial" w:hAnsi="Arial"/>
                <w:sz w:val="18"/>
                <w:szCs w:val="18"/>
                <w:color w:val="auto"/>
              </w:rPr>
              <w:t>(146)</w:t>
            </w:r>
          </w:p>
        </w:tc>
        <w:tc>
          <w:tcPr>
            <w:tcW w:w="460" w:type="dxa"/>
            <w:vAlign w:val="bottom"/>
            <w:shd w:val="clear" w:color="auto" w:fill="EAF9E8"/>
          </w:tcPr>
          <w:p>
            <w:pPr>
              <w:jc w:val="right"/>
              <w:ind w:right="2"/>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rPr>
              <w:t>174</w:t>
            </w:r>
          </w:p>
        </w:tc>
        <w:tc>
          <w:tcPr>
            <w:tcW w:w="32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AF9E8"/>
          </w:tcPr>
          <w:p>
            <w:pPr>
              <w:jc w:val="right"/>
              <w:ind w:right="16"/>
              <w:spacing w:after="0"/>
              <w:rPr>
                <w:sz w:val="20"/>
                <w:szCs w:val="20"/>
                <w:color w:val="auto"/>
              </w:rPr>
            </w:pPr>
            <w:r>
              <w:rPr>
                <w:rFonts w:ascii="Arial" w:cs="Arial" w:eastAsia="Arial" w:hAnsi="Arial"/>
                <w:sz w:val="18"/>
                <w:szCs w:val="18"/>
                <w:color w:val="auto"/>
              </w:rPr>
              <w:t>992</w:t>
            </w:r>
          </w:p>
        </w:tc>
        <w:tc>
          <w:tcPr>
            <w:tcW w:w="20" w:type="dxa"/>
            <w:vAlign w:val="bottom"/>
          </w:tcPr>
          <w:p>
            <w:pPr>
              <w:spacing w:after="0"/>
              <w:rPr>
                <w:sz w:val="18"/>
                <w:szCs w:val="18"/>
                <w:color w:val="auto"/>
              </w:rPr>
            </w:pPr>
          </w:p>
        </w:tc>
      </w:tr>
      <w:tr>
        <w:trPr>
          <w:trHeight w:val="216"/>
        </w:trPr>
        <w:tc>
          <w:tcPr>
            <w:tcW w:w="3320" w:type="dxa"/>
            <w:vAlign w:val="bottom"/>
          </w:tcPr>
          <w:p>
            <w:pPr>
              <w:ind w:left="320"/>
              <w:spacing w:after="0"/>
              <w:rPr>
                <w:sz w:val="20"/>
                <w:szCs w:val="20"/>
                <w:color w:val="auto"/>
              </w:rPr>
            </w:pPr>
            <w:r>
              <w:rPr>
                <w:rFonts w:ascii="Arial" w:cs="Arial" w:eastAsia="Arial" w:hAnsi="Arial"/>
                <w:sz w:val="18"/>
                <w:szCs w:val="18"/>
                <w:color w:val="auto"/>
                <w:w w:val="97"/>
              </w:rPr>
              <w:t>Long-term deferred income tax liability</w:t>
            </w:r>
          </w:p>
        </w:tc>
        <w:tc>
          <w:tcPr>
            <w:tcW w:w="340" w:type="dxa"/>
            <w:vAlign w:val="bottom"/>
          </w:tcPr>
          <w:p>
            <w:pPr>
              <w:spacing w:after="0"/>
              <w:rPr>
                <w:sz w:val="18"/>
                <w:szCs w:val="18"/>
                <w:color w:val="auto"/>
              </w:rPr>
            </w:pPr>
          </w:p>
        </w:tc>
        <w:tc>
          <w:tcPr>
            <w:tcW w:w="800" w:type="dxa"/>
            <w:vAlign w:val="bottom"/>
          </w:tcPr>
          <w:p>
            <w:pPr>
              <w:jc w:val="right"/>
              <w:ind w:right="56"/>
              <w:spacing w:after="0"/>
              <w:rPr>
                <w:sz w:val="20"/>
                <w:szCs w:val="20"/>
                <w:color w:val="auto"/>
              </w:rPr>
            </w:pPr>
            <w:r>
              <w:rPr>
                <w:rFonts w:ascii="Arial" w:cs="Arial" w:eastAsia="Arial" w:hAnsi="Arial"/>
                <w:sz w:val="18"/>
                <w:szCs w:val="18"/>
                <w:color w:val="auto"/>
              </w:rPr>
              <w:t>24,826</w:t>
            </w:r>
          </w:p>
        </w:tc>
        <w:tc>
          <w:tcPr>
            <w:tcW w:w="500" w:type="dxa"/>
            <w:vAlign w:val="bottom"/>
          </w:tcPr>
          <w:p>
            <w:pPr>
              <w:spacing w:after="0"/>
              <w:rPr>
                <w:sz w:val="18"/>
                <w:szCs w:val="18"/>
                <w:color w:val="auto"/>
              </w:rPr>
            </w:pPr>
          </w:p>
        </w:tc>
        <w:tc>
          <w:tcPr>
            <w:tcW w:w="90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(664)</w:t>
            </w:r>
          </w:p>
        </w:tc>
        <w:tc>
          <w:tcPr>
            <w:tcW w:w="320" w:type="dxa"/>
            <w:vAlign w:val="bottom"/>
          </w:tcPr>
          <w:p>
            <w:pPr>
              <w:spacing w:after="0"/>
              <w:rPr>
                <w:sz w:val="18"/>
                <w:szCs w:val="18"/>
                <w:color w:val="auto"/>
              </w:rPr>
            </w:pP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24,162</w:t>
            </w:r>
          </w:p>
        </w:tc>
        <w:tc>
          <w:tcPr>
            <w:tcW w:w="20" w:type="dxa"/>
            <w:vAlign w:val="bottom"/>
          </w:tcPr>
          <w:p>
            <w:pPr>
              <w:spacing w:after="0"/>
              <w:rPr>
                <w:sz w:val="18"/>
                <w:szCs w:val="18"/>
                <w:color w:val="auto"/>
              </w:rPr>
            </w:pPr>
          </w:p>
        </w:tc>
      </w:tr>
      <w:tr>
        <w:trPr>
          <w:trHeight w:val="216"/>
        </w:trPr>
        <w:tc>
          <w:tcPr>
            <w:tcW w:w="33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Deferred lease payable</w:t>
            </w: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56"/>
              <w:spacing w:after="0"/>
              <w:rPr>
                <w:sz w:val="20"/>
                <w:szCs w:val="20"/>
                <w:color w:val="auto"/>
              </w:rPr>
            </w:pPr>
            <w:r>
              <w:rPr>
                <w:rFonts w:ascii="Arial" w:cs="Arial" w:eastAsia="Arial" w:hAnsi="Arial"/>
                <w:sz w:val="18"/>
                <w:szCs w:val="18"/>
                <w:color w:val="auto"/>
              </w:rPr>
              <w:t>—</w:t>
            </w:r>
          </w:p>
        </w:tc>
        <w:tc>
          <w:tcPr>
            <w:tcW w:w="500" w:type="dxa"/>
            <w:vAlign w:val="bottom"/>
            <w:shd w:val="clear" w:color="auto" w:fill="EAF9E8"/>
          </w:tcPr>
          <w:p>
            <w:pPr>
              <w:spacing w:after="0"/>
              <w:rPr>
                <w:sz w:val="18"/>
                <w:szCs w:val="18"/>
                <w:color w:val="auto"/>
              </w:rPr>
            </w:pPr>
          </w:p>
        </w:tc>
        <w:tc>
          <w:tcPr>
            <w:tcW w:w="900" w:type="dxa"/>
            <w:vAlign w:val="bottom"/>
            <w:shd w:val="clear" w:color="auto" w:fill="EAF9E8"/>
          </w:tcPr>
          <w:p>
            <w:pPr>
              <w:jc w:val="right"/>
              <w:ind w:right="216"/>
              <w:spacing w:after="0"/>
              <w:rPr>
                <w:sz w:val="20"/>
                <w:szCs w:val="20"/>
                <w:color w:val="auto"/>
              </w:rPr>
            </w:pPr>
            <w:r>
              <w:rPr>
                <w:rFonts w:ascii="Arial" w:cs="Arial" w:eastAsia="Arial" w:hAnsi="Arial"/>
                <w:sz w:val="18"/>
                <w:szCs w:val="18"/>
                <w:color w:val="auto"/>
              </w:rPr>
              <w:t>—</w:t>
            </w:r>
          </w:p>
        </w:tc>
        <w:tc>
          <w:tcPr>
            <w:tcW w:w="460" w:type="dxa"/>
            <w:vAlign w:val="bottom"/>
            <w:shd w:val="clear" w:color="auto" w:fill="EAF9E8"/>
          </w:tcPr>
          <w:p>
            <w:pPr>
              <w:spacing w:after="0"/>
              <w:rPr>
                <w:sz w:val="18"/>
                <w:szCs w:val="18"/>
                <w:color w:val="auto"/>
              </w:rPr>
            </w:pPr>
          </w:p>
        </w:tc>
        <w:tc>
          <w:tcPr>
            <w:tcW w:w="76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rPr>
              <w:t>1,878</w:t>
            </w:r>
          </w:p>
        </w:tc>
        <w:tc>
          <w:tcPr>
            <w:tcW w:w="320" w:type="dxa"/>
            <w:vAlign w:val="bottom"/>
            <w:shd w:val="clear" w:color="auto" w:fill="EAF9E8"/>
          </w:tcPr>
          <w:p>
            <w:pPr>
              <w:spacing w:after="0"/>
              <w:rPr>
                <w:sz w:val="18"/>
                <w:szCs w:val="18"/>
                <w:color w:val="auto"/>
              </w:rPr>
            </w:pPr>
          </w:p>
        </w:tc>
        <w:tc>
          <w:tcPr>
            <w:tcW w:w="720" w:type="dxa"/>
            <w:vAlign w:val="bottom"/>
            <w:shd w:val="clear" w:color="auto" w:fill="EAF9E8"/>
          </w:tcPr>
          <w:p>
            <w:pPr>
              <w:jc w:val="right"/>
              <w:ind w:right="16"/>
              <w:spacing w:after="0"/>
              <w:rPr>
                <w:sz w:val="20"/>
                <w:szCs w:val="20"/>
                <w:color w:val="auto"/>
              </w:rPr>
            </w:pPr>
            <w:r>
              <w:rPr>
                <w:rFonts w:ascii="Arial" w:cs="Arial" w:eastAsia="Arial" w:hAnsi="Arial"/>
                <w:sz w:val="18"/>
                <w:szCs w:val="18"/>
                <w:color w:val="auto"/>
              </w:rPr>
              <w:t>1,878</w:t>
            </w:r>
          </w:p>
        </w:tc>
        <w:tc>
          <w:tcPr>
            <w:tcW w:w="20" w:type="dxa"/>
            <w:vAlign w:val="bottom"/>
          </w:tcPr>
          <w:p>
            <w:pPr>
              <w:spacing w:after="0"/>
              <w:rPr>
                <w:sz w:val="18"/>
                <w:szCs w:val="18"/>
                <w:color w:val="auto"/>
              </w:rPr>
            </w:pPr>
          </w:p>
        </w:tc>
      </w:tr>
      <w:tr>
        <w:trPr>
          <w:trHeight w:val="228"/>
        </w:trPr>
        <w:tc>
          <w:tcPr>
            <w:tcW w:w="3320" w:type="dxa"/>
            <w:vAlign w:val="bottom"/>
          </w:tcPr>
          <w:p>
            <w:pPr>
              <w:ind w:left="320"/>
              <w:spacing w:after="0"/>
              <w:rPr>
                <w:sz w:val="20"/>
                <w:szCs w:val="20"/>
                <w:color w:val="auto"/>
              </w:rPr>
            </w:pPr>
            <w:r>
              <w:rPr>
                <w:rFonts w:ascii="Arial" w:cs="Arial" w:eastAsia="Arial" w:hAnsi="Arial"/>
                <w:sz w:val="18"/>
                <w:szCs w:val="18"/>
                <w:color w:val="auto"/>
              </w:rPr>
              <w:t>Retained earnings</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56"/>
              <w:spacing w:after="0"/>
              <w:rPr>
                <w:sz w:val="20"/>
                <w:szCs w:val="20"/>
                <w:color w:val="auto"/>
              </w:rPr>
            </w:pPr>
            <w:r>
              <w:rPr>
                <w:rFonts w:ascii="Arial" w:cs="Arial" w:eastAsia="Arial" w:hAnsi="Arial"/>
                <w:sz w:val="18"/>
                <w:szCs w:val="18"/>
                <w:color w:val="auto"/>
                <w:w w:val="98"/>
              </w:rPr>
              <w:t>107,413</w:t>
            </w:r>
          </w:p>
        </w:tc>
        <w:tc>
          <w:tcPr>
            <w:tcW w:w="500" w:type="dxa"/>
            <w:vAlign w:val="bottom"/>
          </w:tcPr>
          <w:p>
            <w:pPr>
              <w:jc w:val="right"/>
              <w:ind w:right="39"/>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w w:val="98"/>
              </w:rPr>
              <w:t>(1,040)</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6"/>
              <w:spacing w:after="0"/>
              <w:rPr>
                <w:sz w:val="20"/>
                <w:szCs w:val="20"/>
                <w:color w:val="auto"/>
              </w:rPr>
            </w:pPr>
            <w:r>
              <w:rPr>
                <w:rFonts w:ascii="Arial" w:cs="Arial" w:eastAsia="Arial" w:hAnsi="Arial"/>
                <w:sz w:val="18"/>
                <w:szCs w:val="18"/>
                <w:color w:val="auto"/>
                <w:w w:val="92"/>
              </w:rPr>
              <w:t>106,373</w:t>
            </w:r>
          </w:p>
        </w:tc>
        <w:tc>
          <w:tcPr>
            <w:tcW w:w="20" w:type="dxa"/>
            <w:vAlign w:val="bottom"/>
          </w:tcPr>
          <w:p>
            <w:pPr>
              <w:spacing w:after="0"/>
              <w:rPr>
                <w:sz w:val="19"/>
                <w:szCs w:val="19"/>
                <w:color w:val="auto"/>
              </w:rPr>
            </w:pPr>
          </w:p>
        </w:tc>
      </w:tr>
      <w:tr>
        <w:trPr>
          <w:trHeight w:val="418"/>
        </w:trPr>
        <w:tc>
          <w:tcPr>
            <w:tcW w:w="3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ind w:right="276"/>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3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74"/>
        </w:trPr>
        <w:tc>
          <w:tcPr>
            <w:tcW w:w="3320" w:type="dxa"/>
            <w:vAlign w:val="bottom"/>
            <w:shd w:val="clear" w:color="auto" w:fill="808080"/>
          </w:tcPr>
          <w:p>
            <w:pPr>
              <w:spacing w:after="0"/>
              <w:rPr>
                <w:sz w:val="6"/>
                <w:szCs w:val="6"/>
                <w:color w:val="auto"/>
              </w:rPr>
            </w:pPr>
          </w:p>
        </w:tc>
        <w:tc>
          <w:tcPr>
            <w:tcW w:w="340" w:type="dxa"/>
            <w:vAlign w:val="bottom"/>
            <w:shd w:val="clear" w:color="auto" w:fill="808080"/>
          </w:tcPr>
          <w:p>
            <w:pPr>
              <w:spacing w:after="0"/>
              <w:rPr>
                <w:sz w:val="6"/>
                <w:szCs w:val="6"/>
                <w:color w:val="auto"/>
              </w:rPr>
            </w:pPr>
          </w:p>
        </w:tc>
        <w:tc>
          <w:tcPr>
            <w:tcW w:w="800" w:type="dxa"/>
            <w:vAlign w:val="bottom"/>
            <w:shd w:val="clear" w:color="auto" w:fill="808080"/>
          </w:tcPr>
          <w:p>
            <w:pPr>
              <w:spacing w:after="0"/>
              <w:rPr>
                <w:sz w:val="6"/>
                <w:szCs w:val="6"/>
                <w:color w:val="auto"/>
              </w:rPr>
            </w:pPr>
          </w:p>
        </w:tc>
        <w:tc>
          <w:tcPr>
            <w:tcW w:w="500" w:type="dxa"/>
            <w:vAlign w:val="bottom"/>
            <w:shd w:val="clear" w:color="auto" w:fill="808080"/>
          </w:tcPr>
          <w:p>
            <w:pPr>
              <w:spacing w:after="0"/>
              <w:rPr>
                <w:sz w:val="6"/>
                <w:szCs w:val="6"/>
                <w:color w:val="auto"/>
              </w:rPr>
            </w:pPr>
          </w:p>
        </w:tc>
        <w:tc>
          <w:tcPr>
            <w:tcW w:w="900" w:type="dxa"/>
            <w:vAlign w:val="bottom"/>
            <w:shd w:val="clear" w:color="auto" w:fill="808080"/>
          </w:tcPr>
          <w:p>
            <w:pPr>
              <w:spacing w:after="0"/>
              <w:rPr>
                <w:sz w:val="6"/>
                <w:szCs w:val="6"/>
                <w:color w:val="auto"/>
              </w:rPr>
            </w:pPr>
          </w:p>
        </w:tc>
        <w:tc>
          <w:tcPr>
            <w:tcW w:w="460" w:type="dxa"/>
            <w:vAlign w:val="bottom"/>
            <w:shd w:val="clear" w:color="auto" w:fill="808080"/>
          </w:tcPr>
          <w:p>
            <w:pPr>
              <w:spacing w:after="0"/>
              <w:rPr>
                <w:sz w:val="6"/>
                <w:szCs w:val="6"/>
                <w:color w:val="auto"/>
              </w:rPr>
            </w:pPr>
          </w:p>
        </w:tc>
        <w:tc>
          <w:tcPr>
            <w:tcW w:w="760" w:type="dxa"/>
            <w:vAlign w:val="bottom"/>
            <w:shd w:val="clear" w:color="auto" w:fill="808080"/>
          </w:tcPr>
          <w:p>
            <w:pPr>
              <w:spacing w:after="0"/>
              <w:rPr>
                <w:sz w:val="6"/>
                <w:szCs w:val="6"/>
                <w:color w:val="auto"/>
              </w:rPr>
            </w:pPr>
          </w:p>
        </w:tc>
        <w:tc>
          <w:tcPr>
            <w:tcW w:w="320" w:type="dxa"/>
            <w:vAlign w:val="bottom"/>
            <w:shd w:val="clear" w:color="auto" w:fill="808080"/>
          </w:tcPr>
          <w:p>
            <w:pPr>
              <w:spacing w:after="0"/>
              <w:rPr>
                <w:sz w:val="6"/>
                <w:szCs w:val="6"/>
                <w:color w:val="auto"/>
              </w:rPr>
            </w:pPr>
          </w:p>
        </w:tc>
        <w:tc>
          <w:tcPr>
            <w:tcW w:w="72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r>
    </w:tbl>
    <w:p>
      <w:pPr>
        <w:sectPr>
          <w:pgSz w:w="11900" w:h="16838" w:orient="portrait"/>
          <w:cols w:equalWidth="0" w:num="1">
            <w:col w:w="10219"/>
          </w:cols>
          <w:pgMar w:left="240" w:top="590" w:right="1440"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87"/>
              </w:rPr>
              <w:t>As of December 31, 2003</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39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gridSpan w:val="2"/>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237"/>
        </w:trPr>
        <w:tc>
          <w:tcPr>
            <w:tcW w:w="3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8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Restatement</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74"/>
        </w:trPr>
        <w:tc>
          <w:tcPr>
            <w:tcW w:w="3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7"/>
              </w:rPr>
              <w:t>(Reported)</w:t>
            </w:r>
          </w:p>
        </w:tc>
        <w:tc>
          <w:tcPr>
            <w:tcW w:w="158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(Restated)</w:t>
            </w:r>
          </w:p>
        </w:tc>
      </w:tr>
      <w:tr>
        <w:trPr>
          <w:trHeight w:val="136"/>
        </w:trPr>
        <w:tc>
          <w:tcPr>
            <w:tcW w:w="3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39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Deferred charges and other assets, net</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5,935</w:t>
            </w:r>
          </w:p>
        </w:tc>
        <w:tc>
          <w:tcPr>
            <w:tcW w:w="740" w:type="dxa"/>
            <w:vAlign w:val="bottom"/>
            <w:shd w:val="clear" w:color="auto" w:fill="EAF9E8"/>
          </w:tcPr>
          <w:p>
            <w:pPr>
              <w:jc w:val="right"/>
              <w:ind w:right="24"/>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AF9E8"/>
          </w:tcPr>
          <w:p>
            <w:pPr>
              <w:jc w:val="right"/>
              <w:ind w:right="252"/>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AF9E8"/>
          </w:tcPr>
          <w:p>
            <w:pPr>
              <w:jc w:val="right"/>
              <w:ind w:right="16"/>
              <w:spacing w:after="0"/>
              <w:rPr>
                <w:sz w:val="20"/>
                <w:szCs w:val="20"/>
                <w:color w:val="auto"/>
              </w:rPr>
            </w:pPr>
            <w:r>
              <w:rPr>
                <w:rFonts w:ascii="Arial" w:cs="Arial" w:eastAsia="Arial" w:hAnsi="Arial"/>
                <w:sz w:val="18"/>
                <w:szCs w:val="18"/>
                <w:color w:val="auto"/>
              </w:rPr>
              <w:t>6,089</w:t>
            </w:r>
          </w:p>
        </w:tc>
        <w:tc>
          <w:tcPr>
            <w:tcW w:w="20" w:type="dxa"/>
            <w:vAlign w:val="bottom"/>
          </w:tcPr>
          <w:p>
            <w:pPr>
              <w:spacing w:after="0"/>
              <w:rPr>
                <w:sz w:val="18"/>
                <w:szCs w:val="18"/>
                <w:color w:val="auto"/>
              </w:rPr>
            </w:pPr>
          </w:p>
        </w:tc>
      </w:tr>
      <w:tr>
        <w:trPr>
          <w:trHeight w:val="216"/>
        </w:trPr>
        <w:tc>
          <w:tcPr>
            <w:tcW w:w="3960" w:type="dxa"/>
            <w:vAlign w:val="bottom"/>
          </w:tcPr>
          <w:p>
            <w:pPr>
              <w:ind w:left="320"/>
              <w:spacing w:after="0"/>
              <w:rPr>
                <w:sz w:val="20"/>
                <w:szCs w:val="20"/>
                <w:color w:val="auto"/>
              </w:rPr>
            </w:pPr>
            <w:r>
              <w:rPr>
                <w:rFonts w:ascii="Arial" w:cs="Arial" w:eastAsia="Arial" w:hAnsi="Arial"/>
                <w:sz w:val="18"/>
                <w:szCs w:val="18"/>
                <w:color w:val="auto"/>
              </w:rPr>
              <w:t>Long-term deferred income tax liability</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20,819</w:t>
            </w:r>
          </w:p>
        </w:tc>
        <w:tc>
          <w:tcPr>
            <w:tcW w:w="740" w:type="dxa"/>
            <w:vAlign w:val="bottom"/>
          </w:tcPr>
          <w:p>
            <w:pPr>
              <w:spacing w:after="0"/>
              <w:rPr>
                <w:sz w:val="18"/>
                <w:szCs w:val="18"/>
                <w:color w:val="auto"/>
              </w:rPr>
            </w:pPr>
          </w:p>
        </w:tc>
        <w:tc>
          <w:tcPr>
            <w:tcW w:w="840" w:type="dxa"/>
            <w:vAlign w:val="bottom"/>
          </w:tcPr>
          <w:p>
            <w:pPr>
              <w:jc w:val="right"/>
              <w:ind w:right="192"/>
              <w:spacing w:after="0"/>
              <w:rPr>
                <w:sz w:val="20"/>
                <w:szCs w:val="20"/>
                <w:color w:val="auto"/>
              </w:rPr>
            </w:pPr>
            <w:r>
              <w:rPr>
                <w:rFonts w:ascii="Arial" w:cs="Arial" w:eastAsia="Arial" w:hAnsi="Arial"/>
                <w:sz w:val="18"/>
                <w:szCs w:val="18"/>
                <w:color w:val="auto"/>
              </w:rPr>
              <w:t>(507)</w:t>
            </w:r>
          </w:p>
        </w:tc>
        <w:tc>
          <w:tcPr>
            <w:tcW w:w="240" w:type="dxa"/>
            <w:vAlign w:val="bottom"/>
          </w:tcPr>
          <w:p>
            <w:pPr>
              <w:spacing w:after="0"/>
              <w:rPr>
                <w:sz w:val="18"/>
                <w:szCs w:val="18"/>
                <w:color w:val="auto"/>
              </w:rPr>
            </w:pP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20,312</w:t>
            </w:r>
          </w:p>
        </w:tc>
        <w:tc>
          <w:tcPr>
            <w:tcW w:w="20" w:type="dxa"/>
            <w:vAlign w:val="bottom"/>
          </w:tcPr>
          <w:p>
            <w:pPr>
              <w:spacing w:after="0"/>
              <w:rPr>
                <w:sz w:val="18"/>
                <w:szCs w:val="18"/>
                <w:color w:val="auto"/>
              </w:rPr>
            </w:pPr>
          </w:p>
        </w:tc>
      </w:tr>
      <w:tr>
        <w:trPr>
          <w:trHeight w:val="216"/>
        </w:trPr>
        <w:tc>
          <w:tcPr>
            <w:tcW w:w="39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Deferred lease payable</w:t>
            </w:r>
          </w:p>
        </w:tc>
        <w:tc>
          <w:tcPr>
            <w:tcW w:w="940" w:type="dxa"/>
            <w:vAlign w:val="bottom"/>
            <w:shd w:val="clear" w:color="auto" w:fill="EAF9E8"/>
          </w:tcPr>
          <w:p>
            <w:pPr>
              <w:spacing w:after="0"/>
              <w:rPr>
                <w:sz w:val="18"/>
                <w:szCs w:val="18"/>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AF9E8"/>
          </w:tcPr>
          <w:p>
            <w:pPr>
              <w:spacing w:after="0"/>
              <w:rPr>
                <w:sz w:val="18"/>
                <w:szCs w:val="18"/>
                <w:color w:val="auto"/>
              </w:rPr>
            </w:pPr>
          </w:p>
        </w:tc>
        <w:tc>
          <w:tcPr>
            <w:tcW w:w="840" w:type="dxa"/>
            <w:vAlign w:val="bottom"/>
            <w:shd w:val="clear" w:color="auto" w:fill="EAF9E8"/>
          </w:tcPr>
          <w:p>
            <w:pPr>
              <w:jc w:val="right"/>
              <w:ind w:right="252"/>
              <w:spacing w:after="0"/>
              <w:rPr>
                <w:sz w:val="20"/>
                <w:szCs w:val="20"/>
                <w:color w:val="auto"/>
              </w:rPr>
            </w:pPr>
            <w:r>
              <w:rPr>
                <w:rFonts w:ascii="Arial" w:cs="Arial" w:eastAsia="Arial" w:hAnsi="Arial"/>
                <w:sz w:val="18"/>
                <w:szCs w:val="18"/>
                <w:color w:val="auto"/>
              </w:rPr>
              <w:t>1,496</w:t>
            </w:r>
          </w:p>
        </w:tc>
        <w:tc>
          <w:tcPr>
            <w:tcW w:w="240" w:type="dxa"/>
            <w:vAlign w:val="bottom"/>
            <w:shd w:val="clear" w:color="auto" w:fill="EAF9E8"/>
          </w:tcPr>
          <w:p>
            <w:pPr>
              <w:spacing w:after="0"/>
              <w:rPr>
                <w:sz w:val="18"/>
                <w:szCs w:val="18"/>
                <w:color w:val="auto"/>
              </w:rPr>
            </w:pPr>
          </w:p>
        </w:tc>
        <w:tc>
          <w:tcPr>
            <w:tcW w:w="720" w:type="dxa"/>
            <w:vAlign w:val="bottom"/>
            <w:shd w:val="clear" w:color="auto" w:fill="EAF9E8"/>
          </w:tcPr>
          <w:p>
            <w:pPr>
              <w:jc w:val="right"/>
              <w:ind w:right="16"/>
              <w:spacing w:after="0"/>
              <w:rPr>
                <w:sz w:val="20"/>
                <w:szCs w:val="20"/>
                <w:color w:val="auto"/>
              </w:rPr>
            </w:pPr>
            <w:r>
              <w:rPr>
                <w:rFonts w:ascii="Arial" w:cs="Arial" w:eastAsia="Arial" w:hAnsi="Arial"/>
                <w:sz w:val="18"/>
                <w:szCs w:val="18"/>
                <w:color w:val="auto"/>
              </w:rPr>
              <w:t>1,496</w:t>
            </w:r>
          </w:p>
        </w:tc>
        <w:tc>
          <w:tcPr>
            <w:tcW w:w="20" w:type="dxa"/>
            <w:vAlign w:val="bottom"/>
          </w:tcPr>
          <w:p>
            <w:pPr>
              <w:spacing w:after="0"/>
              <w:rPr>
                <w:sz w:val="18"/>
                <w:szCs w:val="18"/>
                <w:color w:val="auto"/>
              </w:rPr>
            </w:pPr>
          </w:p>
        </w:tc>
      </w:tr>
      <w:tr>
        <w:trPr>
          <w:trHeight w:val="228"/>
        </w:trPr>
        <w:tc>
          <w:tcPr>
            <w:tcW w:w="3960" w:type="dxa"/>
            <w:vAlign w:val="bottom"/>
          </w:tcPr>
          <w:p>
            <w:pPr>
              <w:ind w:left="320"/>
              <w:spacing w:after="0"/>
              <w:rPr>
                <w:sz w:val="20"/>
                <w:szCs w:val="20"/>
                <w:color w:val="auto"/>
              </w:rPr>
            </w:pPr>
            <w:r>
              <w:rPr>
                <w:rFonts w:ascii="Arial" w:cs="Arial" w:eastAsia="Arial" w:hAnsi="Arial"/>
                <w:sz w:val="18"/>
                <w:szCs w:val="18"/>
                <w:color w:val="auto"/>
              </w:rPr>
              <w:t>Retained earnings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100,449</w:t>
            </w:r>
          </w:p>
        </w:tc>
        <w:tc>
          <w:tcPr>
            <w:tcW w:w="740" w:type="dxa"/>
            <w:vAlign w:val="bottom"/>
          </w:tcPr>
          <w:p>
            <w:pPr>
              <w:jc w:val="right"/>
              <w:ind w:right="24"/>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92"/>
              <w:spacing w:after="0"/>
              <w:rPr>
                <w:sz w:val="20"/>
                <w:szCs w:val="20"/>
                <w:color w:val="auto"/>
              </w:rPr>
            </w:pPr>
            <w:r>
              <w:rPr>
                <w:rFonts w:ascii="Arial" w:cs="Arial" w:eastAsia="Arial" w:hAnsi="Arial"/>
                <w:sz w:val="18"/>
                <w:szCs w:val="18"/>
                <w:color w:val="auto"/>
              </w:rPr>
              <w:t>(835)</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99,614</w:t>
            </w:r>
          </w:p>
        </w:tc>
        <w:tc>
          <w:tcPr>
            <w:tcW w:w="20" w:type="dxa"/>
            <w:vAlign w:val="bottom"/>
          </w:tcPr>
          <w:p>
            <w:pPr>
              <w:spacing w:after="0"/>
              <w:rPr>
                <w:sz w:val="19"/>
                <w:szCs w:val="19"/>
                <w:color w:val="auto"/>
              </w:rPr>
            </w:pPr>
          </w:p>
        </w:tc>
      </w:tr>
    </w:tbl>
    <w:p>
      <w:pPr>
        <w:spacing w:after="0" w:line="195" w:lineRule="exact"/>
        <w:rPr>
          <w:sz w:val="20"/>
          <w:szCs w:val="20"/>
          <w:color w:val="auto"/>
        </w:rPr>
      </w:pPr>
    </w:p>
    <w:p>
      <w:pPr>
        <w:jc w:val="both"/>
        <w:ind w:right="2219"/>
        <w:spacing w:after="0" w:line="268" w:lineRule="auto"/>
        <w:rPr>
          <w:sz w:val="20"/>
          <w:szCs w:val="20"/>
          <w:color w:val="auto"/>
        </w:rPr>
      </w:pPr>
      <w:r>
        <w:rPr>
          <w:rFonts w:ascii="Arial" w:cs="Arial" w:eastAsia="Arial" w:hAnsi="Arial"/>
          <w:sz w:val="18"/>
          <w:szCs w:val="18"/>
          <w:color w:val="auto"/>
        </w:rPr>
        <w:t>The reclassification and restatement adjustments to 2005 quarterly amounts previously reported in the Company’s Form 10-Q’s are summarized below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51625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Restatement</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4"/>
        </w:trPr>
        <w:tc>
          <w:tcPr>
            <w:tcW w:w="3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b w:val="1"/>
                <w:bCs w:val="1"/>
                <w:color w:val="auto"/>
                <w:w w:val="90"/>
              </w:rPr>
              <w:t>(Reported)</w:t>
            </w:r>
          </w:p>
        </w:tc>
        <w:tc>
          <w:tcPr>
            <w:tcW w:w="138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w w:val="92"/>
              </w:rPr>
              <w:t>Reclassifications</w:t>
            </w:r>
          </w:p>
        </w:tc>
        <w:tc>
          <w:tcPr>
            <w:tcW w:w="124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Adjustments</w:t>
            </w:r>
          </w:p>
        </w:tc>
        <w:tc>
          <w:tcPr>
            <w:tcW w:w="280" w:type="dxa"/>
            <w:vAlign w:val="bottom"/>
          </w:tcPr>
          <w:p>
            <w:pPr>
              <w:spacing w:after="0"/>
              <w:rPr>
                <w:sz w:val="15"/>
                <w:szCs w:val="15"/>
                <w:color w:val="auto"/>
              </w:rPr>
            </w:pPr>
          </w:p>
        </w:tc>
        <w:tc>
          <w:tcPr>
            <w:tcW w:w="720" w:type="dxa"/>
            <w:vAlign w:val="bottom"/>
          </w:tcPr>
          <w:p>
            <w:pPr>
              <w:jc w:val="right"/>
              <w:ind w:right="13"/>
              <w:spacing w:after="0"/>
              <w:rPr>
                <w:sz w:val="20"/>
                <w:szCs w:val="20"/>
                <w:color w:val="auto"/>
              </w:rPr>
            </w:pPr>
            <w:r>
              <w:rPr>
                <w:rFonts w:ascii="Arial" w:cs="Arial" w:eastAsia="Arial" w:hAnsi="Arial"/>
                <w:sz w:val="14"/>
                <w:szCs w:val="14"/>
                <w:b w:val="1"/>
                <w:bCs w:val="1"/>
                <w:color w:val="auto"/>
                <w:w w:val="87"/>
              </w:rPr>
              <w:t>(Restated)</w:t>
            </w:r>
          </w:p>
        </w:tc>
      </w:tr>
      <w:tr>
        <w:trPr>
          <w:trHeight w:val="136"/>
        </w:trPr>
        <w:tc>
          <w:tcPr>
            <w:tcW w:w="3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216"/>
        </w:trPr>
        <w:tc>
          <w:tcPr>
            <w:tcW w:w="33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Three Months Ended March 31, 2005:</w:t>
            </w: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r>
      <w:tr>
        <w:trPr>
          <w:trHeight w:val="216"/>
        </w:trPr>
        <w:tc>
          <w:tcPr>
            <w:tcW w:w="3360" w:type="dxa"/>
            <w:vAlign w:val="bottom"/>
          </w:tcPr>
          <w:p>
            <w:pPr>
              <w:ind w:left="320"/>
              <w:spacing w:after="0"/>
              <w:rPr>
                <w:sz w:val="20"/>
                <w:szCs w:val="20"/>
                <w:color w:val="auto"/>
              </w:rPr>
            </w:pPr>
            <w:r>
              <w:rPr>
                <w:rFonts w:ascii="Arial" w:cs="Arial" w:eastAsia="Arial" w:hAnsi="Arial"/>
                <w:sz w:val="18"/>
                <w:szCs w:val="18"/>
                <w:color w:val="auto"/>
              </w:rPr>
              <w:t>Operating revenues</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34,400</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212"/>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34,395</w:t>
            </w:r>
          </w:p>
        </w:tc>
      </w:tr>
      <w:tr>
        <w:trPr>
          <w:trHeight w:val="216"/>
        </w:trPr>
        <w:tc>
          <w:tcPr>
            <w:tcW w:w="33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Cost of goods and services</w:t>
            </w: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5,478</w:t>
            </w:r>
          </w:p>
        </w:tc>
        <w:tc>
          <w:tcPr>
            <w:tcW w:w="460" w:type="dxa"/>
            <w:vAlign w:val="bottom"/>
            <w:shd w:val="clear" w:color="auto" w:fill="EAF9E8"/>
          </w:tcPr>
          <w:p>
            <w:pPr>
              <w:spacing w:after="0"/>
              <w:rPr>
                <w:sz w:val="18"/>
                <w:szCs w:val="18"/>
                <w:color w:val="auto"/>
              </w:rPr>
            </w:pPr>
          </w:p>
        </w:tc>
        <w:tc>
          <w:tcPr>
            <w:tcW w:w="92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rPr>
              <w:t>8,692</w:t>
            </w:r>
          </w:p>
        </w:tc>
        <w:tc>
          <w:tcPr>
            <w:tcW w:w="50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172"/>
              <w:spacing w:after="0"/>
              <w:rPr>
                <w:sz w:val="20"/>
                <w:szCs w:val="20"/>
                <w:color w:val="auto"/>
              </w:rPr>
            </w:pPr>
            <w:r>
              <w:rPr>
                <w:rFonts w:ascii="Arial" w:cs="Arial" w:eastAsia="Arial" w:hAnsi="Arial"/>
                <w:sz w:val="18"/>
                <w:szCs w:val="18"/>
                <w:color w:val="auto"/>
              </w:rPr>
              <w:t>87</w:t>
            </w:r>
          </w:p>
        </w:tc>
        <w:tc>
          <w:tcPr>
            <w:tcW w:w="280" w:type="dxa"/>
            <w:vAlign w:val="bottom"/>
            <w:shd w:val="clear" w:color="auto" w:fill="EAF9E8"/>
          </w:tcPr>
          <w:p>
            <w:pPr>
              <w:spacing w:after="0"/>
              <w:rPr>
                <w:sz w:val="18"/>
                <w:szCs w:val="18"/>
                <w:color w:val="auto"/>
              </w:rPr>
            </w:pPr>
          </w:p>
        </w:tc>
        <w:tc>
          <w:tcPr>
            <w:tcW w:w="72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14,257</w:t>
            </w:r>
          </w:p>
        </w:tc>
      </w:tr>
      <w:tr>
        <w:trPr>
          <w:trHeight w:val="216"/>
        </w:trPr>
        <w:tc>
          <w:tcPr>
            <w:tcW w:w="3360" w:type="dxa"/>
            <w:vAlign w:val="bottom"/>
          </w:tcPr>
          <w:p>
            <w:pPr>
              <w:ind w:left="320"/>
              <w:spacing w:after="0"/>
              <w:rPr>
                <w:sz w:val="20"/>
                <w:szCs w:val="20"/>
                <w:color w:val="auto"/>
              </w:rPr>
            </w:pPr>
            <w:r>
              <w:rPr>
                <w:rFonts w:ascii="Arial" w:cs="Arial" w:eastAsia="Arial" w:hAnsi="Arial"/>
                <w:sz w:val="18"/>
                <w:szCs w:val="18"/>
                <w:color w:val="auto"/>
              </w:rPr>
              <w:t>Network operating costs</w:t>
            </w:r>
          </w:p>
        </w:tc>
        <w:tc>
          <w:tcPr>
            <w:tcW w:w="34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9,807</w:t>
            </w:r>
          </w:p>
        </w:tc>
        <w:tc>
          <w:tcPr>
            <w:tcW w:w="460" w:type="dxa"/>
            <w:vAlign w:val="bottom"/>
          </w:tcPr>
          <w:p>
            <w:pPr>
              <w:spacing w:after="0"/>
              <w:rPr>
                <w:sz w:val="18"/>
                <w:szCs w:val="18"/>
                <w:color w:val="auto"/>
              </w:rPr>
            </w:pP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(9,807)</w:t>
            </w:r>
          </w:p>
        </w:tc>
        <w:tc>
          <w:tcPr>
            <w:tcW w:w="50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33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4,617</w:t>
            </w:r>
          </w:p>
        </w:tc>
        <w:tc>
          <w:tcPr>
            <w:tcW w:w="460" w:type="dxa"/>
            <w:vAlign w:val="bottom"/>
            <w:shd w:val="clear" w:color="auto" w:fill="EAF9E8"/>
          </w:tcPr>
          <w:p>
            <w:pPr>
              <w:spacing w:after="0"/>
              <w:rPr>
                <w:sz w:val="18"/>
                <w:szCs w:val="18"/>
                <w:color w:val="auto"/>
              </w:rPr>
            </w:pPr>
          </w:p>
        </w:tc>
        <w:tc>
          <w:tcPr>
            <w:tcW w:w="92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rPr>
              <w:t>(20)</w:t>
            </w:r>
          </w:p>
        </w:tc>
        <w:tc>
          <w:tcPr>
            <w:tcW w:w="50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112"/>
              <w:spacing w:after="0"/>
              <w:rPr>
                <w:sz w:val="20"/>
                <w:szCs w:val="20"/>
                <w:color w:val="auto"/>
              </w:rPr>
            </w:pPr>
            <w:r>
              <w:rPr>
                <w:rFonts w:ascii="Arial" w:cs="Arial" w:eastAsia="Arial" w:hAnsi="Arial"/>
                <w:sz w:val="18"/>
                <w:szCs w:val="18"/>
                <w:color w:val="auto"/>
              </w:rPr>
              <w:t>(92)</w:t>
            </w:r>
          </w:p>
        </w:tc>
        <w:tc>
          <w:tcPr>
            <w:tcW w:w="280" w:type="dxa"/>
            <w:vAlign w:val="bottom"/>
            <w:shd w:val="clear" w:color="auto" w:fill="EAF9E8"/>
          </w:tcPr>
          <w:p>
            <w:pPr>
              <w:spacing w:after="0"/>
              <w:rPr>
                <w:sz w:val="18"/>
                <w:szCs w:val="18"/>
                <w:color w:val="auto"/>
              </w:rPr>
            </w:pPr>
          </w:p>
        </w:tc>
        <w:tc>
          <w:tcPr>
            <w:tcW w:w="72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4,505</w:t>
            </w:r>
          </w:p>
        </w:tc>
      </w:tr>
      <w:tr>
        <w:trPr>
          <w:trHeight w:val="216"/>
        </w:trPr>
        <w:tc>
          <w:tcPr>
            <w:tcW w:w="3360" w:type="dxa"/>
            <w:vAlign w:val="bottom"/>
          </w:tcPr>
          <w:p>
            <w:pPr>
              <w:ind w:left="320"/>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1,393</w:t>
            </w:r>
          </w:p>
        </w:tc>
        <w:tc>
          <w:tcPr>
            <w:tcW w:w="460" w:type="dxa"/>
            <w:vAlign w:val="bottom"/>
          </w:tcPr>
          <w:p>
            <w:pPr>
              <w:spacing w:after="0"/>
              <w:rPr>
                <w:sz w:val="18"/>
                <w:szCs w:val="18"/>
                <w:color w:val="auto"/>
              </w:rPr>
            </w:pP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1,355</w:t>
            </w:r>
          </w:p>
        </w:tc>
      </w:tr>
      <w:tr>
        <w:trPr>
          <w:trHeight w:val="216"/>
        </w:trPr>
        <w:tc>
          <w:tcPr>
            <w:tcW w:w="33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2,395</w:t>
            </w:r>
          </w:p>
        </w:tc>
        <w:tc>
          <w:tcPr>
            <w:tcW w:w="460" w:type="dxa"/>
            <w:vAlign w:val="bottom"/>
            <w:shd w:val="clear" w:color="auto" w:fill="EAF9E8"/>
          </w:tcPr>
          <w:p>
            <w:pPr>
              <w:spacing w:after="0"/>
              <w:rPr>
                <w:sz w:val="18"/>
                <w:szCs w:val="18"/>
                <w:color w:val="auto"/>
              </w:rPr>
            </w:pPr>
          </w:p>
        </w:tc>
        <w:tc>
          <w:tcPr>
            <w:tcW w:w="92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rPr>
              <w:t>—</w:t>
            </w:r>
          </w:p>
        </w:tc>
        <w:tc>
          <w:tcPr>
            <w:tcW w:w="50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112"/>
              <w:spacing w:after="0"/>
              <w:rPr>
                <w:sz w:val="20"/>
                <w:szCs w:val="20"/>
                <w:color w:val="auto"/>
              </w:rPr>
            </w:pPr>
            <w:r>
              <w:rPr>
                <w:rFonts w:ascii="Arial" w:cs="Arial" w:eastAsia="Arial" w:hAnsi="Arial"/>
                <w:sz w:val="18"/>
                <w:szCs w:val="18"/>
                <w:color w:val="auto"/>
              </w:rPr>
              <w:t>(54)</w:t>
            </w:r>
          </w:p>
        </w:tc>
        <w:tc>
          <w:tcPr>
            <w:tcW w:w="280" w:type="dxa"/>
            <w:vAlign w:val="bottom"/>
            <w:shd w:val="clear" w:color="auto" w:fill="EAF9E8"/>
          </w:tcPr>
          <w:p>
            <w:pPr>
              <w:spacing w:after="0"/>
              <w:rPr>
                <w:sz w:val="18"/>
                <w:szCs w:val="18"/>
                <w:color w:val="auto"/>
              </w:rPr>
            </w:pPr>
          </w:p>
        </w:tc>
        <w:tc>
          <w:tcPr>
            <w:tcW w:w="72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2,341</w:t>
            </w:r>
          </w:p>
        </w:tc>
      </w:tr>
      <w:tr>
        <w:trPr>
          <w:trHeight w:val="216"/>
        </w:trPr>
        <w:tc>
          <w:tcPr>
            <w:tcW w:w="3360" w:type="dxa"/>
            <w:vAlign w:val="bottom"/>
          </w:tcPr>
          <w:p>
            <w:pPr>
              <w:ind w:left="320"/>
              <w:spacing w:after="0"/>
              <w:rPr>
                <w:sz w:val="20"/>
                <w:szCs w:val="20"/>
                <w:color w:val="auto"/>
              </w:rPr>
            </w:pPr>
            <w:r>
              <w:rPr>
                <w:rFonts w:ascii="Arial" w:cs="Arial" w:eastAsia="Arial" w:hAnsi="Arial"/>
                <w:sz w:val="18"/>
                <w:szCs w:val="18"/>
                <w:color w:val="auto"/>
              </w:rPr>
              <w:t>Net income per share, basic</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0.31</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7"/>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0.31</w:t>
            </w:r>
          </w:p>
        </w:tc>
      </w:tr>
      <w:tr>
        <w:trPr>
          <w:trHeight w:val="216"/>
        </w:trPr>
        <w:tc>
          <w:tcPr>
            <w:tcW w:w="33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Net income per share, diluted</w:t>
            </w: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0.31</w:t>
            </w:r>
          </w:p>
        </w:tc>
        <w:tc>
          <w:tcPr>
            <w:tcW w:w="460" w:type="dxa"/>
            <w:vAlign w:val="bottom"/>
            <w:shd w:val="clear" w:color="auto" w:fill="EAF9E8"/>
          </w:tcPr>
          <w:p>
            <w:pPr>
              <w:spacing w:after="0"/>
              <w:rPr>
                <w:sz w:val="18"/>
                <w:szCs w:val="18"/>
                <w:color w:val="auto"/>
              </w:rPr>
            </w:pPr>
          </w:p>
        </w:tc>
        <w:tc>
          <w:tcPr>
            <w:tcW w:w="92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rPr>
              <w:t>—</w:t>
            </w:r>
          </w:p>
        </w:tc>
        <w:tc>
          <w:tcPr>
            <w:tcW w:w="50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112"/>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EAF9E8"/>
          </w:tcPr>
          <w:p>
            <w:pPr>
              <w:spacing w:after="0"/>
              <w:rPr>
                <w:sz w:val="18"/>
                <w:szCs w:val="18"/>
                <w:color w:val="auto"/>
              </w:rPr>
            </w:pPr>
          </w:p>
        </w:tc>
        <w:tc>
          <w:tcPr>
            <w:tcW w:w="72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0.30</w:t>
            </w:r>
          </w:p>
        </w:tc>
      </w:tr>
      <w:tr>
        <w:trPr>
          <w:trHeight w:val="364"/>
        </w:trPr>
        <w:tc>
          <w:tcPr>
            <w:tcW w:w="3360" w:type="dxa"/>
            <w:vAlign w:val="bottom"/>
          </w:tcPr>
          <w:p>
            <w:pPr>
              <w:ind w:left="160"/>
              <w:spacing w:after="0"/>
              <w:rPr>
                <w:sz w:val="20"/>
                <w:szCs w:val="20"/>
                <w:color w:val="auto"/>
              </w:rPr>
            </w:pPr>
            <w:r>
              <w:rPr>
                <w:rFonts w:ascii="Arial" w:cs="Arial" w:eastAsia="Arial" w:hAnsi="Arial"/>
                <w:sz w:val="18"/>
                <w:szCs w:val="18"/>
                <w:color w:val="auto"/>
              </w:rPr>
              <w:t>Three Months Ended June 30, 2005:</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7"/>
        </w:trPr>
        <w:tc>
          <w:tcPr>
            <w:tcW w:w="33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Operating revenues</w:t>
            </w:r>
          </w:p>
        </w:tc>
        <w:tc>
          <w:tcPr>
            <w:tcW w:w="34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35,464</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rPr>
              <w:t>—</w:t>
            </w:r>
          </w:p>
        </w:tc>
        <w:tc>
          <w:tcPr>
            <w:tcW w:w="500" w:type="dxa"/>
            <w:vAlign w:val="bottom"/>
            <w:shd w:val="clear" w:color="auto" w:fill="EAF9E8"/>
          </w:tcPr>
          <w:p>
            <w:pPr>
              <w:jc w:val="right"/>
              <w:ind w:right="37"/>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AF9E8"/>
          </w:tcPr>
          <w:p>
            <w:pPr>
              <w:jc w:val="right"/>
              <w:ind w:right="112"/>
              <w:spacing w:after="0"/>
              <w:rPr>
                <w:sz w:val="20"/>
                <w:szCs w:val="20"/>
                <w:color w:val="auto"/>
              </w:rPr>
            </w:pPr>
            <w:r>
              <w:rPr>
                <w:rFonts w:ascii="Arial" w:cs="Arial" w:eastAsia="Arial" w:hAnsi="Arial"/>
                <w:sz w:val="18"/>
                <w:szCs w:val="18"/>
                <w:color w:val="auto"/>
              </w:rPr>
              <w:t>(7)</w:t>
            </w:r>
          </w:p>
        </w:tc>
        <w:tc>
          <w:tcPr>
            <w:tcW w:w="28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35,457</w:t>
            </w:r>
          </w:p>
        </w:tc>
      </w:tr>
      <w:tr>
        <w:trPr>
          <w:trHeight w:val="216"/>
        </w:trPr>
        <w:tc>
          <w:tcPr>
            <w:tcW w:w="3360" w:type="dxa"/>
            <w:vAlign w:val="bottom"/>
          </w:tcPr>
          <w:p>
            <w:pPr>
              <w:ind w:left="320"/>
              <w:spacing w:after="0"/>
              <w:rPr>
                <w:sz w:val="20"/>
                <w:szCs w:val="20"/>
                <w:color w:val="auto"/>
              </w:rPr>
            </w:pPr>
            <w:r>
              <w:rPr>
                <w:rFonts w:ascii="Arial" w:cs="Arial" w:eastAsia="Arial" w:hAnsi="Arial"/>
                <w:sz w:val="18"/>
                <w:szCs w:val="18"/>
                <w:color w:val="auto"/>
              </w:rPr>
              <w:t>Cost of goods and services</w:t>
            </w:r>
          </w:p>
        </w:tc>
        <w:tc>
          <w:tcPr>
            <w:tcW w:w="34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5,674</w:t>
            </w:r>
          </w:p>
        </w:tc>
        <w:tc>
          <w:tcPr>
            <w:tcW w:w="460" w:type="dxa"/>
            <w:vAlign w:val="bottom"/>
          </w:tcPr>
          <w:p>
            <w:pPr>
              <w:spacing w:after="0"/>
              <w:rPr>
                <w:sz w:val="18"/>
                <w:szCs w:val="18"/>
                <w:color w:val="auto"/>
              </w:rPr>
            </w:pP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9,189</w:t>
            </w:r>
          </w:p>
        </w:tc>
        <w:tc>
          <w:tcPr>
            <w:tcW w:w="50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14,955</w:t>
            </w:r>
          </w:p>
        </w:tc>
      </w:tr>
      <w:tr>
        <w:trPr>
          <w:trHeight w:val="216"/>
        </w:trPr>
        <w:tc>
          <w:tcPr>
            <w:tcW w:w="33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Network operating costs</w:t>
            </w: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10,209</w:t>
            </w:r>
          </w:p>
        </w:tc>
        <w:tc>
          <w:tcPr>
            <w:tcW w:w="460" w:type="dxa"/>
            <w:vAlign w:val="bottom"/>
            <w:shd w:val="clear" w:color="auto" w:fill="EAF9E8"/>
          </w:tcPr>
          <w:p>
            <w:pPr>
              <w:spacing w:after="0"/>
              <w:rPr>
                <w:sz w:val="18"/>
                <w:szCs w:val="18"/>
                <w:color w:val="auto"/>
              </w:rPr>
            </w:pPr>
          </w:p>
        </w:tc>
        <w:tc>
          <w:tcPr>
            <w:tcW w:w="92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w w:val="98"/>
              </w:rPr>
              <w:t>(10,209)</w:t>
            </w:r>
          </w:p>
        </w:tc>
        <w:tc>
          <w:tcPr>
            <w:tcW w:w="50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shd w:val="clear" w:color="auto" w:fill="EAF9E8"/>
          </w:tcPr>
          <w:p>
            <w:pPr>
              <w:spacing w:after="0"/>
              <w:rPr>
                <w:sz w:val="18"/>
                <w:szCs w:val="18"/>
                <w:color w:val="auto"/>
              </w:rPr>
            </w:pPr>
          </w:p>
        </w:tc>
        <w:tc>
          <w:tcPr>
            <w:tcW w:w="72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3360" w:type="dxa"/>
            <w:vAlign w:val="bottom"/>
          </w:tcPr>
          <w:p>
            <w:pPr>
              <w:ind w:left="32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4,659</w:t>
            </w:r>
          </w:p>
        </w:tc>
        <w:tc>
          <w:tcPr>
            <w:tcW w:w="460" w:type="dxa"/>
            <w:vAlign w:val="bottom"/>
          </w:tcPr>
          <w:p>
            <w:pPr>
              <w:spacing w:after="0"/>
              <w:rPr>
                <w:sz w:val="18"/>
                <w:szCs w:val="18"/>
                <w:color w:val="auto"/>
              </w:rPr>
            </w:pP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(89)</w:t>
            </w:r>
          </w:p>
        </w:tc>
        <w:tc>
          <w:tcPr>
            <w:tcW w:w="50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4,471</w:t>
            </w:r>
          </w:p>
        </w:tc>
      </w:tr>
      <w:tr>
        <w:trPr>
          <w:trHeight w:val="216"/>
        </w:trPr>
        <w:tc>
          <w:tcPr>
            <w:tcW w:w="33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Income tax provision</w:t>
            </w: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1,497</w:t>
            </w:r>
          </w:p>
        </w:tc>
        <w:tc>
          <w:tcPr>
            <w:tcW w:w="460" w:type="dxa"/>
            <w:vAlign w:val="bottom"/>
            <w:shd w:val="clear" w:color="auto" w:fill="EAF9E8"/>
          </w:tcPr>
          <w:p>
            <w:pPr>
              <w:spacing w:after="0"/>
              <w:rPr>
                <w:sz w:val="18"/>
                <w:szCs w:val="18"/>
                <w:color w:val="auto"/>
              </w:rPr>
            </w:pPr>
          </w:p>
        </w:tc>
        <w:tc>
          <w:tcPr>
            <w:tcW w:w="92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rPr>
              <w:t>—</w:t>
            </w:r>
          </w:p>
        </w:tc>
        <w:tc>
          <w:tcPr>
            <w:tcW w:w="50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112"/>
              <w:spacing w:after="0"/>
              <w:rPr>
                <w:sz w:val="20"/>
                <w:szCs w:val="20"/>
                <w:color w:val="auto"/>
              </w:rPr>
            </w:pPr>
            <w:r>
              <w:rPr>
                <w:rFonts w:ascii="Arial" w:cs="Arial" w:eastAsia="Arial" w:hAnsi="Arial"/>
                <w:sz w:val="18"/>
                <w:szCs w:val="18"/>
                <w:color w:val="auto"/>
              </w:rPr>
              <w:t>(40)</w:t>
            </w:r>
          </w:p>
        </w:tc>
        <w:tc>
          <w:tcPr>
            <w:tcW w:w="280" w:type="dxa"/>
            <w:vAlign w:val="bottom"/>
            <w:shd w:val="clear" w:color="auto" w:fill="EAF9E8"/>
          </w:tcPr>
          <w:p>
            <w:pPr>
              <w:spacing w:after="0"/>
              <w:rPr>
                <w:sz w:val="18"/>
                <w:szCs w:val="18"/>
                <w:color w:val="auto"/>
              </w:rPr>
            </w:pPr>
          </w:p>
        </w:tc>
        <w:tc>
          <w:tcPr>
            <w:tcW w:w="72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1,457</w:t>
            </w:r>
          </w:p>
        </w:tc>
      </w:tr>
      <w:tr>
        <w:trPr>
          <w:trHeight w:val="216"/>
        </w:trPr>
        <w:tc>
          <w:tcPr>
            <w:tcW w:w="336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2,512</w:t>
            </w:r>
          </w:p>
        </w:tc>
        <w:tc>
          <w:tcPr>
            <w:tcW w:w="460" w:type="dxa"/>
            <w:vAlign w:val="bottom"/>
          </w:tcPr>
          <w:p>
            <w:pPr>
              <w:spacing w:after="0"/>
              <w:rPr>
                <w:sz w:val="18"/>
                <w:szCs w:val="18"/>
                <w:color w:val="auto"/>
              </w:rPr>
            </w:pP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2,454</w:t>
            </w:r>
          </w:p>
        </w:tc>
      </w:tr>
      <w:tr>
        <w:trPr>
          <w:trHeight w:val="216"/>
        </w:trPr>
        <w:tc>
          <w:tcPr>
            <w:tcW w:w="33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Net income per share, basic</w:t>
            </w:r>
          </w:p>
        </w:tc>
        <w:tc>
          <w:tcPr>
            <w:tcW w:w="34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0.33</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rPr>
              <w:t>—</w:t>
            </w:r>
          </w:p>
        </w:tc>
        <w:tc>
          <w:tcPr>
            <w:tcW w:w="500" w:type="dxa"/>
            <w:vAlign w:val="bottom"/>
            <w:shd w:val="clear" w:color="auto" w:fill="EAF9E8"/>
          </w:tcPr>
          <w:p>
            <w:pPr>
              <w:jc w:val="right"/>
              <w:ind w:right="37"/>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AF9E8"/>
          </w:tcPr>
          <w:p>
            <w:pPr>
              <w:jc w:val="right"/>
              <w:ind w:right="112"/>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0.32</w:t>
            </w:r>
          </w:p>
        </w:tc>
      </w:tr>
      <w:tr>
        <w:trPr>
          <w:trHeight w:val="222"/>
        </w:trPr>
        <w:tc>
          <w:tcPr>
            <w:tcW w:w="3360" w:type="dxa"/>
            <w:vAlign w:val="bottom"/>
          </w:tcPr>
          <w:p>
            <w:pPr>
              <w:ind w:left="320"/>
              <w:spacing w:after="0"/>
              <w:rPr>
                <w:sz w:val="20"/>
                <w:szCs w:val="20"/>
                <w:color w:val="auto"/>
              </w:rPr>
            </w:pPr>
            <w:r>
              <w:rPr>
                <w:rFonts w:ascii="Arial" w:cs="Arial" w:eastAsia="Arial" w:hAnsi="Arial"/>
                <w:sz w:val="18"/>
                <w:szCs w:val="18"/>
                <w:color w:val="auto"/>
              </w:rPr>
              <w:t>Net income per share, diluted</w:t>
            </w:r>
          </w:p>
        </w:tc>
        <w:tc>
          <w:tcPr>
            <w:tcW w:w="340" w:type="dxa"/>
            <w:vAlign w:val="bottom"/>
          </w:tcPr>
          <w:p>
            <w:pPr>
              <w:spacing w:after="0"/>
              <w:rPr>
                <w:sz w:val="19"/>
                <w:szCs w:val="19"/>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0.33</w:t>
            </w:r>
          </w:p>
        </w:tc>
        <w:tc>
          <w:tcPr>
            <w:tcW w:w="460" w:type="dxa"/>
            <w:vAlign w:val="bottom"/>
          </w:tcPr>
          <w:p>
            <w:pPr>
              <w:spacing w:after="0"/>
              <w:rPr>
                <w:sz w:val="19"/>
                <w:szCs w:val="19"/>
                <w:color w:val="auto"/>
              </w:rPr>
            </w:pP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(0.01)</w:t>
            </w:r>
          </w:p>
        </w:tc>
        <w:tc>
          <w:tcPr>
            <w:tcW w:w="28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0.32</w:t>
            </w:r>
          </w:p>
        </w:tc>
      </w:tr>
      <w:tr>
        <w:trPr>
          <w:trHeight w:val="142"/>
        </w:trPr>
        <w:tc>
          <w:tcPr>
            <w:tcW w:w="3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16"/>
        </w:trPr>
        <w:tc>
          <w:tcPr>
            <w:tcW w:w="336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3"/>
              </w:rPr>
              <w:t>Three Months Ended September 30, 2005:</w:t>
            </w: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r>
      <w:tr>
        <w:trPr>
          <w:trHeight w:val="216"/>
        </w:trPr>
        <w:tc>
          <w:tcPr>
            <w:tcW w:w="3360" w:type="dxa"/>
            <w:vAlign w:val="bottom"/>
          </w:tcPr>
          <w:p>
            <w:pPr>
              <w:ind w:left="320"/>
              <w:spacing w:after="0"/>
              <w:rPr>
                <w:sz w:val="20"/>
                <w:szCs w:val="20"/>
                <w:color w:val="auto"/>
              </w:rPr>
            </w:pPr>
            <w:r>
              <w:rPr>
                <w:rFonts w:ascii="Arial" w:cs="Arial" w:eastAsia="Arial" w:hAnsi="Arial"/>
                <w:sz w:val="18"/>
                <w:szCs w:val="18"/>
                <w:color w:val="auto"/>
              </w:rPr>
              <w:t>Operating revenues</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37,320</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7"/>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(6)</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37,314</w:t>
            </w:r>
          </w:p>
        </w:tc>
      </w:tr>
      <w:tr>
        <w:trPr>
          <w:trHeight w:val="216"/>
        </w:trPr>
        <w:tc>
          <w:tcPr>
            <w:tcW w:w="33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Cost of goods and services</w:t>
            </w: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14,533</w:t>
            </w:r>
          </w:p>
        </w:tc>
        <w:tc>
          <w:tcPr>
            <w:tcW w:w="460" w:type="dxa"/>
            <w:vAlign w:val="bottom"/>
            <w:shd w:val="clear" w:color="auto" w:fill="EAF9E8"/>
          </w:tcPr>
          <w:p>
            <w:pPr>
              <w:spacing w:after="0"/>
              <w:rPr>
                <w:sz w:val="18"/>
                <w:szCs w:val="18"/>
                <w:color w:val="auto"/>
              </w:rPr>
            </w:pPr>
          </w:p>
        </w:tc>
        <w:tc>
          <w:tcPr>
            <w:tcW w:w="92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rPr>
              <w:t>823</w:t>
            </w:r>
          </w:p>
        </w:tc>
        <w:tc>
          <w:tcPr>
            <w:tcW w:w="50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172"/>
              <w:spacing w:after="0"/>
              <w:rPr>
                <w:sz w:val="20"/>
                <w:szCs w:val="20"/>
                <w:color w:val="auto"/>
              </w:rPr>
            </w:pPr>
            <w:r>
              <w:rPr>
                <w:rFonts w:ascii="Arial" w:cs="Arial" w:eastAsia="Arial" w:hAnsi="Arial"/>
                <w:sz w:val="18"/>
                <w:szCs w:val="18"/>
                <w:color w:val="auto"/>
              </w:rPr>
              <w:t>90</w:t>
            </w:r>
          </w:p>
        </w:tc>
        <w:tc>
          <w:tcPr>
            <w:tcW w:w="280" w:type="dxa"/>
            <w:vAlign w:val="bottom"/>
            <w:shd w:val="clear" w:color="auto" w:fill="EAF9E8"/>
          </w:tcPr>
          <w:p>
            <w:pPr>
              <w:spacing w:after="0"/>
              <w:rPr>
                <w:sz w:val="18"/>
                <w:szCs w:val="18"/>
                <w:color w:val="auto"/>
              </w:rPr>
            </w:pPr>
          </w:p>
        </w:tc>
        <w:tc>
          <w:tcPr>
            <w:tcW w:w="72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15,446</w:t>
            </w:r>
          </w:p>
        </w:tc>
      </w:tr>
      <w:tr>
        <w:trPr>
          <w:trHeight w:val="216"/>
        </w:trPr>
        <w:tc>
          <w:tcPr>
            <w:tcW w:w="3360" w:type="dxa"/>
            <w:vAlign w:val="bottom"/>
          </w:tcPr>
          <w:p>
            <w:pPr>
              <w:ind w:left="32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5,752</w:t>
            </w:r>
          </w:p>
        </w:tc>
        <w:tc>
          <w:tcPr>
            <w:tcW w:w="460" w:type="dxa"/>
            <w:vAlign w:val="bottom"/>
          </w:tcPr>
          <w:p>
            <w:pPr>
              <w:spacing w:after="0"/>
              <w:rPr>
                <w:sz w:val="18"/>
                <w:szCs w:val="18"/>
                <w:color w:val="auto"/>
              </w:rPr>
            </w:pP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5,656</w:t>
            </w:r>
          </w:p>
        </w:tc>
      </w:tr>
      <w:tr>
        <w:trPr>
          <w:trHeight w:val="216"/>
        </w:trPr>
        <w:tc>
          <w:tcPr>
            <w:tcW w:w="33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Income tax provision</w:t>
            </w: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2,083</w:t>
            </w:r>
          </w:p>
        </w:tc>
        <w:tc>
          <w:tcPr>
            <w:tcW w:w="460" w:type="dxa"/>
            <w:vAlign w:val="bottom"/>
            <w:shd w:val="clear" w:color="auto" w:fill="EAF9E8"/>
          </w:tcPr>
          <w:p>
            <w:pPr>
              <w:spacing w:after="0"/>
              <w:rPr>
                <w:sz w:val="18"/>
                <w:szCs w:val="18"/>
                <w:color w:val="auto"/>
              </w:rPr>
            </w:pPr>
          </w:p>
        </w:tc>
        <w:tc>
          <w:tcPr>
            <w:tcW w:w="92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rPr>
              <w:t>—</w:t>
            </w:r>
          </w:p>
        </w:tc>
        <w:tc>
          <w:tcPr>
            <w:tcW w:w="50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112"/>
              <w:spacing w:after="0"/>
              <w:rPr>
                <w:sz w:val="20"/>
                <w:szCs w:val="20"/>
                <w:color w:val="auto"/>
              </w:rPr>
            </w:pPr>
            <w:r>
              <w:rPr>
                <w:rFonts w:ascii="Arial" w:cs="Arial" w:eastAsia="Arial" w:hAnsi="Arial"/>
                <w:sz w:val="18"/>
                <w:szCs w:val="18"/>
                <w:color w:val="auto"/>
              </w:rPr>
              <w:t>(39)</w:t>
            </w:r>
          </w:p>
        </w:tc>
        <w:tc>
          <w:tcPr>
            <w:tcW w:w="280" w:type="dxa"/>
            <w:vAlign w:val="bottom"/>
            <w:shd w:val="clear" w:color="auto" w:fill="EAF9E8"/>
          </w:tcPr>
          <w:p>
            <w:pPr>
              <w:spacing w:after="0"/>
              <w:rPr>
                <w:sz w:val="18"/>
                <w:szCs w:val="18"/>
                <w:color w:val="auto"/>
              </w:rPr>
            </w:pPr>
          </w:p>
        </w:tc>
        <w:tc>
          <w:tcPr>
            <w:tcW w:w="72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2,044</w:t>
            </w:r>
          </w:p>
        </w:tc>
      </w:tr>
      <w:tr>
        <w:trPr>
          <w:trHeight w:val="216"/>
        </w:trPr>
        <w:tc>
          <w:tcPr>
            <w:tcW w:w="336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3,158</w:t>
            </w:r>
          </w:p>
        </w:tc>
        <w:tc>
          <w:tcPr>
            <w:tcW w:w="460" w:type="dxa"/>
            <w:vAlign w:val="bottom"/>
          </w:tcPr>
          <w:p>
            <w:pPr>
              <w:spacing w:after="0"/>
              <w:rPr>
                <w:sz w:val="18"/>
                <w:szCs w:val="18"/>
                <w:color w:val="auto"/>
              </w:rPr>
            </w:pP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3,101</w:t>
            </w:r>
          </w:p>
        </w:tc>
      </w:tr>
      <w:tr>
        <w:trPr>
          <w:trHeight w:val="216"/>
        </w:trPr>
        <w:tc>
          <w:tcPr>
            <w:tcW w:w="33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Net income per share, basic</w:t>
            </w:r>
          </w:p>
        </w:tc>
        <w:tc>
          <w:tcPr>
            <w:tcW w:w="34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0.41</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rPr>
              <w:t>—</w:t>
            </w:r>
          </w:p>
        </w:tc>
        <w:tc>
          <w:tcPr>
            <w:tcW w:w="500" w:type="dxa"/>
            <w:vAlign w:val="bottom"/>
            <w:shd w:val="clear" w:color="auto" w:fill="EAF9E8"/>
          </w:tcPr>
          <w:p>
            <w:pPr>
              <w:jc w:val="right"/>
              <w:ind w:right="37"/>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AF9E8"/>
          </w:tcPr>
          <w:p>
            <w:pPr>
              <w:jc w:val="right"/>
              <w:ind w:right="112"/>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0.40</w:t>
            </w:r>
          </w:p>
        </w:tc>
      </w:tr>
      <w:tr>
        <w:trPr>
          <w:trHeight w:val="222"/>
        </w:trPr>
        <w:tc>
          <w:tcPr>
            <w:tcW w:w="3360" w:type="dxa"/>
            <w:vAlign w:val="bottom"/>
          </w:tcPr>
          <w:p>
            <w:pPr>
              <w:ind w:left="320"/>
              <w:spacing w:after="0"/>
              <w:rPr>
                <w:sz w:val="20"/>
                <w:szCs w:val="20"/>
                <w:color w:val="auto"/>
              </w:rPr>
            </w:pPr>
            <w:r>
              <w:rPr>
                <w:rFonts w:ascii="Arial" w:cs="Arial" w:eastAsia="Arial" w:hAnsi="Arial"/>
                <w:sz w:val="18"/>
                <w:szCs w:val="18"/>
                <w:color w:val="auto"/>
              </w:rPr>
              <w:t>Net income per share, diluted</w:t>
            </w:r>
          </w:p>
        </w:tc>
        <w:tc>
          <w:tcPr>
            <w:tcW w:w="340" w:type="dxa"/>
            <w:vAlign w:val="bottom"/>
          </w:tcPr>
          <w:p>
            <w:pPr>
              <w:spacing w:after="0"/>
              <w:rPr>
                <w:sz w:val="19"/>
                <w:szCs w:val="19"/>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0.41</w:t>
            </w:r>
          </w:p>
        </w:tc>
        <w:tc>
          <w:tcPr>
            <w:tcW w:w="460" w:type="dxa"/>
            <w:vAlign w:val="bottom"/>
          </w:tcPr>
          <w:p>
            <w:pPr>
              <w:spacing w:after="0"/>
              <w:rPr>
                <w:sz w:val="19"/>
                <w:szCs w:val="19"/>
                <w:color w:val="auto"/>
              </w:rPr>
            </w:pP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(0.01)</w:t>
            </w:r>
          </w:p>
        </w:tc>
        <w:tc>
          <w:tcPr>
            <w:tcW w:w="28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0.40</w:t>
            </w:r>
          </w:p>
        </w:tc>
      </w:tr>
    </w:tbl>
    <w:p>
      <w:pPr>
        <w:spacing w:after="0" w:line="134" w:lineRule="exact"/>
        <w:rPr>
          <w:sz w:val="20"/>
          <w:szCs w:val="20"/>
          <w:color w:val="auto"/>
        </w:rPr>
      </w:pPr>
    </w:p>
    <w:p>
      <w:pPr>
        <w:jc w:val="both"/>
        <w:ind w:right="2219"/>
        <w:spacing w:after="0" w:line="268" w:lineRule="auto"/>
        <w:rPr>
          <w:sz w:val="20"/>
          <w:szCs w:val="20"/>
          <w:color w:val="auto"/>
        </w:rPr>
      </w:pPr>
      <w:r>
        <w:rPr>
          <w:rFonts w:ascii="Arial" w:cs="Arial" w:eastAsia="Arial" w:hAnsi="Arial"/>
          <w:sz w:val="18"/>
          <w:szCs w:val="18"/>
          <w:color w:val="auto"/>
        </w:rPr>
        <w:t>The reclassification and restatement adjustments to 2004 quarterly amounts previously reported in the Company’s Form 10-Q’s are summarized below (in thousands except per share data):</w:t>
      </w:r>
    </w:p>
    <w:p>
      <w:pPr>
        <w:spacing w:after="0" w:line="186"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383"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Restatement</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4"/>
        </w:trPr>
        <w:tc>
          <w:tcPr>
            <w:tcW w:w="3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b w:val="1"/>
                <w:bCs w:val="1"/>
                <w:color w:val="auto"/>
                <w:w w:val="90"/>
              </w:rPr>
              <w:t>(Reported)</w:t>
            </w:r>
          </w:p>
        </w:tc>
        <w:tc>
          <w:tcPr>
            <w:tcW w:w="138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w w:val="92"/>
              </w:rPr>
              <w:t>Reclassifications</w:t>
            </w:r>
          </w:p>
        </w:tc>
        <w:tc>
          <w:tcPr>
            <w:tcW w:w="124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Adjustments</w:t>
            </w:r>
          </w:p>
        </w:tc>
        <w:tc>
          <w:tcPr>
            <w:tcW w:w="280" w:type="dxa"/>
            <w:vAlign w:val="bottom"/>
          </w:tcPr>
          <w:p>
            <w:pPr>
              <w:spacing w:after="0"/>
              <w:rPr>
                <w:sz w:val="15"/>
                <w:szCs w:val="15"/>
                <w:color w:val="auto"/>
              </w:rPr>
            </w:pPr>
          </w:p>
        </w:tc>
        <w:tc>
          <w:tcPr>
            <w:tcW w:w="720" w:type="dxa"/>
            <w:vAlign w:val="bottom"/>
          </w:tcPr>
          <w:p>
            <w:pPr>
              <w:jc w:val="right"/>
              <w:ind w:right="13"/>
              <w:spacing w:after="0"/>
              <w:rPr>
                <w:sz w:val="20"/>
                <w:szCs w:val="20"/>
                <w:color w:val="auto"/>
              </w:rPr>
            </w:pPr>
            <w:r>
              <w:rPr>
                <w:rFonts w:ascii="Arial" w:cs="Arial" w:eastAsia="Arial" w:hAnsi="Arial"/>
                <w:sz w:val="14"/>
                <w:szCs w:val="14"/>
                <w:b w:val="1"/>
                <w:bCs w:val="1"/>
                <w:color w:val="auto"/>
                <w:w w:val="87"/>
              </w:rPr>
              <w:t>(Restated)</w:t>
            </w:r>
          </w:p>
        </w:tc>
      </w:tr>
      <w:tr>
        <w:trPr>
          <w:trHeight w:val="136"/>
        </w:trPr>
        <w:tc>
          <w:tcPr>
            <w:tcW w:w="3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216"/>
        </w:trPr>
        <w:tc>
          <w:tcPr>
            <w:tcW w:w="33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Three Months Ended March 31, 2004:</w:t>
            </w: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r>
      <w:tr>
        <w:trPr>
          <w:trHeight w:val="216"/>
        </w:trPr>
        <w:tc>
          <w:tcPr>
            <w:tcW w:w="3360" w:type="dxa"/>
            <w:vAlign w:val="bottom"/>
          </w:tcPr>
          <w:p>
            <w:pPr>
              <w:ind w:left="320"/>
              <w:spacing w:after="0"/>
              <w:rPr>
                <w:sz w:val="20"/>
                <w:szCs w:val="20"/>
                <w:color w:val="auto"/>
              </w:rPr>
            </w:pPr>
            <w:r>
              <w:rPr>
                <w:rFonts w:ascii="Arial" w:cs="Arial" w:eastAsia="Arial" w:hAnsi="Arial"/>
                <w:sz w:val="18"/>
                <w:szCs w:val="18"/>
                <w:color w:val="auto"/>
              </w:rPr>
              <w:t>Operating revenues</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27,719</w:t>
            </w:r>
          </w:p>
        </w:tc>
        <w:tc>
          <w:tcPr>
            <w:tcW w:w="520" w:type="dxa"/>
            <w:vAlign w:val="bottom"/>
          </w:tcPr>
          <w:p>
            <w:pPr>
              <w:jc w:val="right"/>
              <w:ind w:right="34"/>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6"/>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5</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27,724</w:t>
            </w:r>
          </w:p>
        </w:tc>
      </w:tr>
      <w:tr>
        <w:trPr>
          <w:trHeight w:val="216"/>
        </w:trPr>
        <w:tc>
          <w:tcPr>
            <w:tcW w:w="33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Cost of goods and services</w:t>
            </w: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3,726</w:t>
            </w:r>
          </w:p>
        </w:tc>
        <w:tc>
          <w:tcPr>
            <w:tcW w:w="52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rPr>
              <w:t>6,286</w:t>
            </w:r>
          </w:p>
        </w:tc>
        <w:tc>
          <w:tcPr>
            <w:tcW w:w="50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172"/>
              <w:spacing w:after="0"/>
              <w:rPr>
                <w:sz w:val="20"/>
                <w:szCs w:val="20"/>
                <w:color w:val="auto"/>
              </w:rPr>
            </w:pPr>
            <w:r>
              <w:rPr>
                <w:rFonts w:ascii="Arial" w:cs="Arial" w:eastAsia="Arial" w:hAnsi="Arial"/>
                <w:sz w:val="18"/>
                <w:szCs w:val="18"/>
                <w:color w:val="auto"/>
              </w:rPr>
              <w:t>101</w:t>
            </w:r>
          </w:p>
        </w:tc>
        <w:tc>
          <w:tcPr>
            <w:tcW w:w="280" w:type="dxa"/>
            <w:vAlign w:val="bottom"/>
            <w:shd w:val="clear" w:color="auto" w:fill="EAF9E8"/>
          </w:tcPr>
          <w:p>
            <w:pPr>
              <w:spacing w:after="0"/>
              <w:rPr>
                <w:sz w:val="18"/>
                <w:szCs w:val="18"/>
                <w:color w:val="auto"/>
              </w:rPr>
            </w:pPr>
          </w:p>
        </w:tc>
        <w:tc>
          <w:tcPr>
            <w:tcW w:w="72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10,113</w:t>
            </w:r>
          </w:p>
        </w:tc>
      </w:tr>
      <w:tr>
        <w:trPr>
          <w:trHeight w:val="216"/>
        </w:trPr>
        <w:tc>
          <w:tcPr>
            <w:tcW w:w="3360" w:type="dxa"/>
            <w:vAlign w:val="bottom"/>
          </w:tcPr>
          <w:p>
            <w:pPr>
              <w:ind w:left="320"/>
              <w:spacing w:after="0"/>
              <w:rPr>
                <w:sz w:val="20"/>
                <w:szCs w:val="20"/>
                <w:color w:val="auto"/>
              </w:rPr>
            </w:pPr>
            <w:r>
              <w:rPr>
                <w:rFonts w:ascii="Arial" w:cs="Arial" w:eastAsia="Arial" w:hAnsi="Arial"/>
                <w:sz w:val="18"/>
                <w:szCs w:val="18"/>
                <w:color w:val="auto"/>
              </w:rPr>
              <w:t>Network operating costs</w:t>
            </w:r>
          </w:p>
        </w:tc>
        <w:tc>
          <w:tcPr>
            <w:tcW w:w="34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8,311</w:t>
            </w:r>
          </w:p>
        </w:tc>
        <w:tc>
          <w:tcPr>
            <w:tcW w:w="520" w:type="dxa"/>
            <w:vAlign w:val="bottom"/>
          </w:tcPr>
          <w:p>
            <w:pPr>
              <w:spacing w:after="0"/>
              <w:rPr>
                <w:sz w:val="18"/>
                <w:szCs w:val="18"/>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(8,311)</w:t>
            </w:r>
          </w:p>
        </w:tc>
        <w:tc>
          <w:tcPr>
            <w:tcW w:w="50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33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4,284</w:t>
            </w:r>
          </w:p>
        </w:tc>
        <w:tc>
          <w:tcPr>
            <w:tcW w:w="52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rPr>
              <w:t>(78)</w:t>
            </w:r>
          </w:p>
        </w:tc>
        <w:tc>
          <w:tcPr>
            <w:tcW w:w="50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112"/>
              <w:spacing w:after="0"/>
              <w:rPr>
                <w:sz w:val="20"/>
                <w:szCs w:val="20"/>
                <w:color w:val="auto"/>
              </w:rPr>
            </w:pPr>
            <w:r>
              <w:rPr>
                <w:rFonts w:ascii="Arial" w:cs="Arial" w:eastAsia="Arial" w:hAnsi="Arial"/>
                <w:sz w:val="18"/>
                <w:szCs w:val="18"/>
                <w:color w:val="auto"/>
              </w:rPr>
              <w:t>(96)</w:t>
            </w:r>
          </w:p>
        </w:tc>
        <w:tc>
          <w:tcPr>
            <w:tcW w:w="280" w:type="dxa"/>
            <w:vAlign w:val="bottom"/>
            <w:shd w:val="clear" w:color="auto" w:fill="EAF9E8"/>
          </w:tcPr>
          <w:p>
            <w:pPr>
              <w:spacing w:after="0"/>
              <w:rPr>
                <w:sz w:val="18"/>
                <w:szCs w:val="18"/>
                <w:color w:val="auto"/>
              </w:rPr>
            </w:pPr>
          </w:p>
        </w:tc>
        <w:tc>
          <w:tcPr>
            <w:tcW w:w="72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4,110</w:t>
            </w:r>
          </w:p>
        </w:tc>
      </w:tr>
      <w:tr>
        <w:trPr>
          <w:trHeight w:val="216"/>
        </w:trPr>
        <w:tc>
          <w:tcPr>
            <w:tcW w:w="3360" w:type="dxa"/>
            <w:vAlign w:val="bottom"/>
          </w:tcPr>
          <w:p>
            <w:pPr>
              <w:ind w:left="320"/>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1,380</w:t>
            </w:r>
          </w:p>
        </w:tc>
        <w:tc>
          <w:tcPr>
            <w:tcW w:w="520" w:type="dxa"/>
            <w:vAlign w:val="bottom"/>
          </w:tcPr>
          <w:p>
            <w:pPr>
              <w:spacing w:after="0"/>
              <w:rPr>
                <w:sz w:val="18"/>
                <w:szCs w:val="18"/>
                <w:color w:val="auto"/>
              </w:rPr>
            </w:pPr>
          </w:p>
        </w:tc>
        <w:tc>
          <w:tcPr>
            <w:tcW w:w="8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1,344</w:t>
            </w:r>
          </w:p>
        </w:tc>
      </w:tr>
      <w:tr>
        <w:trPr>
          <w:trHeight w:val="216"/>
        </w:trPr>
        <w:tc>
          <w:tcPr>
            <w:tcW w:w="33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2,313</w:t>
            </w:r>
          </w:p>
        </w:tc>
        <w:tc>
          <w:tcPr>
            <w:tcW w:w="52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rPr>
              <w:t>—</w:t>
            </w:r>
          </w:p>
        </w:tc>
        <w:tc>
          <w:tcPr>
            <w:tcW w:w="50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112"/>
              <w:spacing w:after="0"/>
              <w:rPr>
                <w:sz w:val="20"/>
                <w:szCs w:val="20"/>
                <w:color w:val="auto"/>
              </w:rPr>
            </w:pPr>
            <w:r>
              <w:rPr>
                <w:rFonts w:ascii="Arial" w:cs="Arial" w:eastAsia="Arial" w:hAnsi="Arial"/>
                <w:sz w:val="18"/>
                <w:szCs w:val="18"/>
                <w:color w:val="auto"/>
              </w:rPr>
              <w:t>(60)</w:t>
            </w:r>
          </w:p>
        </w:tc>
        <w:tc>
          <w:tcPr>
            <w:tcW w:w="280" w:type="dxa"/>
            <w:vAlign w:val="bottom"/>
            <w:shd w:val="clear" w:color="auto" w:fill="EAF9E8"/>
          </w:tcPr>
          <w:p>
            <w:pPr>
              <w:spacing w:after="0"/>
              <w:rPr>
                <w:sz w:val="18"/>
                <w:szCs w:val="18"/>
                <w:color w:val="auto"/>
              </w:rPr>
            </w:pPr>
          </w:p>
        </w:tc>
        <w:tc>
          <w:tcPr>
            <w:tcW w:w="72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2,253</w:t>
            </w:r>
          </w:p>
        </w:tc>
      </w:tr>
      <w:tr>
        <w:trPr>
          <w:trHeight w:val="216"/>
        </w:trPr>
        <w:tc>
          <w:tcPr>
            <w:tcW w:w="3360" w:type="dxa"/>
            <w:vAlign w:val="bottom"/>
          </w:tcPr>
          <w:p>
            <w:pPr>
              <w:ind w:left="320"/>
              <w:spacing w:after="0"/>
              <w:rPr>
                <w:sz w:val="20"/>
                <w:szCs w:val="20"/>
                <w:color w:val="auto"/>
              </w:rPr>
            </w:pPr>
            <w:r>
              <w:rPr>
                <w:rFonts w:ascii="Arial" w:cs="Arial" w:eastAsia="Arial" w:hAnsi="Arial"/>
                <w:sz w:val="18"/>
                <w:szCs w:val="18"/>
                <w:color w:val="auto"/>
              </w:rPr>
              <w:t>Net income per share, basic</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0.30</w:t>
            </w:r>
          </w:p>
        </w:tc>
        <w:tc>
          <w:tcPr>
            <w:tcW w:w="520" w:type="dxa"/>
            <w:vAlign w:val="bottom"/>
          </w:tcPr>
          <w:p>
            <w:pPr>
              <w:jc w:val="right"/>
              <w:ind w:right="34"/>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6"/>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0.30</w:t>
            </w:r>
          </w:p>
        </w:tc>
      </w:tr>
      <w:tr>
        <w:trPr>
          <w:trHeight w:val="216"/>
        </w:trPr>
        <w:tc>
          <w:tcPr>
            <w:tcW w:w="33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Net income per share, diluted</w:t>
            </w: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0.30</w:t>
            </w:r>
          </w:p>
        </w:tc>
        <w:tc>
          <w:tcPr>
            <w:tcW w:w="52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rPr>
              <w:t>—</w:t>
            </w:r>
          </w:p>
        </w:tc>
        <w:tc>
          <w:tcPr>
            <w:tcW w:w="50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112"/>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EAF9E8"/>
          </w:tcPr>
          <w:p>
            <w:pPr>
              <w:spacing w:after="0"/>
              <w:rPr>
                <w:sz w:val="18"/>
                <w:szCs w:val="18"/>
                <w:color w:val="auto"/>
              </w:rPr>
            </w:pPr>
          </w:p>
        </w:tc>
        <w:tc>
          <w:tcPr>
            <w:tcW w:w="72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0.29</w:t>
            </w:r>
          </w:p>
        </w:tc>
      </w:tr>
      <w:tr>
        <w:trPr>
          <w:trHeight w:val="364"/>
        </w:trPr>
        <w:tc>
          <w:tcPr>
            <w:tcW w:w="3360" w:type="dxa"/>
            <w:vAlign w:val="bottom"/>
          </w:tcPr>
          <w:p>
            <w:pPr>
              <w:ind w:left="160"/>
              <w:spacing w:after="0"/>
              <w:rPr>
                <w:sz w:val="20"/>
                <w:szCs w:val="20"/>
                <w:color w:val="auto"/>
              </w:rPr>
            </w:pPr>
            <w:r>
              <w:rPr>
                <w:rFonts w:ascii="Arial" w:cs="Arial" w:eastAsia="Arial" w:hAnsi="Arial"/>
                <w:sz w:val="18"/>
                <w:szCs w:val="18"/>
                <w:color w:val="auto"/>
              </w:rPr>
              <w:t>Three Months Ended June 30, 2004:</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7"/>
        </w:trPr>
        <w:tc>
          <w:tcPr>
            <w:tcW w:w="33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Operating revenues</w:t>
            </w:r>
          </w:p>
        </w:tc>
        <w:tc>
          <w:tcPr>
            <w:tcW w:w="34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29,852</w:t>
            </w:r>
          </w:p>
        </w:tc>
        <w:tc>
          <w:tcPr>
            <w:tcW w:w="520" w:type="dxa"/>
            <w:vAlign w:val="bottom"/>
            <w:shd w:val="clear" w:color="auto" w:fill="EAF9E8"/>
          </w:tcPr>
          <w:p>
            <w:pPr>
              <w:jc w:val="right"/>
              <w:ind w:right="34"/>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rPr>
              <w:t>—</w:t>
            </w:r>
          </w:p>
        </w:tc>
        <w:tc>
          <w:tcPr>
            <w:tcW w:w="500" w:type="dxa"/>
            <w:vAlign w:val="bottom"/>
            <w:shd w:val="clear" w:color="auto" w:fill="EAF9E8"/>
          </w:tcPr>
          <w:p>
            <w:pPr>
              <w:jc w:val="right"/>
              <w:ind w:right="36"/>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AF9E8"/>
          </w:tcPr>
          <w:p>
            <w:pPr>
              <w:jc w:val="right"/>
              <w:ind w:right="172"/>
              <w:spacing w:after="0"/>
              <w:rPr>
                <w:sz w:val="20"/>
                <w:szCs w:val="20"/>
                <w:color w:val="auto"/>
              </w:rPr>
            </w:pPr>
            <w:r>
              <w:rPr>
                <w:rFonts w:ascii="Arial" w:cs="Arial" w:eastAsia="Arial" w:hAnsi="Arial"/>
                <w:sz w:val="18"/>
                <w:szCs w:val="18"/>
                <w:color w:val="auto"/>
              </w:rPr>
              <w:t>5</w:t>
            </w:r>
          </w:p>
        </w:tc>
        <w:tc>
          <w:tcPr>
            <w:tcW w:w="28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29,857</w:t>
            </w:r>
          </w:p>
        </w:tc>
      </w:tr>
      <w:tr>
        <w:trPr>
          <w:trHeight w:val="216"/>
        </w:trPr>
        <w:tc>
          <w:tcPr>
            <w:tcW w:w="3360" w:type="dxa"/>
            <w:vAlign w:val="bottom"/>
          </w:tcPr>
          <w:p>
            <w:pPr>
              <w:ind w:left="320"/>
              <w:spacing w:after="0"/>
              <w:rPr>
                <w:sz w:val="20"/>
                <w:szCs w:val="20"/>
                <w:color w:val="auto"/>
              </w:rPr>
            </w:pPr>
            <w:r>
              <w:rPr>
                <w:rFonts w:ascii="Arial" w:cs="Arial" w:eastAsia="Arial" w:hAnsi="Arial"/>
                <w:sz w:val="18"/>
                <w:szCs w:val="18"/>
                <w:color w:val="auto"/>
              </w:rPr>
              <w:t>Cost of goods and services</w:t>
            </w:r>
          </w:p>
        </w:tc>
        <w:tc>
          <w:tcPr>
            <w:tcW w:w="34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3,886</w:t>
            </w:r>
          </w:p>
        </w:tc>
        <w:tc>
          <w:tcPr>
            <w:tcW w:w="520" w:type="dxa"/>
            <w:vAlign w:val="bottom"/>
          </w:tcPr>
          <w:p>
            <w:pPr>
              <w:spacing w:after="0"/>
              <w:rPr>
                <w:sz w:val="18"/>
                <w:szCs w:val="18"/>
                <w:color w:val="auto"/>
              </w:rPr>
            </w:pPr>
          </w:p>
        </w:tc>
        <w:tc>
          <w:tcPr>
            <w:tcW w:w="860" w:type="dxa"/>
            <w:vAlign w:val="bottom"/>
          </w:tcPr>
          <w:p>
            <w:pPr>
              <w:jc w:val="right"/>
              <w:ind w:right="212"/>
              <w:spacing w:after="0"/>
              <w:rPr>
                <w:sz w:val="20"/>
                <w:szCs w:val="20"/>
                <w:color w:val="auto"/>
              </w:rPr>
            </w:pPr>
            <w:r>
              <w:rPr>
                <w:rFonts w:ascii="Arial" w:cs="Arial" w:eastAsia="Arial" w:hAnsi="Arial"/>
                <w:sz w:val="18"/>
                <w:szCs w:val="18"/>
                <w:color w:val="auto"/>
              </w:rPr>
              <w:t>6,820</w:t>
            </w:r>
          </w:p>
        </w:tc>
        <w:tc>
          <w:tcPr>
            <w:tcW w:w="50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10,805</w:t>
            </w:r>
          </w:p>
        </w:tc>
      </w:tr>
      <w:tr>
        <w:trPr>
          <w:trHeight w:val="216"/>
        </w:trPr>
        <w:tc>
          <w:tcPr>
            <w:tcW w:w="33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Network operating costs</w:t>
            </w: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9,156</w:t>
            </w:r>
          </w:p>
        </w:tc>
        <w:tc>
          <w:tcPr>
            <w:tcW w:w="52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rPr>
              <w:t>(9,156)</w:t>
            </w:r>
          </w:p>
        </w:tc>
        <w:tc>
          <w:tcPr>
            <w:tcW w:w="50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shd w:val="clear" w:color="auto" w:fill="EAF9E8"/>
          </w:tcPr>
          <w:p>
            <w:pPr>
              <w:spacing w:after="0"/>
              <w:rPr>
                <w:sz w:val="18"/>
                <w:szCs w:val="18"/>
                <w:color w:val="auto"/>
              </w:rPr>
            </w:pPr>
          </w:p>
        </w:tc>
        <w:tc>
          <w:tcPr>
            <w:tcW w:w="72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3360" w:type="dxa"/>
            <w:vAlign w:val="bottom"/>
          </w:tcPr>
          <w:p>
            <w:pPr>
              <w:ind w:left="32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5,026</w:t>
            </w:r>
          </w:p>
        </w:tc>
        <w:tc>
          <w:tcPr>
            <w:tcW w:w="520" w:type="dxa"/>
            <w:vAlign w:val="bottom"/>
          </w:tcPr>
          <w:p>
            <w:pPr>
              <w:spacing w:after="0"/>
              <w:rPr>
                <w:sz w:val="18"/>
                <w:szCs w:val="18"/>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(55)</w:t>
            </w:r>
          </w:p>
        </w:tc>
        <w:tc>
          <w:tcPr>
            <w:tcW w:w="50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4,877</w:t>
            </w:r>
          </w:p>
        </w:tc>
      </w:tr>
      <w:tr>
        <w:trPr>
          <w:trHeight w:val="216"/>
        </w:trPr>
        <w:tc>
          <w:tcPr>
            <w:tcW w:w="33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Income tax provision</w:t>
            </w: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1,709</w:t>
            </w:r>
          </w:p>
        </w:tc>
        <w:tc>
          <w:tcPr>
            <w:tcW w:w="52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112"/>
              <w:spacing w:after="0"/>
              <w:rPr>
                <w:sz w:val="20"/>
                <w:szCs w:val="20"/>
                <w:color w:val="auto"/>
              </w:rPr>
            </w:pPr>
            <w:r>
              <w:rPr>
                <w:rFonts w:ascii="Arial" w:cs="Arial" w:eastAsia="Arial" w:hAnsi="Arial"/>
                <w:sz w:val="18"/>
                <w:szCs w:val="18"/>
                <w:color w:val="auto"/>
              </w:rPr>
              <w:t>(37)</w:t>
            </w:r>
          </w:p>
        </w:tc>
        <w:tc>
          <w:tcPr>
            <w:tcW w:w="280" w:type="dxa"/>
            <w:vAlign w:val="bottom"/>
            <w:shd w:val="clear" w:color="auto" w:fill="EAF9E8"/>
          </w:tcPr>
          <w:p>
            <w:pPr>
              <w:spacing w:after="0"/>
              <w:rPr>
                <w:sz w:val="18"/>
                <w:szCs w:val="18"/>
                <w:color w:val="auto"/>
              </w:rPr>
            </w:pPr>
          </w:p>
        </w:tc>
        <w:tc>
          <w:tcPr>
            <w:tcW w:w="72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1,672</w:t>
            </w:r>
          </w:p>
        </w:tc>
      </w:tr>
      <w:tr>
        <w:trPr>
          <w:trHeight w:val="216"/>
        </w:trPr>
        <w:tc>
          <w:tcPr>
            <w:tcW w:w="336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2,880</w:t>
            </w:r>
          </w:p>
        </w:tc>
        <w:tc>
          <w:tcPr>
            <w:tcW w:w="520" w:type="dxa"/>
            <w:vAlign w:val="bottom"/>
          </w:tcPr>
          <w:p>
            <w:pPr>
              <w:spacing w:after="0"/>
              <w:rPr>
                <w:sz w:val="18"/>
                <w:szCs w:val="18"/>
                <w:color w:val="auto"/>
              </w:rPr>
            </w:pPr>
          </w:p>
        </w:tc>
        <w:tc>
          <w:tcPr>
            <w:tcW w:w="8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2,823</w:t>
            </w:r>
          </w:p>
        </w:tc>
      </w:tr>
      <w:tr>
        <w:trPr>
          <w:trHeight w:val="216"/>
        </w:trPr>
        <w:tc>
          <w:tcPr>
            <w:tcW w:w="33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Net income per share, basic</w:t>
            </w:r>
          </w:p>
        </w:tc>
        <w:tc>
          <w:tcPr>
            <w:tcW w:w="34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0.38</w:t>
            </w:r>
          </w:p>
        </w:tc>
        <w:tc>
          <w:tcPr>
            <w:tcW w:w="520" w:type="dxa"/>
            <w:vAlign w:val="bottom"/>
            <w:shd w:val="clear" w:color="auto" w:fill="EAF9E8"/>
          </w:tcPr>
          <w:p>
            <w:pPr>
              <w:jc w:val="right"/>
              <w:ind w:right="34"/>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rPr>
              <w:t>—</w:t>
            </w:r>
          </w:p>
        </w:tc>
        <w:tc>
          <w:tcPr>
            <w:tcW w:w="500" w:type="dxa"/>
            <w:vAlign w:val="bottom"/>
            <w:shd w:val="clear" w:color="auto" w:fill="EAF9E8"/>
          </w:tcPr>
          <w:p>
            <w:pPr>
              <w:jc w:val="right"/>
              <w:ind w:right="36"/>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AF9E8"/>
          </w:tcPr>
          <w:p>
            <w:pPr>
              <w:jc w:val="right"/>
              <w:ind w:right="112"/>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0.37</w:t>
            </w:r>
          </w:p>
        </w:tc>
      </w:tr>
      <w:tr>
        <w:trPr>
          <w:trHeight w:val="222"/>
        </w:trPr>
        <w:tc>
          <w:tcPr>
            <w:tcW w:w="3360" w:type="dxa"/>
            <w:vAlign w:val="bottom"/>
          </w:tcPr>
          <w:p>
            <w:pPr>
              <w:ind w:left="320"/>
              <w:spacing w:after="0"/>
              <w:rPr>
                <w:sz w:val="20"/>
                <w:szCs w:val="20"/>
                <w:color w:val="auto"/>
              </w:rPr>
            </w:pPr>
            <w:r>
              <w:rPr>
                <w:rFonts w:ascii="Arial" w:cs="Arial" w:eastAsia="Arial" w:hAnsi="Arial"/>
                <w:sz w:val="18"/>
                <w:szCs w:val="18"/>
                <w:color w:val="auto"/>
              </w:rPr>
              <w:t>Net income per share, diluted</w:t>
            </w:r>
          </w:p>
        </w:tc>
        <w:tc>
          <w:tcPr>
            <w:tcW w:w="340" w:type="dxa"/>
            <w:vAlign w:val="bottom"/>
          </w:tcPr>
          <w:p>
            <w:pPr>
              <w:spacing w:after="0"/>
              <w:rPr>
                <w:sz w:val="19"/>
                <w:szCs w:val="19"/>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0.38</w:t>
            </w:r>
          </w:p>
        </w:tc>
        <w:tc>
          <w:tcPr>
            <w:tcW w:w="520" w:type="dxa"/>
            <w:vAlign w:val="bottom"/>
          </w:tcPr>
          <w:p>
            <w:pPr>
              <w:spacing w:after="0"/>
              <w:rPr>
                <w:sz w:val="19"/>
                <w:szCs w:val="19"/>
                <w:color w:val="auto"/>
              </w:rPr>
            </w:pPr>
          </w:p>
        </w:tc>
        <w:tc>
          <w:tcPr>
            <w:tcW w:w="8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(0.01)</w:t>
            </w:r>
          </w:p>
        </w:tc>
        <w:tc>
          <w:tcPr>
            <w:tcW w:w="28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0.37</w:t>
            </w:r>
          </w:p>
        </w:tc>
      </w:tr>
      <w:tr>
        <w:trPr>
          <w:trHeight w:val="142"/>
        </w:trPr>
        <w:tc>
          <w:tcPr>
            <w:tcW w:w="3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16"/>
        </w:trPr>
        <w:tc>
          <w:tcPr>
            <w:tcW w:w="336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3"/>
              </w:rPr>
              <w:t>Three Months Ended September 30, 2004:</w:t>
            </w: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r>
      <w:tr>
        <w:trPr>
          <w:trHeight w:val="216"/>
        </w:trPr>
        <w:tc>
          <w:tcPr>
            <w:tcW w:w="3360" w:type="dxa"/>
            <w:vAlign w:val="bottom"/>
          </w:tcPr>
          <w:p>
            <w:pPr>
              <w:ind w:left="320"/>
              <w:spacing w:after="0"/>
              <w:rPr>
                <w:sz w:val="20"/>
                <w:szCs w:val="20"/>
                <w:color w:val="auto"/>
              </w:rPr>
            </w:pPr>
            <w:r>
              <w:rPr>
                <w:rFonts w:ascii="Arial" w:cs="Arial" w:eastAsia="Arial" w:hAnsi="Arial"/>
                <w:sz w:val="18"/>
                <w:szCs w:val="18"/>
                <w:color w:val="auto"/>
              </w:rPr>
              <w:t>Operating revenues</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31,103</w:t>
            </w:r>
          </w:p>
        </w:tc>
        <w:tc>
          <w:tcPr>
            <w:tcW w:w="520" w:type="dxa"/>
            <w:vAlign w:val="bottom"/>
          </w:tcPr>
          <w:p>
            <w:pPr>
              <w:jc w:val="right"/>
              <w:ind w:right="34"/>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6"/>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5</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31,108</w:t>
            </w:r>
          </w:p>
        </w:tc>
      </w:tr>
      <w:tr>
        <w:trPr>
          <w:trHeight w:val="216"/>
        </w:trPr>
        <w:tc>
          <w:tcPr>
            <w:tcW w:w="33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Cost of goods and services</w:t>
            </w: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2,091</w:t>
            </w:r>
          </w:p>
        </w:tc>
        <w:tc>
          <w:tcPr>
            <w:tcW w:w="52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rPr>
              <w:t>9,886</w:t>
            </w:r>
          </w:p>
        </w:tc>
        <w:tc>
          <w:tcPr>
            <w:tcW w:w="50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172"/>
              <w:spacing w:after="0"/>
              <w:rPr>
                <w:sz w:val="20"/>
                <w:szCs w:val="20"/>
                <w:color w:val="auto"/>
              </w:rPr>
            </w:pPr>
            <w:r>
              <w:rPr>
                <w:rFonts w:ascii="Arial" w:cs="Arial" w:eastAsia="Arial" w:hAnsi="Arial"/>
                <w:sz w:val="18"/>
                <w:szCs w:val="18"/>
                <w:color w:val="auto"/>
              </w:rPr>
              <w:t>94</w:t>
            </w:r>
          </w:p>
        </w:tc>
        <w:tc>
          <w:tcPr>
            <w:tcW w:w="280" w:type="dxa"/>
            <w:vAlign w:val="bottom"/>
            <w:shd w:val="clear" w:color="auto" w:fill="EAF9E8"/>
          </w:tcPr>
          <w:p>
            <w:pPr>
              <w:spacing w:after="0"/>
              <w:rPr>
                <w:sz w:val="18"/>
                <w:szCs w:val="18"/>
                <w:color w:val="auto"/>
              </w:rPr>
            </w:pPr>
          </w:p>
        </w:tc>
        <w:tc>
          <w:tcPr>
            <w:tcW w:w="72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12,071</w:t>
            </w:r>
          </w:p>
        </w:tc>
      </w:tr>
      <w:tr>
        <w:trPr>
          <w:trHeight w:val="216"/>
        </w:trPr>
        <w:tc>
          <w:tcPr>
            <w:tcW w:w="3360" w:type="dxa"/>
            <w:vAlign w:val="bottom"/>
          </w:tcPr>
          <w:p>
            <w:pPr>
              <w:ind w:left="320"/>
              <w:spacing w:after="0"/>
              <w:rPr>
                <w:sz w:val="20"/>
                <w:szCs w:val="20"/>
                <w:color w:val="auto"/>
              </w:rPr>
            </w:pPr>
            <w:r>
              <w:rPr>
                <w:rFonts w:ascii="Arial" w:cs="Arial" w:eastAsia="Arial" w:hAnsi="Arial"/>
                <w:sz w:val="18"/>
                <w:szCs w:val="18"/>
                <w:color w:val="auto"/>
              </w:rPr>
              <w:t>Network operating costs</w:t>
            </w:r>
          </w:p>
        </w:tc>
        <w:tc>
          <w:tcPr>
            <w:tcW w:w="34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9,182</w:t>
            </w:r>
          </w:p>
        </w:tc>
        <w:tc>
          <w:tcPr>
            <w:tcW w:w="520" w:type="dxa"/>
            <w:vAlign w:val="bottom"/>
          </w:tcPr>
          <w:p>
            <w:pPr>
              <w:spacing w:after="0"/>
              <w:rPr>
                <w:sz w:val="18"/>
                <w:szCs w:val="18"/>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(9,182)</w:t>
            </w:r>
          </w:p>
        </w:tc>
        <w:tc>
          <w:tcPr>
            <w:tcW w:w="50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33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6,471</w:t>
            </w:r>
          </w:p>
        </w:tc>
        <w:tc>
          <w:tcPr>
            <w:tcW w:w="52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rPr>
              <w:t>(714)</w:t>
            </w:r>
          </w:p>
        </w:tc>
        <w:tc>
          <w:tcPr>
            <w:tcW w:w="50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112"/>
              <w:spacing w:after="0"/>
              <w:rPr>
                <w:sz w:val="20"/>
                <w:szCs w:val="20"/>
                <w:color w:val="auto"/>
              </w:rPr>
            </w:pPr>
            <w:r>
              <w:rPr>
                <w:rFonts w:ascii="Arial" w:cs="Arial" w:eastAsia="Arial" w:hAnsi="Arial"/>
                <w:sz w:val="18"/>
                <w:szCs w:val="18"/>
                <w:color w:val="auto"/>
              </w:rPr>
              <w:t>(89)</w:t>
            </w:r>
          </w:p>
        </w:tc>
        <w:tc>
          <w:tcPr>
            <w:tcW w:w="280" w:type="dxa"/>
            <w:vAlign w:val="bottom"/>
            <w:shd w:val="clear" w:color="auto" w:fill="EAF9E8"/>
          </w:tcPr>
          <w:p>
            <w:pPr>
              <w:spacing w:after="0"/>
              <w:rPr>
                <w:sz w:val="18"/>
                <w:szCs w:val="18"/>
                <w:color w:val="auto"/>
              </w:rPr>
            </w:pPr>
          </w:p>
        </w:tc>
        <w:tc>
          <w:tcPr>
            <w:tcW w:w="72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5,668</w:t>
            </w:r>
          </w:p>
        </w:tc>
      </w:tr>
      <w:tr>
        <w:trPr>
          <w:trHeight w:val="216"/>
        </w:trPr>
        <w:tc>
          <w:tcPr>
            <w:tcW w:w="3360" w:type="dxa"/>
            <w:vAlign w:val="bottom"/>
          </w:tcPr>
          <w:p>
            <w:pPr>
              <w:ind w:left="320"/>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1,844</w:t>
            </w:r>
          </w:p>
        </w:tc>
        <w:tc>
          <w:tcPr>
            <w:tcW w:w="520" w:type="dxa"/>
            <w:vAlign w:val="bottom"/>
          </w:tcPr>
          <w:p>
            <w:pPr>
              <w:spacing w:after="0"/>
              <w:rPr>
                <w:sz w:val="18"/>
                <w:szCs w:val="18"/>
                <w:color w:val="auto"/>
              </w:rPr>
            </w:pPr>
          </w:p>
        </w:tc>
        <w:tc>
          <w:tcPr>
            <w:tcW w:w="8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1,809</w:t>
            </w:r>
          </w:p>
        </w:tc>
      </w:tr>
      <w:tr>
        <w:trPr>
          <w:trHeight w:val="216"/>
        </w:trPr>
        <w:tc>
          <w:tcPr>
            <w:tcW w:w="33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3,111</w:t>
            </w:r>
          </w:p>
        </w:tc>
        <w:tc>
          <w:tcPr>
            <w:tcW w:w="52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rPr>
              <w:t>—</w:t>
            </w:r>
          </w:p>
        </w:tc>
        <w:tc>
          <w:tcPr>
            <w:tcW w:w="50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112"/>
              <w:spacing w:after="0"/>
              <w:rPr>
                <w:sz w:val="20"/>
                <w:szCs w:val="20"/>
                <w:color w:val="auto"/>
              </w:rPr>
            </w:pPr>
            <w:r>
              <w:rPr>
                <w:rFonts w:ascii="Arial" w:cs="Arial" w:eastAsia="Arial" w:hAnsi="Arial"/>
                <w:sz w:val="18"/>
                <w:szCs w:val="18"/>
                <w:color w:val="auto"/>
              </w:rPr>
              <w:t>(53)</w:t>
            </w:r>
          </w:p>
        </w:tc>
        <w:tc>
          <w:tcPr>
            <w:tcW w:w="280" w:type="dxa"/>
            <w:vAlign w:val="bottom"/>
            <w:shd w:val="clear" w:color="auto" w:fill="EAF9E8"/>
          </w:tcPr>
          <w:p>
            <w:pPr>
              <w:spacing w:after="0"/>
              <w:rPr>
                <w:sz w:val="18"/>
                <w:szCs w:val="18"/>
                <w:color w:val="auto"/>
              </w:rPr>
            </w:pPr>
          </w:p>
        </w:tc>
        <w:tc>
          <w:tcPr>
            <w:tcW w:w="72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3,058</w:t>
            </w:r>
          </w:p>
        </w:tc>
      </w:tr>
      <w:tr>
        <w:trPr>
          <w:trHeight w:val="216"/>
        </w:trPr>
        <w:tc>
          <w:tcPr>
            <w:tcW w:w="3360" w:type="dxa"/>
            <w:vAlign w:val="bottom"/>
          </w:tcPr>
          <w:p>
            <w:pPr>
              <w:ind w:left="320"/>
              <w:spacing w:after="0"/>
              <w:rPr>
                <w:sz w:val="20"/>
                <w:szCs w:val="20"/>
                <w:color w:val="auto"/>
              </w:rPr>
            </w:pPr>
            <w:r>
              <w:rPr>
                <w:rFonts w:ascii="Arial" w:cs="Arial" w:eastAsia="Arial" w:hAnsi="Arial"/>
                <w:sz w:val="18"/>
                <w:szCs w:val="18"/>
                <w:color w:val="auto"/>
              </w:rPr>
              <w:t>Net income per share, basic</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0.41</w:t>
            </w:r>
          </w:p>
        </w:tc>
        <w:tc>
          <w:tcPr>
            <w:tcW w:w="520" w:type="dxa"/>
            <w:vAlign w:val="bottom"/>
          </w:tcPr>
          <w:p>
            <w:pPr>
              <w:jc w:val="right"/>
              <w:ind w:right="34"/>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6"/>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(0.01)</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0.40</w:t>
            </w:r>
          </w:p>
        </w:tc>
      </w:tr>
      <w:tr>
        <w:trPr>
          <w:trHeight w:val="216"/>
        </w:trPr>
        <w:tc>
          <w:tcPr>
            <w:tcW w:w="33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Net income per share, diluted</w:t>
            </w: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0.41</w:t>
            </w:r>
          </w:p>
        </w:tc>
        <w:tc>
          <w:tcPr>
            <w:tcW w:w="52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rPr>
              <w:t>—</w:t>
            </w:r>
          </w:p>
        </w:tc>
        <w:tc>
          <w:tcPr>
            <w:tcW w:w="50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112"/>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EAF9E8"/>
          </w:tcPr>
          <w:p>
            <w:pPr>
              <w:spacing w:after="0"/>
              <w:rPr>
                <w:sz w:val="18"/>
                <w:szCs w:val="18"/>
                <w:color w:val="auto"/>
              </w:rPr>
            </w:pPr>
          </w:p>
        </w:tc>
        <w:tc>
          <w:tcPr>
            <w:tcW w:w="72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0.40</w:t>
            </w:r>
          </w:p>
        </w:tc>
      </w:tr>
      <w:tr>
        <w:trPr>
          <w:trHeight w:val="364"/>
        </w:trPr>
        <w:tc>
          <w:tcPr>
            <w:tcW w:w="3360" w:type="dxa"/>
            <w:vAlign w:val="bottom"/>
          </w:tcPr>
          <w:p>
            <w:pPr>
              <w:ind w:left="160"/>
              <w:spacing w:after="0"/>
              <w:rPr>
                <w:sz w:val="20"/>
                <w:szCs w:val="20"/>
                <w:color w:val="auto"/>
              </w:rPr>
            </w:pPr>
            <w:r>
              <w:rPr>
                <w:rFonts w:ascii="Arial" w:cs="Arial" w:eastAsia="Arial" w:hAnsi="Arial"/>
                <w:sz w:val="18"/>
                <w:szCs w:val="18"/>
                <w:color w:val="auto"/>
                <w:w w:val="94"/>
              </w:rPr>
              <w:t>Three Months Ended December 31, 2004:</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7"/>
        </w:trPr>
        <w:tc>
          <w:tcPr>
            <w:tcW w:w="33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Operating revenues</w:t>
            </w:r>
          </w:p>
        </w:tc>
        <w:tc>
          <w:tcPr>
            <w:tcW w:w="34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32,300</w:t>
            </w:r>
          </w:p>
        </w:tc>
        <w:tc>
          <w:tcPr>
            <w:tcW w:w="520" w:type="dxa"/>
            <w:vAlign w:val="bottom"/>
            <w:shd w:val="clear" w:color="auto" w:fill="EAF9E8"/>
          </w:tcPr>
          <w:p>
            <w:pPr>
              <w:jc w:val="right"/>
              <w:ind w:right="34"/>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rPr>
              <w:t>—</w:t>
            </w:r>
          </w:p>
        </w:tc>
        <w:tc>
          <w:tcPr>
            <w:tcW w:w="500" w:type="dxa"/>
            <w:vAlign w:val="bottom"/>
            <w:shd w:val="clear" w:color="auto" w:fill="EAF9E8"/>
          </w:tcPr>
          <w:p>
            <w:pPr>
              <w:jc w:val="right"/>
              <w:ind w:right="36"/>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AF9E8"/>
          </w:tcPr>
          <w:p>
            <w:pPr>
              <w:jc w:val="right"/>
              <w:ind w:right="172"/>
              <w:spacing w:after="0"/>
              <w:rPr>
                <w:sz w:val="20"/>
                <w:szCs w:val="20"/>
                <w:color w:val="auto"/>
              </w:rPr>
            </w:pPr>
            <w:r>
              <w:rPr>
                <w:rFonts w:ascii="Arial" w:cs="Arial" w:eastAsia="Arial" w:hAnsi="Arial"/>
                <w:sz w:val="18"/>
                <w:szCs w:val="18"/>
                <w:color w:val="auto"/>
              </w:rPr>
              <w:t>5</w:t>
            </w:r>
          </w:p>
        </w:tc>
        <w:tc>
          <w:tcPr>
            <w:tcW w:w="28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32,305</w:t>
            </w:r>
          </w:p>
        </w:tc>
      </w:tr>
      <w:tr>
        <w:trPr>
          <w:trHeight w:val="216"/>
        </w:trPr>
        <w:tc>
          <w:tcPr>
            <w:tcW w:w="3360" w:type="dxa"/>
            <w:vAlign w:val="bottom"/>
          </w:tcPr>
          <w:p>
            <w:pPr>
              <w:ind w:left="320"/>
              <w:spacing w:after="0"/>
              <w:rPr>
                <w:sz w:val="20"/>
                <w:szCs w:val="20"/>
                <w:color w:val="auto"/>
              </w:rPr>
            </w:pPr>
            <w:r>
              <w:rPr>
                <w:rFonts w:ascii="Arial" w:cs="Arial" w:eastAsia="Arial" w:hAnsi="Arial"/>
                <w:sz w:val="18"/>
                <w:szCs w:val="18"/>
                <w:color w:val="auto"/>
              </w:rPr>
              <w:t>Cost of goods and services</w:t>
            </w:r>
          </w:p>
        </w:tc>
        <w:tc>
          <w:tcPr>
            <w:tcW w:w="34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6,090</w:t>
            </w:r>
          </w:p>
        </w:tc>
        <w:tc>
          <w:tcPr>
            <w:tcW w:w="520" w:type="dxa"/>
            <w:vAlign w:val="bottom"/>
          </w:tcPr>
          <w:p>
            <w:pPr>
              <w:spacing w:after="0"/>
              <w:rPr>
                <w:sz w:val="18"/>
                <w:szCs w:val="18"/>
                <w:color w:val="auto"/>
              </w:rPr>
            </w:pPr>
          </w:p>
        </w:tc>
        <w:tc>
          <w:tcPr>
            <w:tcW w:w="860" w:type="dxa"/>
            <w:vAlign w:val="bottom"/>
          </w:tcPr>
          <w:p>
            <w:pPr>
              <w:jc w:val="right"/>
              <w:ind w:right="212"/>
              <w:spacing w:after="0"/>
              <w:rPr>
                <w:sz w:val="20"/>
                <w:szCs w:val="20"/>
                <w:color w:val="auto"/>
              </w:rPr>
            </w:pPr>
            <w:r>
              <w:rPr>
                <w:rFonts w:ascii="Arial" w:cs="Arial" w:eastAsia="Arial" w:hAnsi="Arial"/>
                <w:sz w:val="18"/>
                <w:szCs w:val="18"/>
                <w:color w:val="auto"/>
              </w:rPr>
              <w:t>6,680</w:t>
            </w:r>
          </w:p>
        </w:tc>
        <w:tc>
          <w:tcPr>
            <w:tcW w:w="50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12,858</w:t>
            </w:r>
          </w:p>
        </w:tc>
      </w:tr>
      <w:tr>
        <w:trPr>
          <w:trHeight w:val="216"/>
        </w:trPr>
        <w:tc>
          <w:tcPr>
            <w:tcW w:w="33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Network operating costs</w:t>
            </w: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9,571</w:t>
            </w:r>
          </w:p>
        </w:tc>
        <w:tc>
          <w:tcPr>
            <w:tcW w:w="52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rPr>
              <w:t>(9,571)</w:t>
            </w:r>
          </w:p>
        </w:tc>
        <w:tc>
          <w:tcPr>
            <w:tcW w:w="50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shd w:val="clear" w:color="auto" w:fill="EAF9E8"/>
          </w:tcPr>
          <w:p>
            <w:pPr>
              <w:spacing w:after="0"/>
              <w:rPr>
                <w:sz w:val="18"/>
                <w:szCs w:val="18"/>
                <w:color w:val="auto"/>
              </w:rPr>
            </w:pPr>
          </w:p>
        </w:tc>
        <w:tc>
          <w:tcPr>
            <w:tcW w:w="72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3360" w:type="dxa"/>
            <w:vAlign w:val="bottom"/>
          </w:tcPr>
          <w:p>
            <w:pPr>
              <w:ind w:left="32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3,844</w:t>
            </w:r>
          </w:p>
        </w:tc>
        <w:tc>
          <w:tcPr>
            <w:tcW w:w="520" w:type="dxa"/>
            <w:vAlign w:val="bottom"/>
          </w:tcPr>
          <w:p>
            <w:pPr>
              <w:spacing w:after="0"/>
              <w:rPr>
                <w:sz w:val="18"/>
                <w:szCs w:val="18"/>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(405)</w:t>
            </w:r>
          </w:p>
        </w:tc>
        <w:tc>
          <w:tcPr>
            <w:tcW w:w="50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3,356</w:t>
            </w:r>
          </w:p>
        </w:tc>
      </w:tr>
      <w:tr>
        <w:trPr>
          <w:trHeight w:val="216"/>
        </w:trPr>
        <w:tc>
          <w:tcPr>
            <w:tcW w:w="33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Income tax provision</w:t>
            </w: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1,145</w:t>
            </w:r>
          </w:p>
        </w:tc>
        <w:tc>
          <w:tcPr>
            <w:tcW w:w="52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112"/>
              <w:spacing w:after="0"/>
              <w:rPr>
                <w:sz w:val="20"/>
                <w:szCs w:val="20"/>
                <w:color w:val="auto"/>
              </w:rPr>
            </w:pPr>
            <w:r>
              <w:rPr>
                <w:rFonts w:ascii="Arial" w:cs="Arial" w:eastAsia="Arial" w:hAnsi="Arial"/>
                <w:sz w:val="18"/>
                <w:szCs w:val="18"/>
                <w:color w:val="auto"/>
              </w:rPr>
              <w:t>(49)</w:t>
            </w:r>
          </w:p>
        </w:tc>
        <w:tc>
          <w:tcPr>
            <w:tcW w:w="280" w:type="dxa"/>
            <w:vAlign w:val="bottom"/>
            <w:shd w:val="clear" w:color="auto" w:fill="EAF9E8"/>
          </w:tcPr>
          <w:p>
            <w:pPr>
              <w:spacing w:after="0"/>
              <w:rPr>
                <w:sz w:val="18"/>
                <w:szCs w:val="18"/>
                <w:color w:val="auto"/>
              </w:rPr>
            </w:pPr>
          </w:p>
        </w:tc>
        <w:tc>
          <w:tcPr>
            <w:tcW w:w="72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1,095</w:t>
            </w:r>
          </w:p>
        </w:tc>
      </w:tr>
      <w:tr>
        <w:trPr>
          <w:trHeight w:val="216"/>
        </w:trPr>
        <w:tc>
          <w:tcPr>
            <w:tcW w:w="336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1,939</w:t>
            </w:r>
          </w:p>
        </w:tc>
        <w:tc>
          <w:tcPr>
            <w:tcW w:w="520" w:type="dxa"/>
            <w:vAlign w:val="bottom"/>
          </w:tcPr>
          <w:p>
            <w:pPr>
              <w:spacing w:after="0"/>
              <w:rPr>
                <w:sz w:val="18"/>
                <w:szCs w:val="18"/>
                <w:color w:val="auto"/>
              </w:rPr>
            </w:pPr>
          </w:p>
        </w:tc>
        <w:tc>
          <w:tcPr>
            <w:tcW w:w="8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1,904</w:t>
            </w:r>
          </w:p>
        </w:tc>
      </w:tr>
      <w:tr>
        <w:trPr>
          <w:trHeight w:val="216"/>
        </w:trPr>
        <w:tc>
          <w:tcPr>
            <w:tcW w:w="33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Net income per share, basic</w:t>
            </w:r>
          </w:p>
        </w:tc>
        <w:tc>
          <w:tcPr>
            <w:tcW w:w="34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0.25</w:t>
            </w:r>
          </w:p>
        </w:tc>
        <w:tc>
          <w:tcPr>
            <w:tcW w:w="520" w:type="dxa"/>
            <w:vAlign w:val="bottom"/>
            <w:shd w:val="clear" w:color="auto" w:fill="EAF9E8"/>
          </w:tcPr>
          <w:p>
            <w:pPr>
              <w:jc w:val="right"/>
              <w:ind w:right="34"/>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rPr>
              <w:t>—</w:t>
            </w:r>
          </w:p>
        </w:tc>
        <w:tc>
          <w:tcPr>
            <w:tcW w:w="500" w:type="dxa"/>
            <w:vAlign w:val="bottom"/>
            <w:shd w:val="clear" w:color="auto" w:fill="EAF9E8"/>
          </w:tcPr>
          <w:p>
            <w:pPr>
              <w:jc w:val="right"/>
              <w:ind w:right="36"/>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AF9E8"/>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0.25</w:t>
            </w:r>
          </w:p>
        </w:tc>
      </w:tr>
      <w:tr>
        <w:trPr>
          <w:trHeight w:val="222"/>
        </w:trPr>
        <w:tc>
          <w:tcPr>
            <w:tcW w:w="3360" w:type="dxa"/>
            <w:vAlign w:val="bottom"/>
          </w:tcPr>
          <w:p>
            <w:pPr>
              <w:ind w:left="320"/>
              <w:spacing w:after="0"/>
              <w:rPr>
                <w:sz w:val="20"/>
                <w:szCs w:val="20"/>
                <w:color w:val="auto"/>
              </w:rPr>
            </w:pPr>
            <w:r>
              <w:rPr>
                <w:rFonts w:ascii="Arial" w:cs="Arial" w:eastAsia="Arial" w:hAnsi="Arial"/>
                <w:sz w:val="18"/>
                <w:szCs w:val="18"/>
                <w:color w:val="auto"/>
              </w:rPr>
              <w:t>Net income per share, diluted</w:t>
            </w:r>
          </w:p>
        </w:tc>
        <w:tc>
          <w:tcPr>
            <w:tcW w:w="340" w:type="dxa"/>
            <w:vAlign w:val="bottom"/>
          </w:tcPr>
          <w:p>
            <w:pPr>
              <w:spacing w:after="0"/>
              <w:rPr>
                <w:sz w:val="19"/>
                <w:szCs w:val="19"/>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0.25</w:t>
            </w:r>
          </w:p>
        </w:tc>
        <w:tc>
          <w:tcPr>
            <w:tcW w:w="520" w:type="dxa"/>
            <w:vAlign w:val="bottom"/>
          </w:tcPr>
          <w:p>
            <w:pPr>
              <w:spacing w:after="0"/>
              <w:rPr>
                <w:sz w:val="19"/>
                <w:szCs w:val="19"/>
                <w:color w:val="auto"/>
              </w:rPr>
            </w:pPr>
          </w:p>
        </w:tc>
        <w:tc>
          <w:tcPr>
            <w:tcW w:w="8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0.25</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relating to the effect of the restatement, see the following items: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 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1 – Business</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371" w:right="1440"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Part II</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Item 6 –Selected Financial Data</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Item 7-Management’s Discussion and Analysis of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Item 8-Financial Statements and Supplementary Data</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833" w:right="1440" w:bottom="1440" w:gutter="0" w:footer="0" w:header="0"/>
        </w:sectPr>
      </w:pPr>
    </w:p>
    <w:bookmarkStart w:id="9" w:name="page10"/>
    <w:bookmarkEnd w:id="9"/>
    <w:p>
      <w:pPr>
        <w:ind w:left="3780"/>
        <w:spacing w:after="0"/>
        <w:rPr>
          <w:sz w:val="20"/>
          <w:szCs w:val="20"/>
          <w:color w:val="auto"/>
        </w:rPr>
      </w:pPr>
      <w:r>
        <w:rPr>
          <w:rFonts w:ascii="Arial" w:cs="Arial" w:eastAsia="Arial" w:hAnsi="Arial"/>
          <w:sz w:val="18"/>
          <w:szCs w:val="18"/>
          <w:b w:val="1"/>
          <w:bCs w:val="1"/>
          <w:color w:val="auto"/>
        </w:rPr>
        <w:t>PART I</w:t>
      </w:r>
    </w:p>
    <w:p>
      <w:pPr>
        <w:spacing w:after="0" w:line="245" w:lineRule="exact"/>
        <w:rPr>
          <w:sz w:val="20"/>
          <w:szCs w:val="20"/>
          <w:color w:val="auto"/>
        </w:rPr>
      </w:pPr>
    </w:p>
    <w:p>
      <w:pPr>
        <w:ind w:left="820" w:right="2199"/>
        <w:spacing w:after="0" w:line="298" w:lineRule="auto"/>
        <w:rPr>
          <w:sz w:val="20"/>
          <w:szCs w:val="20"/>
          <w:color w:val="auto"/>
        </w:rPr>
      </w:pPr>
      <w:r>
        <w:rPr>
          <w:rFonts w:ascii="Arial" w:cs="Arial" w:eastAsia="Arial" w:hAnsi="Arial"/>
          <w:sz w:val="16"/>
          <w:szCs w:val="16"/>
          <w:i w:val="1"/>
          <w:iCs w:val="1"/>
          <w:color w:val="auto"/>
        </w:rPr>
        <w:t>Some of the information contained in this report concerning the markets and industry in which we operate is derived from publicly available information and from industry sources. Although we believe that this publicly available information and the information provided by these industry sources are reliable, we have not independently verified the accuracy of any of this information.</w:t>
      </w:r>
    </w:p>
    <w:p>
      <w:pPr>
        <w:spacing w:after="0" w:line="99" w:lineRule="exact"/>
        <w:rPr>
          <w:sz w:val="20"/>
          <w:szCs w:val="20"/>
          <w:color w:val="auto"/>
        </w:rPr>
      </w:pPr>
    </w:p>
    <w:p>
      <w:pPr>
        <w:ind w:left="820" w:right="2539"/>
        <w:spacing w:after="0" w:line="268" w:lineRule="auto"/>
        <w:rPr>
          <w:sz w:val="20"/>
          <w:szCs w:val="20"/>
          <w:color w:val="auto"/>
        </w:rPr>
      </w:pPr>
      <w:r>
        <w:rPr>
          <w:rFonts w:ascii="Arial" w:cs="Arial" w:eastAsia="Arial" w:hAnsi="Arial"/>
          <w:sz w:val="18"/>
          <w:szCs w:val="18"/>
          <w:i w:val="1"/>
          <w:iCs w:val="1"/>
          <w:color w:val="auto"/>
        </w:rPr>
        <w:t>Unless we indicate otherwise, references in this report to “we,” “us,” “our” and “the Company” means Shenandoah Telecommunications Company and its subsidiaries.</w:t>
      </w:r>
    </w:p>
    <w:p>
      <w:pPr>
        <w:spacing w:after="0" w:line="112" w:lineRule="exact"/>
        <w:rPr>
          <w:sz w:val="20"/>
          <w:szCs w:val="20"/>
          <w:color w:val="auto"/>
        </w:rPr>
      </w:pPr>
    </w:p>
    <w:p>
      <w:pPr>
        <w:jc w:val="right"/>
        <w:ind w:right="8719"/>
        <w:spacing w:after="0"/>
        <w:rPr>
          <w:sz w:val="20"/>
          <w:szCs w:val="20"/>
          <w:color w:val="auto"/>
        </w:rPr>
      </w:pPr>
      <w:r>
        <w:rPr>
          <w:rFonts w:ascii="Arial" w:cs="Arial" w:eastAsia="Arial" w:hAnsi="Arial"/>
          <w:sz w:val="16"/>
          <w:szCs w:val="16"/>
          <w:color w:val="auto"/>
        </w:rPr>
        <w:t xml:space="preserve">ITEM 1. </w:t>
      </w:r>
      <w:r>
        <w:rPr>
          <w:rFonts w:ascii="Arial" w:cs="Arial" w:eastAsia="Arial" w:hAnsi="Arial"/>
          <w:sz w:val="16"/>
          <w:szCs w:val="16"/>
          <w:b w:val="1"/>
          <w:bCs w:val="1"/>
          <w:color w:val="auto"/>
        </w:rPr>
        <w:t>BUSINESS</w:t>
      </w:r>
    </w:p>
    <w:p>
      <w:pPr>
        <w:spacing w:after="0" w:line="181" w:lineRule="exact"/>
        <w:rPr>
          <w:sz w:val="20"/>
          <w:szCs w:val="20"/>
          <w:color w:val="auto"/>
        </w:rPr>
      </w:pPr>
    </w:p>
    <w:p>
      <w:pPr>
        <w:jc w:val="right"/>
        <w:ind w:right="8679"/>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ind w:left="820" w:right="2139"/>
        <w:spacing w:after="0" w:line="294" w:lineRule="auto"/>
        <w:rPr>
          <w:sz w:val="20"/>
          <w:szCs w:val="20"/>
          <w:color w:val="auto"/>
        </w:rPr>
      </w:pPr>
      <w:r>
        <w:rPr>
          <w:rFonts w:ascii="Arial" w:cs="Arial" w:eastAsia="Arial" w:hAnsi="Arial"/>
          <w:sz w:val="16"/>
          <w:szCs w:val="16"/>
          <w:color w:val="auto"/>
        </w:rPr>
        <w:t>Shenandoah Telecommunications Company is a diversified telecommunications holding company that, through its operating subsidiaries, provides both regulated and unregulated telecommunications services to end-user customers and other communications providers in the southeastern United States. The Company offers a comprehensive suite of voice, video and data communications services based on the products and services provided by the Company’s operating subsidiaries.</w:t>
      </w:r>
    </w:p>
    <w:p>
      <w:pPr>
        <w:spacing w:after="0" w:line="102" w:lineRule="exact"/>
        <w:rPr>
          <w:sz w:val="20"/>
          <w:szCs w:val="20"/>
          <w:color w:val="auto"/>
        </w:rPr>
      </w:pPr>
    </w:p>
    <w:p>
      <w:pPr>
        <w:ind w:left="820" w:right="2239"/>
        <w:spacing w:after="0" w:line="288" w:lineRule="auto"/>
        <w:rPr>
          <w:sz w:val="20"/>
          <w:szCs w:val="20"/>
          <w:color w:val="auto"/>
        </w:rPr>
      </w:pPr>
      <w:r>
        <w:rPr>
          <w:rFonts w:ascii="Arial" w:cs="Arial" w:eastAsia="Arial" w:hAnsi="Arial"/>
          <w:sz w:val="16"/>
          <w:szCs w:val="16"/>
          <w:color w:val="auto"/>
        </w:rPr>
        <w:t>The Company’s primary market area historically has been the northern Shenandoah Valley of Virginia and surrounding areas. This market area includes parts of Virginia ranging from Harrisonburg in the south to Winchester in the north. Pursuant to a management agreement with Sprint Nextel Communications, Inc., and its related parties, (which we refer to collectively as “Sprint Nextel”) the Company is the exclusive personal communications service (“PCS”) Affiliate of Sprint Nextel providing mobility communications network products and services in the 1900 megahertz spectrum range in the four-state area extending from Harrisonburg, Virginia to Harrisburg, York and Altoona, Pennsylvania. The Company operates its PCS network under the Sprint Nextel radio spectrum license and brand. The Company also holds paging radio telecommunications licenses.</w:t>
      </w:r>
    </w:p>
    <w:p>
      <w:pPr>
        <w:spacing w:after="0" w:line="106" w:lineRule="exact"/>
        <w:rPr>
          <w:sz w:val="20"/>
          <w:szCs w:val="20"/>
          <w:color w:val="auto"/>
        </w:rPr>
      </w:pPr>
    </w:p>
    <w:p>
      <w:pPr>
        <w:ind w:left="820" w:right="2199"/>
        <w:spacing w:after="0" w:line="255" w:lineRule="auto"/>
        <w:rPr>
          <w:sz w:val="20"/>
          <w:szCs w:val="20"/>
          <w:color w:val="auto"/>
        </w:rPr>
      </w:pPr>
      <w:r>
        <w:rPr>
          <w:rFonts w:ascii="Arial" w:cs="Arial" w:eastAsia="Arial" w:hAnsi="Arial"/>
          <w:sz w:val="18"/>
          <w:szCs w:val="18"/>
          <w:color w:val="auto"/>
        </w:rPr>
        <w:t>Following its acquisition of NTC Communications LLC (“NTC”) in November 2004, the Company provides high speed Internet, video and local and long distance voice services to multi-dwelling unit (“MDU”) communities (primarily off-campus student housing) in Virginia, Maryland, North Carolina, South Carolina, Georgia, Florida, Tennessee and Mississippi. At December 31, 2005, NTC served 109 MDU housing complexes.</w:t>
      </w:r>
    </w:p>
    <w:p>
      <w:pPr>
        <w:spacing w:after="0" w:line="129" w:lineRule="exact"/>
        <w:rPr>
          <w:sz w:val="20"/>
          <w:szCs w:val="20"/>
          <w:color w:val="auto"/>
        </w:rPr>
      </w:pPr>
    </w:p>
    <w:p>
      <w:pPr>
        <w:ind w:left="820" w:right="2219"/>
        <w:spacing w:after="0" w:line="253" w:lineRule="auto"/>
        <w:rPr>
          <w:sz w:val="20"/>
          <w:szCs w:val="20"/>
          <w:color w:val="auto"/>
        </w:rPr>
      </w:pPr>
      <w:r>
        <w:rPr>
          <w:rFonts w:ascii="Arial" w:cs="Arial" w:eastAsia="Arial" w:hAnsi="Arial"/>
          <w:sz w:val="18"/>
          <w:szCs w:val="18"/>
          <w:color w:val="auto"/>
        </w:rPr>
        <w:t>The Company offers many of its services over its own fiber optic network of approximately 616 miles at December 31, 2005. The main lines of the network follow the Interstate 81 corridor to the Pennsylvania state line and the Interstate 66 corridor in the northwestern part of Virginia. Secondary routes provide alternative routing in the event of an outage. In addition to its own fiber network, the Company through its telephone subsidiary has a 20 percent ownership in Valley Network Partnership (“ValleyNet”), which is a partnership offering fiber network facility capacity in western, central, and northern Virginia, as well as the Interstate 81 corridor from Johnson City, Tennessee to Carlisle, Pennsylvania.</w:t>
      </w:r>
    </w:p>
    <w:p>
      <w:pPr>
        <w:spacing w:after="0" w:line="19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10" w:name="page11"/>
    <w:bookmarkEnd w:id="10"/>
    <w:p>
      <w:pPr>
        <w:jc w:val="both"/>
        <w:ind w:right="2279"/>
        <w:spacing w:after="0" w:line="259" w:lineRule="auto"/>
        <w:rPr>
          <w:sz w:val="20"/>
          <w:szCs w:val="20"/>
          <w:color w:val="auto"/>
        </w:rPr>
      </w:pPr>
      <w:r>
        <w:rPr>
          <w:rFonts w:ascii="Arial" w:cs="Arial" w:eastAsia="Arial" w:hAnsi="Arial"/>
          <w:sz w:val="18"/>
          <w:szCs w:val="18"/>
          <w:color w:val="auto"/>
        </w:rPr>
        <w:t>The Company is certified to offer competitive local exchange services in Virginia and North Carolina outside of its present telephone service area and is in the process of obtaining certification to provide competitive local exchange services in West Virginia.</w:t>
      </w:r>
    </w:p>
    <w:p>
      <w:pPr>
        <w:spacing w:after="0" w:line="127" w:lineRule="exact"/>
        <w:rPr>
          <w:sz w:val="20"/>
          <w:szCs w:val="20"/>
          <w:color w:val="auto"/>
        </w:rPr>
      </w:pPr>
    </w:p>
    <w:p>
      <w:pPr>
        <w:ind w:right="2119"/>
        <w:spacing w:after="0" w:line="288" w:lineRule="auto"/>
        <w:rPr>
          <w:sz w:val="20"/>
          <w:szCs w:val="20"/>
          <w:color w:val="auto"/>
        </w:rPr>
      </w:pPr>
      <w:r>
        <w:rPr>
          <w:rFonts w:ascii="Arial" w:cs="Arial" w:eastAsia="Arial" w:hAnsi="Arial"/>
          <w:sz w:val="16"/>
          <w:szCs w:val="16"/>
          <w:color w:val="auto"/>
        </w:rPr>
        <w:t>In February 2003, the Company sold its 66% general partner interest in the Virginia 10 RSA Limited Partnership, which was engaged in cellular operations, to Verizon Wireless for $37.0 million. The total proceeds received were $38.7 million, of which $5.0 million were held in escrow for the payment of potential specified contingencies and indemnification obligations during the two-year post-closing period. In February 2005, the full escrowed deposit of $5.0 million, included as an escrow receivable at December 31, 2004, was released to the Company in February 2005. The Company’s net after-tax gain on the transaction was approximately $22.4 million. The operating results of the partnership are reflected in discontinued operations for the applicable periods presented in the Company’s consolidated financial statements appearing elsewhere in this report.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Tackley Mill</w:t>
      </w:r>
    </w:p>
    <w:p>
      <w:pPr>
        <w:spacing w:after="0" w:line="158" w:lineRule="exact"/>
        <w:rPr>
          <w:sz w:val="20"/>
          <w:szCs w:val="20"/>
          <w:color w:val="auto"/>
        </w:rPr>
      </w:pPr>
    </w:p>
    <w:p>
      <w:pPr>
        <w:ind w:right="2199"/>
        <w:spacing w:after="0" w:line="288" w:lineRule="auto"/>
        <w:rPr>
          <w:sz w:val="20"/>
          <w:szCs w:val="20"/>
          <w:color w:val="auto"/>
        </w:rPr>
      </w:pPr>
      <w:r>
        <w:rPr>
          <w:rFonts w:ascii="Arial" w:cs="Arial" w:eastAsia="Arial" w:hAnsi="Arial"/>
          <w:sz w:val="16"/>
          <w:szCs w:val="16"/>
          <w:color w:val="auto"/>
        </w:rPr>
        <w:t>On February 15, 2006, the Company entered into an agreement with RCMS/Legacy Custom Homes to build an advanced fiber optic network for Legacy’s newest community, Tackley Mill in Ranson, West Virginia. The Company will provide this new community with a comprehensive suite of telecommunications solutions, including local and long distance telephone service, cable TV, high-speed Internet access and security monitoring. When construction of the first phase of the community is completed, Tackley Mill will initially include 1,080 single-family homes and 650 town homes and apartment units. The Company has applied for a cable franchise from the City of Ranson and for authorization to operate as a competitive local exchange carrier or CLEC from the state of West Virginia.</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Sprint Nextel Merger</w:t>
      </w:r>
    </w:p>
    <w:p>
      <w:pPr>
        <w:spacing w:after="0" w:line="158" w:lineRule="exact"/>
        <w:rPr>
          <w:sz w:val="20"/>
          <w:szCs w:val="20"/>
          <w:color w:val="auto"/>
        </w:rPr>
      </w:pPr>
    </w:p>
    <w:p>
      <w:pPr>
        <w:ind w:right="2319"/>
        <w:spacing w:after="0" w:line="306" w:lineRule="auto"/>
        <w:rPr>
          <w:sz w:val="20"/>
          <w:szCs w:val="20"/>
          <w:color w:val="auto"/>
        </w:rPr>
      </w:pPr>
      <w:r>
        <w:rPr>
          <w:rFonts w:ascii="Arial" w:cs="Arial" w:eastAsia="Arial" w:hAnsi="Arial"/>
          <w:sz w:val="16"/>
          <w:szCs w:val="16"/>
          <w:color w:val="auto"/>
        </w:rPr>
        <w:t>On August 12, 2005, Sprint Communications, Inc. and Nextel Communications, Inc. merged to form Sprint Nextel Communications, Inc. Nextel and its affiliate Nextel Partners, Inc., are providers of digital wireless communications services in the Company’s PCS service area.</w:t>
      </w:r>
    </w:p>
    <w:p>
      <w:pPr>
        <w:spacing w:after="0" w:line="93" w:lineRule="exact"/>
        <w:rPr>
          <w:sz w:val="20"/>
          <w:szCs w:val="20"/>
          <w:color w:val="auto"/>
        </w:rPr>
      </w:pPr>
    </w:p>
    <w:p>
      <w:pPr>
        <w:ind w:right="2179"/>
        <w:spacing w:after="0" w:line="290" w:lineRule="auto"/>
        <w:rPr>
          <w:sz w:val="20"/>
          <w:szCs w:val="20"/>
          <w:color w:val="auto"/>
        </w:rPr>
      </w:pPr>
      <w:r>
        <w:rPr>
          <w:rFonts w:ascii="Arial" w:cs="Arial" w:eastAsia="Arial" w:hAnsi="Arial"/>
          <w:sz w:val="16"/>
          <w:szCs w:val="16"/>
          <w:color w:val="auto"/>
        </w:rPr>
        <w:t>The Company’s PCS subsidiary is one of a number of companies we refer to as the “Sprint PCS Affiliates,” which had entered into substantially similar management and affiliation agreements with Sprint Communications, Inc, prior to the Sprint Nextel merger. In connection with the merger, a number of the Sprint PCS Affiliates filed suit against Sprint Nextel alleging that the merger would result in a breach of the exclusivity provisions of their agreements with Sprint Nextel. A number of these legal proceedings are pending. In addition, since the Sprint Nextel merger was announced, Sprint Nextel has acquired several of the Sprint PCS Affiliates.</w:t>
      </w:r>
    </w:p>
    <w:p>
      <w:pPr>
        <w:spacing w:after="0" w:line="105" w:lineRule="exact"/>
        <w:rPr>
          <w:sz w:val="20"/>
          <w:szCs w:val="20"/>
          <w:color w:val="auto"/>
        </w:rPr>
      </w:pPr>
    </w:p>
    <w:p>
      <w:pPr>
        <w:ind w:right="2139"/>
        <w:spacing w:after="0" w:line="253" w:lineRule="auto"/>
        <w:rPr>
          <w:sz w:val="20"/>
          <w:szCs w:val="20"/>
          <w:color w:val="auto"/>
        </w:rPr>
      </w:pPr>
      <w:r>
        <w:rPr>
          <w:rFonts w:ascii="Arial" w:cs="Arial" w:eastAsia="Arial" w:hAnsi="Arial"/>
          <w:sz w:val="18"/>
          <w:szCs w:val="18"/>
          <w:color w:val="auto"/>
        </w:rPr>
        <w:t>Prior to the Sprint Nextel merger, the Company and Sprint Nextel entered into a forbearance agreement which sets forth Sprint Nextel’s agreement to observe specified limitations in operating Nextel’s wireless business in the Company’s PCS service area. The agreement also sets forth the Company’s agreement not to initiate litigation or seek certain injunctive or equitable relief under certain circumstances, in each case during the period in which the agreement remains in effect. Sprint Nextel and the Company are engaged in discussions concerning potential changes to the management agreement</w:t>
      </w:r>
    </w:p>
    <w:p>
      <w:pPr>
        <w:spacing w:after="0" w:line="20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146050</wp:posOffset>
            </wp:positionV>
            <wp:extent cx="5166995" cy="46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9399"/>
          </w:cols>
          <w:pgMar w:left="1060" w:top="388" w:right="1440" w:bottom="1440" w:gutter="0" w:footer="0" w:header="0"/>
        </w:sectPr>
      </w:pPr>
    </w:p>
    <w:bookmarkStart w:id="11" w:name="page12"/>
    <w:bookmarkEnd w:id="11"/>
    <w:p>
      <w:pPr>
        <w:jc w:val="both"/>
        <w:ind w:right="2119"/>
        <w:spacing w:after="0" w:line="259" w:lineRule="auto"/>
        <w:rPr>
          <w:sz w:val="20"/>
          <w:szCs w:val="20"/>
          <w:color w:val="auto"/>
        </w:rPr>
      </w:pPr>
      <w:r>
        <w:rPr>
          <w:rFonts w:ascii="Arial" w:cs="Arial" w:eastAsia="Arial" w:hAnsi="Arial"/>
          <w:sz w:val="18"/>
          <w:szCs w:val="18"/>
          <w:color w:val="auto"/>
        </w:rPr>
        <w:t>necessary to reflect the merger of Sprint and Nextel Communications, Inc and the acquisition of Nextel Partners, Inc. by Sprint Nextel. Unless extended, the forbearance agreement is currently set to expire on April 15, 2006.</w:t>
      </w:r>
    </w:p>
    <w:p>
      <w:pPr>
        <w:spacing w:after="0" w:line="127" w:lineRule="exact"/>
        <w:rPr>
          <w:sz w:val="20"/>
          <w:szCs w:val="20"/>
          <w:color w:val="auto"/>
        </w:rPr>
      </w:pPr>
    </w:p>
    <w:p>
      <w:pPr>
        <w:ind w:right="2199"/>
        <w:spacing w:after="0" w:line="286" w:lineRule="auto"/>
        <w:rPr>
          <w:sz w:val="20"/>
          <w:szCs w:val="20"/>
          <w:color w:val="auto"/>
        </w:rPr>
      </w:pPr>
      <w:r>
        <w:rPr>
          <w:rFonts w:ascii="Arial" w:cs="Arial" w:eastAsia="Arial" w:hAnsi="Arial"/>
          <w:sz w:val="16"/>
          <w:szCs w:val="16"/>
          <w:color w:val="auto"/>
        </w:rPr>
        <w:t>The Company believes that a significant portion of its PCS service area overlaps the service area operated by Nextel Partners under the Nextel brand. Nextel Partners was not a party to the Sprint Nextel merger. The agreements between Nextel Partners and Nextel contain exclusivity and other provisions that remain in place following the Sprint Nextel merger until such time that the acquisition of Nextel Partners by Sprint Nextel is completed. The Company believes that the provisions under the agreements between Nextel and Nextel Partners conflict with the Company’s rights under its management and affiliation agreements. Even if such provisions do not conflict, as long as Nextel Partners remains an independent entity, the Company’s ability to fully realize any of the benefits from the merger of Sprint and Nextel may be limited. Further, the continued operation by Nextel Partners of a competing network could have a negative impact on the Company’s results of operations. Sprint Nextel has entered into an agreement to acquire Nextel Partners. The acquisition of Nextel Partners by Sprint Nextel is subject to certain regulatory approvals, the timing of which are uncertain.</w:t>
      </w:r>
    </w:p>
    <w:p>
      <w:pPr>
        <w:spacing w:after="0" w:line="111" w:lineRule="exact"/>
        <w:rPr>
          <w:sz w:val="20"/>
          <w:szCs w:val="20"/>
          <w:color w:val="auto"/>
        </w:rPr>
      </w:pPr>
    </w:p>
    <w:p>
      <w:pPr>
        <w:ind w:right="2179"/>
        <w:spacing w:after="0" w:line="289" w:lineRule="auto"/>
        <w:rPr>
          <w:sz w:val="20"/>
          <w:szCs w:val="20"/>
          <w:color w:val="auto"/>
        </w:rPr>
      </w:pPr>
      <w:r>
        <w:rPr>
          <w:rFonts w:ascii="Arial" w:cs="Arial" w:eastAsia="Arial" w:hAnsi="Arial"/>
          <w:sz w:val="16"/>
          <w:szCs w:val="16"/>
          <w:color w:val="auto"/>
        </w:rPr>
        <w:t>The Company has had discussions with Sprint Nextel regarding the continuance of their long-term relationship and the impact of the Sprint Nextel merger. As a result of the Sprint Nextel merger, Sprint Nextel may require the Company to meet additional program requirements, which the Company anticipates would increase capital expenditures and operating expenses. The Company is committed to working with Sprint Nextel to reach mutually acceptable arrangements with respect to the foregoing matters. There can be no assurance, however, that the Company and Sprint Nextel will be able to reach mutually acceptable arrangements or as to the terms of any such arrangements or the likely impact on the Company of any such arrangements.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Operating Segments</w:t>
      </w:r>
    </w:p>
    <w:p>
      <w:pPr>
        <w:spacing w:after="0" w:line="158" w:lineRule="exact"/>
        <w:rPr>
          <w:sz w:val="20"/>
          <w:szCs w:val="20"/>
          <w:color w:val="auto"/>
        </w:rPr>
      </w:pPr>
    </w:p>
    <w:p>
      <w:pPr>
        <w:ind w:right="2299"/>
        <w:spacing w:after="0" w:line="259" w:lineRule="auto"/>
        <w:rPr>
          <w:sz w:val="20"/>
          <w:szCs w:val="20"/>
          <w:color w:val="auto"/>
        </w:rPr>
      </w:pPr>
      <w:r>
        <w:rPr>
          <w:rFonts w:ascii="Arial" w:cs="Arial" w:eastAsia="Arial" w:hAnsi="Arial"/>
          <w:sz w:val="18"/>
          <w:szCs w:val="18"/>
          <w:color w:val="auto"/>
        </w:rPr>
        <w:t>The Company provides integrated voice, video and data communications services to end-user customers and other communications providers. The Company operates in the following six business segments through its subsidiaries.</w:t>
      </w:r>
    </w:p>
    <w:p>
      <w:pPr>
        <w:spacing w:after="0" w:line="127" w:lineRule="exact"/>
        <w:rPr>
          <w:sz w:val="20"/>
          <w:szCs w:val="20"/>
          <w:color w:val="auto"/>
        </w:rPr>
      </w:pPr>
    </w:p>
    <w:p>
      <w:pPr>
        <w:ind w:right="2179"/>
        <w:spacing w:after="0" w:line="255"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makers. The Company has six reportable segments, which the Company operates and manages as strategic business units organized geographically and by lines of business: (1) PCS, (2) Telephone, (3) Converged Services, (4) Mobile, (5) Holding and (6) Other.</w:t>
      </w:r>
    </w:p>
    <w:p>
      <w:pPr>
        <w:spacing w:after="0" w:line="129" w:lineRule="exact"/>
        <w:rPr>
          <w:sz w:val="20"/>
          <w:szCs w:val="20"/>
          <w:color w:val="auto"/>
        </w:rPr>
      </w:pPr>
    </w:p>
    <w:p>
      <w:pPr>
        <w:ind w:right="2279"/>
        <w:spacing w:after="0" w:line="259" w:lineRule="auto"/>
        <w:rPr>
          <w:sz w:val="20"/>
          <w:szCs w:val="20"/>
          <w:color w:val="auto"/>
        </w:rPr>
      </w:pPr>
      <w:r>
        <w:rPr>
          <w:rFonts w:ascii="Arial" w:cs="Arial" w:eastAsia="Arial" w:hAnsi="Arial"/>
          <w:sz w:val="18"/>
          <w:szCs w:val="18"/>
          <w:color w:val="auto"/>
        </w:rPr>
        <w:t>The PCS segment, as a PCS Affiliate of Sprint Nextel Corporation (“Sprint Nextel”), provides digital wireless service to a portion of a four-state area covering the region from Harrisburg, York and Altoona, Pennsylvania, to Harrisonburg, Virginia.</w:t>
      </w:r>
    </w:p>
    <w:p>
      <w:pPr>
        <w:spacing w:after="0" w:line="127" w:lineRule="exact"/>
        <w:rPr>
          <w:sz w:val="20"/>
          <w:szCs w:val="20"/>
          <w:color w:val="auto"/>
        </w:rPr>
      </w:pPr>
    </w:p>
    <w:p>
      <w:pPr>
        <w:ind w:right="2379"/>
        <w:spacing w:after="0" w:line="268" w:lineRule="auto"/>
        <w:rPr>
          <w:sz w:val="20"/>
          <w:szCs w:val="20"/>
          <w:color w:val="auto"/>
        </w:rPr>
      </w:pPr>
      <w:r>
        <w:rPr>
          <w:rFonts w:ascii="Arial" w:cs="Arial" w:eastAsia="Arial" w:hAnsi="Arial"/>
          <w:sz w:val="18"/>
          <w:szCs w:val="18"/>
          <w:color w:val="auto"/>
        </w:rPr>
        <w:t>The Telephone segment provides both regulated and unregulated telephone services and leases fiber optic facilities primarily throughout the Northern Shenandoah Valley.</w:t>
      </w:r>
    </w:p>
    <w:p>
      <w:pPr>
        <w:spacing w:after="0" w:line="118" w:lineRule="exact"/>
        <w:rPr>
          <w:sz w:val="20"/>
          <w:szCs w:val="20"/>
          <w:color w:val="auto"/>
        </w:rPr>
      </w:pPr>
    </w:p>
    <w:p>
      <w:pPr>
        <w:ind w:right="2299"/>
        <w:spacing w:after="0" w:line="256" w:lineRule="auto"/>
        <w:rPr>
          <w:sz w:val="20"/>
          <w:szCs w:val="20"/>
          <w:color w:val="auto"/>
        </w:rPr>
      </w:pPr>
      <w:r>
        <w:rPr>
          <w:rFonts w:ascii="Arial" w:cs="Arial" w:eastAsia="Arial" w:hAnsi="Arial"/>
          <w:sz w:val="18"/>
          <w:szCs w:val="18"/>
          <w:color w:val="auto"/>
        </w:rPr>
        <w:t>The Converged Services segment provides local and long distance voice, video, and Internet services on an exclusive and non-exclusive basis to MDU communities (primarily off-campus college student housing) throughout the southeastern United States including Virginia, North Carolina, Maryland, South Carolina, Georgia, Florida,</w:t>
      </w:r>
    </w:p>
    <w:p>
      <w:pPr>
        <w:spacing w:after="0" w:line="197"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146050</wp:posOffset>
            </wp:positionV>
            <wp:extent cx="5166995" cy="4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9399"/>
          </w:cols>
          <w:pgMar w:left="1060" w:top="388" w:right="1440" w:bottom="1440" w:gutter="0" w:footer="0" w:header="0"/>
        </w:sectPr>
      </w:pPr>
    </w:p>
    <w:bookmarkStart w:id="12" w:name="page13"/>
    <w:bookmarkEnd w:id="12"/>
    <w:p>
      <w:pPr>
        <w:ind w:right="2839"/>
        <w:spacing w:after="0" w:line="268" w:lineRule="auto"/>
        <w:rPr>
          <w:sz w:val="20"/>
          <w:szCs w:val="20"/>
          <w:color w:val="auto"/>
        </w:rPr>
      </w:pPr>
      <w:r>
        <w:rPr>
          <w:rFonts w:ascii="Arial" w:cs="Arial" w:eastAsia="Arial" w:hAnsi="Arial"/>
          <w:sz w:val="18"/>
          <w:szCs w:val="18"/>
          <w:color w:val="auto"/>
        </w:rPr>
        <w:t>Tennessee and Mississippi. Converged Services includes NTC Communications LLC (NTC), purchased by the Company on November 30, 2004.</w:t>
      </w:r>
    </w:p>
    <w:p>
      <w:pPr>
        <w:spacing w:after="0" w:line="118" w:lineRule="exact"/>
        <w:rPr>
          <w:sz w:val="20"/>
          <w:szCs w:val="20"/>
          <w:color w:val="auto"/>
        </w:rPr>
      </w:pPr>
    </w:p>
    <w:p>
      <w:pPr>
        <w:ind w:right="2239"/>
        <w:spacing w:after="0" w:line="332" w:lineRule="auto"/>
        <w:rPr>
          <w:sz w:val="20"/>
          <w:szCs w:val="20"/>
          <w:color w:val="auto"/>
        </w:rPr>
      </w:pPr>
      <w:r>
        <w:rPr>
          <w:rFonts w:ascii="Arial" w:cs="Arial" w:eastAsia="Arial" w:hAnsi="Arial"/>
          <w:sz w:val="16"/>
          <w:szCs w:val="16"/>
          <w:color w:val="auto"/>
        </w:rPr>
        <w:t>The Mobile segment provides tower rental space to affiliates and non-affiliates in the Company’s PCS markets and paging services throughout the northern Shenandoah Valley.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Holding segment invests in both affiliated and non-affiliated companies.</w:t>
      </w:r>
    </w:p>
    <w:p>
      <w:pPr>
        <w:spacing w:after="0" w:line="158" w:lineRule="exact"/>
        <w:rPr>
          <w:sz w:val="20"/>
          <w:szCs w:val="20"/>
          <w:color w:val="auto"/>
        </w:rPr>
      </w:pPr>
    </w:p>
    <w:p>
      <w:pPr>
        <w:ind w:right="2119"/>
        <w:spacing w:after="0" w:line="289" w:lineRule="auto"/>
        <w:rPr>
          <w:sz w:val="20"/>
          <w:szCs w:val="20"/>
          <w:color w:val="auto"/>
        </w:rPr>
      </w:pPr>
      <w:r>
        <w:rPr>
          <w:rFonts w:ascii="Arial" w:cs="Arial" w:eastAsia="Arial" w:hAnsi="Arial"/>
          <w:sz w:val="16"/>
          <w:szCs w:val="16"/>
          <w:color w:val="auto"/>
        </w:rPr>
        <w:t>In prior periods, the Company reported 11 segments, however, beginning with the September 30, 2005 quarterly report, the Company reported six segments with the following segments combined into “Other”: ShenTel Service Company, Shenandoah Cable Television, Shenandoah Network Company, Shenandoah Long Distance Company, ShenTel Communications Company, Shentel Wireless Company and Converged Services of West Virginia. During the third quarter of 2005, Shenandoah Valley Leasing Company changed its name to Shentel Wireless Company to reflect the activities associated with the Company’s Wireless Broadband Group. The Company believes that the new presentation will allow for a more meaningful discussion of the segment results.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PCS Segment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Shenandoah Personal Communications Company</w:t>
      </w:r>
    </w:p>
    <w:p>
      <w:pPr>
        <w:spacing w:after="0" w:line="158" w:lineRule="exact"/>
        <w:rPr>
          <w:sz w:val="20"/>
          <w:szCs w:val="20"/>
          <w:color w:val="auto"/>
        </w:rPr>
      </w:pPr>
    </w:p>
    <w:p>
      <w:pPr>
        <w:ind w:right="2159"/>
        <w:spacing w:after="0" w:line="286" w:lineRule="auto"/>
        <w:rPr>
          <w:sz w:val="20"/>
          <w:szCs w:val="20"/>
          <w:color w:val="auto"/>
        </w:rPr>
      </w:pPr>
      <w:r>
        <w:rPr>
          <w:rFonts w:ascii="Arial" w:cs="Arial" w:eastAsia="Arial" w:hAnsi="Arial"/>
          <w:sz w:val="16"/>
          <w:szCs w:val="16"/>
          <w:color w:val="auto"/>
        </w:rPr>
        <w:t>PCS has offered personal communications services through a digital wireless telephone and data network since 1995. In 1999, this subsidiary executed a management agreement with Sprint Nextel. The network, which utilizes code division multiple access, or CDMA, currently covers 269 miles of Interstates 81 and 83, and a 177 mile section of the Pennsylvania Turnpike between Pittsburgh and Philadelphia. Under its agreements with Sprint Nextel, the Company is the exclusive PCS Affiliate of Sprint Nextel in the Company’s territory, providing wireless mobility communications network products and services in the 1900 megahertz spectrum range. The Company had approximately 122,975 retail PCS customers and 38,726 wholesale PCS customers at December 31, 2005. Of the Company’s total operating revenues, 64.5% in 2005, 66.2% in 2004 and 63.2% in 2003 were generated by or through Sprint Nextel and its customers using the Company’s portion of Sprint Nextel’s nationwide PCS network. No other customer relationship generated more than 2.5% of the Company’s total operating revenues in 2005, 2004 or 2003.</w:t>
      </w:r>
    </w:p>
    <w:p>
      <w:pPr>
        <w:spacing w:after="0" w:line="111" w:lineRule="exact"/>
        <w:rPr>
          <w:sz w:val="20"/>
          <w:szCs w:val="20"/>
          <w:color w:val="auto"/>
        </w:rPr>
      </w:pPr>
    </w:p>
    <w:p>
      <w:pPr>
        <w:ind w:right="2199"/>
        <w:spacing w:after="0" w:line="312" w:lineRule="auto"/>
        <w:rPr>
          <w:sz w:val="20"/>
          <w:szCs w:val="20"/>
          <w:color w:val="auto"/>
        </w:rPr>
      </w:pPr>
      <w:r>
        <w:rPr>
          <w:rFonts w:ascii="Arial" w:cs="Arial" w:eastAsia="Arial" w:hAnsi="Arial"/>
          <w:sz w:val="15"/>
          <w:szCs w:val="15"/>
          <w:color w:val="auto"/>
        </w:rPr>
        <w:t>Under the Sprint Nextel agreements, Sprint Nextel provides the Company significant support services, such as customer service, billing, collections, long distance, national network operations support, inventory logistics support, use of the Sprint Nextel brand names, national advertising, national distribution and product development. In addition, the Company derives substantial travel revenue and incurs substantial travel expenses when subscribers of Sprint Nextel and Sprint Nextel’s PCS Affiliate partners incur minutes of use in the Company’s territory and when the Company’s subscribers incur minutes of use in territories of Sprint Nextel and Sprint Nextel’s PCS Affiliate partners.</w:t>
      </w:r>
    </w:p>
    <w:p>
      <w:pPr>
        <w:spacing w:after="0" w:line="92" w:lineRule="exact"/>
        <w:rPr>
          <w:sz w:val="20"/>
          <w:szCs w:val="20"/>
          <w:color w:val="auto"/>
        </w:rPr>
      </w:pPr>
    </w:p>
    <w:p>
      <w:pPr>
        <w:ind w:right="2159"/>
        <w:spacing w:after="0" w:line="254" w:lineRule="auto"/>
        <w:rPr>
          <w:sz w:val="20"/>
          <w:szCs w:val="20"/>
          <w:color w:val="auto"/>
        </w:rPr>
      </w:pPr>
      <w:r>
        <w:rPr>
          <w:rFonts w:ascii="Arial" w:cs="Arial" w:eastAsia="Arial" w:hAnsi="Arial"/>
          <w:sz w:val="18"/>
          <w:szCs w:val="18"/>
          <w:color w:val="auto"/>
        </w:rPr>
        <w:t>Sprint Nextel provides back-office and other services, including travel clearing-house functions, to the Company. For periods before January 1, 2004, there was no prescribed formula defined in the agreements with Sprint Nextel for the calculation of the fee charged to the Company for these services. Sprint Nextel adjusted these fees at least annually. This situation changed with the execution of an amendment to one of the Sprint Nextel agreements, which occurred on January 31, 2004, retroactive to January 1,</w:t>
      </w:r>
    </w:p>
    <w:p>
      <w:pPr>
        <w:spacing w:after="0" w:line="198"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146050</wp:posOffset>
            </wp:positionV>
            <wp:extent cx="5166995" cy="46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9399"/>
          </w:cols>
          <w:pgMar w:left="1060" w:top="388" w:right="1440" w:bottom="1440" w:gutter="0" w:footer="0" w:header="0"/>
        </w:sectPr>
      </w:pPr>
    </w:p>
    <w:bookmarkStart w:id="13" w:name="page14"/>
    <w:bookmarkEnd w:id="13"/>
    <w:p>
      <w:pPr>
        <w:ind w:right="2139"/>
        <w:spacing w:after="0" w:line="286" w:lineRule="auto"/>
        <w:rPr>
          <w:sz w:val="20"/>
          <w:szCs w:val="20"/>
          <w:color w:val="auto"/>
        </w:rPr>
      </w:pPr>
      <w:r>
        <w:rPr>
          <w:rFonts w:ascii="Arial" w:cs="Arial" w:eastAsia="Arial" w:hAnsi="Arial"/>
          <w:sz w:val="16"/>
          <w:szCs w:val="16"/>
          <w:color w:val="auto"/>
        </w:rPr>
        <w:t>2004. By simplifying the formulas used and fixing certain fees, the amended agreement provides greater certainty to the Company for certain future expenses and revenues during the term of the agreement that expires on December 31, 2006 and simplifies the methods used to settle revenue and expenses between the Company and Sprint Nextel. The amended agreement established a process for settling those fees for periods after December 31, 2006. No agreement has been reached with respect to such fees, although Sprint Nextel has proposed an increase. The Company entered into an amendment to the amended agreement with Sprint Nextel on May 24, 2004. Under the terms of the agreement, the Company has agreed to participate in all new and renewed reseller agreements signed through December 31, 2006. In addition, the Company signed an agreement to participate in all existing Sprint Nextel reseller arrangements applicable to the Company’s service area. In consideration for this participation, the Company received a reduction in the monthly fee per subscriber paid to Sprint Nextel for back-office services and specified network services.</w:t>
      </w:r>
    </w:p>
    <w:p>
      <w:pPr>
        <w:spacing w:after="0" w:line="111" w:lineRule="exact"/>
        <w:rPr>
          <w:sz w:val="20"/>
          <w:szCs w:val="20"/>
          <w:color w:val="auto"/>
        </w:rPr>
      </w:pPr>
    </w:p>
    <w:p>
      <w:pPr>
        <w:ind w:right="2159"/>
        <w:spacing w:after="0" w:line="298" w:lineRule="auto"/>
        <w:rPr>
          <w:sz w:val="20"/>
          <w:szCs w:val="20"/>
          <w:color w:val="auto"/>
        </w:rPr>
      </w:pPr>
      <w:r>
        <w:rPr>
          <w:rFonts w:ascii="Arial" w:cs="Arial" w:eastAsia="Arial" w:hAnsi="Arial"/>
          <w:sz w:val="16"/>
          <w:szCs w:val="16"/>
          <w:color w:val="auto"/>
        </w:rPr>
        <w:t>The Company records its PCS revenues, with the exception of certain roaming and equipment sales revenues, based on the PCS revenues billed, rather than revenues collected, by Sprint Nextel, net of the 8% fee retained by Sprint Nextel. The cash settlements received from Sprint Nextel are net of the 8% fee, customer credits, account write offs and other billing adjustments.</w:t>
      </w:r>
    </w:p>
    <w:p>
      <w:pPr>
        <w:spacing w:after="0" w:line="99" w:lineRule="exact"/>
        <w:rPr>
          <w:sz w:val="20"/>
          <w:szCs w:val="20"/>
          <w:color w:val="auto"/>
        </w:rPr>
      </w:pPr>
    </w:p>
    <w:p>
      <w:pPr>
        <w:ind w:right="2259"/>
        <w:spacing w:after="0" w:line="290" w:lineRule="auto"/>
        <w:rPr>
          <w:sz w:val="20"/>
          <w:szCs w:val="20"/>
          <w:color w:val="auto"/>
        </w:rPr>
      </w:pPr>
      <w:r>
        <w:rPr>
          <w:rFonts w:ascii="Arial" w:cs="Arial" w:eastAsia="Arial" w:hAnsi="Arial"/>
          <w:sz w:val="16"/>
          <w:szCs w:val="16"/>
          <w:color w:val="auto"/>
        </w:rPr>
        <w:t>The Company receives and pays travel fees for inter-market usage of the network by Sprint Nextel wireless subscribers not homed in a market in which they may use the service. Sprint Nextel and its PCS Affiliates pay the Company for the use of its network by their wireless subscribers, while the Company pays Sprint Nextel and its PCS Affiliates reciprocal fees for Company subscribers using other segments of the network not operated by the Company. The rate paid on inter-market travel was reduced to $0.058 per minute as of January 1, 2003. This rate will remain in effect through December 31, 2006.</w:t>
      </w:r>
    </w:p>
    <w:p>
      <w:pPr>
        <w:spacing w:after="0" w:line="105"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The Sprint Nextel agreements require the Company to maintain certain minimum network performance standards and to meet other performance requirements. The Company was in compliance in all material respects with these requirements as of December 31, 2005.</w:t>
      </w:r>
    </w:p>
    <w:p>
      <w:pPr>
        <w:spacing w:after="0" w:line="127" w:lineRule="exact"/>
        <w:rPr>
          <w:sz w:val="20"/>
          <w:szCs w:val="20"/>
          <w:color w:val="auto"/>
        </w:rPr>
      </w:pPr>
    </w:p>
    <w:p>
      <w:pPr>
        <w:jc w:val="both"/>
        <w:ind w:right="2299"/>
        <w:spacing w:after="0" w:line="259" w:lineRule="auto"/>
        <w:rPr>
          <w:sz w:val="20"/>
          <w:szCs w:val="20"/>
          <w:color w:val="auto"/>
        </w:rPr>
      </w:pPr>
      <w:r>
        <w:rPr>
          <w:rFonts w:ascii="Arial" w:cs="Arial" w:eastAsia="Arial" w:hAnsi="Arial"/>
          <w:sz w:val="18"/>
          <w:szCs w:val="18"/>
          <w:color w:val="auto"/>
        </w:rPr>
        <w:t>Additional information regarding the Company’s agreements with Sprint Nextel is set forth in Note 8 of the Company’s consolidated financial statements and related notes thereto appearing elsewhere in this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Telephone Segment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Shenandoah Telephone Company</w:t>
      </w:r>
    </w:p>
    <w:p>
      <w:pPr>
        <w:spacing w:after="0" w:line="158" w:lineRule="exact"/>
        <w:rPr>
          <w:sz w:val="20"/>
          <w:szCs w:val="20"/>
          <w:color w:val="auto"/>
        </w:rPr>
      </w:pPr>
    </w:p>
    <w:p>
      <w:pPr>
        <w:ind w:right="2199"/>
        <w:spacing w:after="0" w:line="290" w:lineRule="auto"/>
        <w:rPr>
          <w:sz w:val="20"/>
          <w:szCs w:val="20"/>
          <w:color w:val="auto"/>
        </w:rPr>
      </w:pPr>
      <w:r>
        <w:rPr>
          <w:rFonts w:ascii="Arial" w:cs="Arial" w:eastAsia="Arial" w:hAnsi="Arial"/>
          <w:sz w:val="16"/>
          <w:szCs w:val="16"/>
          <w:color w:val="auto"/>
        </w:rPr>
        <w:t>Shenandoah Telephone Company provides both regulated and non-regulated telephone services to approximately 24,740 customers as of December 31, 2005, primarily in Shenandoah County and small service areas in Rockingham, Frederick, and Warren counties in Virginia. The subsidiary provides access for inter-exchange carriers to the local exchange network. This subsidiary has a 20 percent ownership interest in ValleyNet, which offers fiber network facility capacity to other communications providers in western, central, and northern Virginia, as well as the Interstate 81 corridor from Johnson City, Tennessee to Carlisle, Pennsylvania.</w:t>
      </w:r>
    </w:p>
    <w:p>
      <w:pPr>
        <w:spacing w:after="0" w:line="172"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146050</wp:posOffset>
            </wp:positionV>
            <wp:extent cx="5166995" cy="46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9399"/>
          </w:cols>
          <w:pgMar w:left="1060" w:top="388" w:right="1440"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Converged Services Segment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Shentel Converged Services, Inc. and NTC Communications, LLC.</w:t>
      </w:r>
    </w:p>
    <w:p>
      <w:pPr>
        <w:spacing w:after="0" w:line="158" w:lineRule="exact"/>
        <w:rPr>
          <w:sz w:val="20"/>
          <w:szCs w:val="20"/>
          <w:color w:val="auto"/>
        </w:rPr>
      </w:pPr>
    </w:p>
    <w:p>
      <w:pPr>
        <w:ind w:right="2499"/>
        <w:spacing w:after="0" w:line="259" w:lineRule="auto"/>
        <w:rPr>
          <w:sz w:val="20"/>
          <w:szCs w:val="20"/>
          <w:color w:val="auto"/>
        </w:rPr>
      </w:pPr>
      <w:r>
        <w:rPr>
          <w:rFonts w:ascii="Arial" w:cs="Arial" w:eastAsia="Arial" w:hAnsi="Arial"/>
          <w:sz w:val="18"/>
          <w:szCs w:val="18"/>
          <w:color w:val="auto"/>
        </w:rPr>
        <w:t>These subsidiaries provide bundles of high speed Internet, video and local and long distance voice services to MDU residential communities throughout the southeastern United States outside of Shenandoah County.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Mobile Segment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Shenandoah Mobile Company</w:t>
      </w:r>
    </w:p>
    <w:p>
      <w:pPr>
        <w:spacing w:after="0" w:line="158" w:lineRule="exact"/>
        <w:rPr>
          <w:sz w:val="20"/>
          <w:szCs w:val="20"/>
          <w:color w:val="auto"/>
        </w:rPr>
      </w:pPr>
    </w:p>
    <w:p>
      <w:pPr>
        <w:ind w:right="2399"/>
        <w:spacing w:after="0" w:line="298" w:lineRule="auto"/>
        <w:rPr>
          <w:sz w:val="20"/>
          <w:szCs w:val="20"/>
          <w:color w:val="auto"/>
        </w:rPr>
      </w:pPr>
      <w:r>
        <w:rPr>
          <w:rFonts w:ascii="Arial" w:cs="Arial" w:eastAsia="Arial" w:hAnsi="Arial"/>
          <w:sz w:val="16"/>
          <w:szCs w:val="16"/>
          <w:color w:val="auto"/>
        </w:rPr>
        <w:t>Shenandoah Mobile Company owns and leases tower space in the PCS service territory in Virginia, West Virginia, Maryland and Pennsylvania to Shenandoah Personal Communications Company and other wireless communications providers. This subsidiary provides paging service throughout the Virginia portion of the northern Shenandoah Valley.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Holding Segment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operations of the registrant including its investing and management activities.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Other Segment including: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Shenandoah Cable Television Company</w:t>
      </w:r>
    </w:p>
    <w:p>
      <w:pPr>
        <w:spacing w:after="0" w:line="158" w:lineRule="exact"/>
        <w:rPr>
          <w:sz w:val="20"/>
          <w:szCs w:val="20"/>
          <w:color w:val="auto"/>
        </w:rPr>
      </w:pPr>
    </w:p>
    <w:p>
      <w:pPr>
        <w:ind w:right="2139"/>
        <w:spacing w:after="0" w:line="298" w:lineRule="auto"/>
        <w:rPr>
          <w:sz w:val="20"/>
          <w:szCs w:val="20"/>
          <w:color w:val="auto"/>
        </w:rPr>
      </w:pPr>
      <w:r>
        <w:rPr>
          <w:rFonts w:ascii="Arial" w:cs="Arial" w:eastAsia="Arial" w:hAnsi="Arial"/>
          <w:sz w:val="16"/>
          <w:szCs w:val="16"/>
          <w:color w:val="auto"/>
        </w:rPr>
        <w:t>Shenandoah Cable Television Company provides coaxial cable-based television service to approximately 8,684 customers in Shenandoah County at December 31, 2005. The system is a one-way 750 megahertz hybrid fiber coaxial network. Shenandoah Cable currently offers 74 channels of analog and 142 channels of digital programming along with 14 pay per view channels.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ShenTel Service Company</w:t>
      </w:r>
    </w:p>
    <w:p>
      <w:pPr>
        <w:spacing w:after="0" w:line="158" w:lineRule="exact"/>
        <w:rPr>
          <w:sz w:val="20"/>
          <w:szCs w:val="20"/>
          <w:color w:val="auto"/>
        </w:rPr>
      </w:pPr>
    </w:p>
    <w:p>
      <w:pPr>
        <w:ind w:right="2199"/>
        <w:spacing w:after="0" w:line="290" w:lineRule="auto"/>
        <w:rPr>
          <w:sz w:val="20"/>
          <w:szCs w:val="20"/>
          <w:color w:val="auto"/>
        </w:rPr>
      </w:pPr>
      <w:r>
        <w:rPr>
          <w:rFonts w:ascii="Arial" w:cs="Arial" w:eastAsia="Arial" w:hAnsi="Arial"/>
          <w:sz w:val="16"/>
          <w:szCs w:val="16"/>
          <w:color w:val="auto"/>
        </w:rPr>
        <w:t>ShenTel Service Company sells and services telecommunications equipment and provides information services and Internet access to customers in the northern Shenandoah Valley and surrounding areas. The Internet service has approximately 12,514 dial-up customers and nearly 4,748 digital subscriber line, or DSL, customers at December 31, 2005. This subsidiary offers broadband Internet access via asymmetric digital subscriber line, or ADSL, technology in Shenandoah County, Virginia. As of December 31, 2005, DSL was available to all customers in the Company’s regulated telephone service area.</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Shenandoah Long Distance Company</w:t>
      </w:r>
    </w:p>
    <w:p>
      <w:pPr>
        <w:spacing w:after="0" w:line="158" w:lineRule="exact"/>
        <w:rPr>
          <w:sz w:val="20"/>
          <w:szCs w:val="20"/>
          <w:color w:val="auto"/>
        </w:rPr>
      </w:pPr>
    </w:p>
    <w:p>
      <w:pPr>
        <w:ind w:right="2159"/>
        <w:spacing w:after="0" w:line="291" w:lineRule="auto"/>
        <w:rPr>
          <w:sz w:val="20"/>
          <w:szCs w:val="20"/>
          <w:color w:val="auto"/>
        </w:rPr>
      </w:pPr>
      <w:r>
        <w:rPr>
          <w:rFonts w:ascii="Arial" w:cs="Arial" w:eastAsia="Arial" w:hAnsi="Arial"/>
          <w:sz w:val="16"/>
          <w:szCs w:val="16"/>
          <w:color w:val="auto"/>
        </w:rPr>
        <w:t>Shenandoah Long Distance Company offers resale of long distance service for calls placed to locations outside the regulated telephone service area by telephone customers. This operation purchases billing and collection services from the management subsidiary similar to other long distance providers. In addition, this subsidiary markets facility leases of fiber optic capacity, owned by Shenandoah Network Company and Shenandoah Telephone Company, in surrounding counties and into Herndon, Virginia. This subsidiary had approximately 10,418 customers at December 31, 2005.</w:t>
      </w:r>
    </w:p>
    <w:p>
      <w:pPr>
        <w:spacing w:after="0" w:line="174"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146050</wp:posOffset>
            </wp:positionV>
            <wp:extent cx="5166995" cy="46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9399"/>
          </w:cols>
          <w:pgMar w:left="1060" w:top="388" w:right="1440"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Shenandoah Network Company</w:t>
      </w:r>
    </w:p>
    <w:p>
      <w:pPr>
        <w:spacing w:after="0" w:line="158" w:lineRule="exact"/>
        <w:rPr>
          <w:sz w:val="20"/>
          <w:szCs w:val="20"/>
          <w:color w:val="auto"/>
        </w:rPr>
      </w:pPr>
    </w:p>
    <w:p>
      <w:pPr>
        <w:jc w:val="both"/>
        <w:ind w:right="2379"/>
        <w:spacing w:after="0" w:line="306" w:lineRule="auto"/>
        <w:rPr>
          <w:sz w:val="20"/>
          <w:szCs w:val="20"/>
          <w:color w:val="auto"/>
        </w:rPr>
      </w:pPr>
      <w:r>
        <w:rPr>
          <w:rFonts w:ascii="Arial" w:cs="Arial" w:eastAsia="Arial" w:hAnsi="Arial"/>
          <w:sz w:val="16"/>
          <w:szCs w:val="16"/>
          <w:color w:val="auto"/>
        </w:rPr>
        <w:t>This subsidiary owns and operates the Maryland and West Virginia portions of a fiber optic network along the Interstate 81 corridor. In conjunction with the telephone subsidiary, Shenandoah Network Company is associated with the ValleyNet fiber optic network.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ShenTel Communications Company</w:t>
      </w:r>
    </w:p>
    <w:p>
      <w:pPr>
        <w:spacing w:after="0" w:line="158" w:lineRule="exact"/>
        <w:rPr>
          <w:sz w:val="20"/>
          <w:szCs w:val="20"/>
          <w:color w:val="auto"/>
        </w:rPr>
      </w:pPr>
    </w:p>
    <w:p>
      <w:pPr>
        <w:ind w:right="2239"/>
        <w:spacing w:after="0" w:line="259" w:lineRule="auto"/>
        <w:rPr>
          <w:sz w:val="20"/>
          <w:szCs w:val="20"/>
          <w:color w:val="auto"/>
        </w:rPr>
      </w:pPr>
      <w:r>
        <w:rPr>
          <w:rFonts w:ascii="Arial" w:cs="Arial" w:eastAsia="Arial" w:hAnsi="Arial"/>
          <w:sz w:val="18"/>
          <w:szCs w:val="18"/>
          <w:color w:val="auto"/>
        </w:rPr>
        <w:t>This subsidiary is certified as a CLEC, in Virginia and currently provides DSL service in Front Royal, Virginia. As of December 31, 2005, there were minimal subscribers receiving service from this subsidiary.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Converged Services of West Virginia</w:t>
      </w:r>
    </w:p>
    <w:p>
      <w:pPr>
        <w:spacing w:after="0" w:line="158" w:lineRule="exact"/>
        <w:rPr>
          <w:sz w:val="20"/>
          <w:szCs w:val="20"/>
          <w:color w:val="auto"/>
        </w:rPr>
      </w:pPr>
    </w:p>
    <w:p>
      <w:pPr>
        <w:ind w:right="2139"/>
        <w:spacing w:after="0" w:line="254" w:lineRule="auto"/>
        <w:rPr>
          <w:sz w:val="20"/>
          <w:szCs w:val="20"/>
          <w:color w:val="auto"/>
        </w:rPr>
      </w:pPr>
      <w:r>
        <w:rPr>
          <w:rFonts w:ascii="Arial" w:cs="Arial" w:eastAsia="Arial" w:hAnsi="Arial"/>
          <w:sz w:val="18"/>
          <w:szCs w:val="18"/>
          <w:color w:val="auto"/>
        </w:rPr>
        <w:t>On February 15, 2006, as described above under “Recent Developments” the Company announced a 20-year agreement to provide service to a planned community of single family houses, townhouses and MDUs in Ranson, West Virginia. The Company will offer a package of voice, cable television and high speed data services on an exclusive basis to all units. The Company will bill the Homeowner’s Association monthly for the basic package of services. Premium services will be billed directly to the homeowner.</w:t>
      </w:r>
    </w:p>
    <w:p>
      <w:pPr>
        <w:spacing w:after="0" w:line="131" w:lineRule="exact"/>
        <w:rPr>
          <w:sz w:val="20"/>
          <w:szCs w:val="20"/>
          <w:color w:val="auto"/>
        </w:rPr>
      </w:pPr>
    </w:p>
    <w:p>
      <w:pPr>
        <w:ind w:right="2259"/>
        <w:spacing w:after="0" w:line="259" w:lineRule="auto"/>
        <w:rPr>
          <w:sz w:val="20"/>
          <w:szCs w:val="20"/>
          <w:color w:val="auto"/>
        </w:rPr>
      </w:pPr>
      <w:r>
        <w:rPr>
          <w:rFonts w:ascii="Arial" w:cs="Arial" w:eastAsia="Arial" w:hAnsi="Arial"/>
          <w:sz w:val="18"/>
          <w:szCs w:val="18"/>
          <w:color w:val="auto"/>
        </w:rPr>
        <w:t>On February 15, 2006, the Company filed a petition for a certificate of public convenience and necessity to operate as a CLEC with the West Virginia Public Service Commission and an application for a cable television franchise with the City of Ranson.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Shentel Wireless Company</w:t>
      </w:r>
    </w:p>
    <w:p>
      <w:pPr>
        <w:spacing w:after="0" w:line="158" w:lineRule="exact"/>
        <w:rPr>
          <w:sz w:val="20"/>
          <w:szCs w:val="20"/>
          <w:color w:val="auto"/>
        </w:rPr>
      </w:pPr>
    </w:p>
    <w:p>
      <w:pPr>
        <w:ind w:right="2119"/>
        <w:spacing w:after="0" w:line="286" w:lineRule="auto"/>
        <w:rPr>
          <w:sz w:val="20"/>
          <w:szCs w:val="20"/>
          <w:color w:val="auto"/>
        </w:rPr>
      </w:pPr>
      <w:r>
        <w:rPr>
          <w:rFonts w:ascii="Arial" w:cs="Arial" w:eastAsia="Arial" w:hAnsi="Arial"/>
          <w:sz w:val="16"/>
          <w:szCs w:val="16"/>
          <w:color w:val="auto"/>
        </w:rPr>
        <w:t>Shentel Wireless Company was formerly known as Shenandoah Valley Leasing Company. Through this subsidiary, the Company acquired the assets and contracts of Broadband Metro on August 31, 2005. At December 31, 2005, the Company provided wireless broadband service to five hotels totaling 460 guestrooms and one MDU with 94 units. In addition, the Company designed, built and maintains one of the largest wireless broadband mesh networks in the United States to provide secure voice, video and data communications for Lazydays RV Center, the world’s largest recreational vehicle center, located in Tampa, Florida. The wireless network supports mobile enterprise applications, such as inventory control, accounting, sales and database management services for over 500 enterprise employees, and offers wireless Internet and Voice Over Internet Protocol services to over 1,000,000 visitors annually. The Company plans to pursue contracts with local governments and MDUs in the southeastern United States to build and operate wireless broadband networks.</w:t>
      </w:r>
    </w:p>
    <w:p>
      <w:pPr>
        <w:spacing w:after="0" w:line="114" w:lineRule="exact"/>
        <w:rPr>
          <w:sz w:val="20"/>
          <w:szCs w:val="20"/>
          <w:color w:val="auto"/>
        </w:rPr>
      </w:pPr>
    </w:p>
    <w:p>
      <w:pPr>
        <w:ind w:right="2419"/>
        <w:spacing w:after="0" w:line="332" w:lineRule="auto"/>
        <w:rPr>
          <w:sz w:val="20"/>
          <w:szCs w:val="20"/>
          <w:color w:val="auto"/>
        </w:rPr>
      </w:pPr>
      <w:r>
        <w:rPr>
          <w:rFonts w:ascii="Arial" w:cs="Arial" w:eastAsia="Arial" w:hAnsi="Arial"/>
          <w:sz w:val="16"/>
          <w:szCs w:val="16"/>
          <w:color w:val="auto"/>
        </w:rPr>
        <w:t>Additional information concerning the Company’s operating segments is set forth in Note 16 of the Company’s consolidated financial statements appearing elsewhere in this report.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64" w:lineRule="exact"/>
        <w:rPr>
          <w:sz w:val="20"/>
          <w:szCs w:val="20"/>
          <w:color w:val="auto"/>
        </w:rPr>
      </w:pPr>
    </w:p>
    <w:p>
      <w:pPr>
        <w:ind w:right="2099"/>
        <w:spacing w:after="0" w:line="290" w:lineRule="auto"/>
        <w:rPr>
          <w:sz w:val="20"/>
          <w:szCs w:val="20"/>
          <w:color w:val="auto"/>
        </w:rPr>
      </w:pPr>
      <w:r>
        <w:rPr>
          <w:rFonts w:ascii="Arial" w:cs="Arial" w:eastAsia="Arial" w:hAnsi="Arial"/>
          <w:sz w:val="16"/>
          <w:szCs w:val="16"/>
          <w:color w:val="auto"/>
        </w:rPr>
        <w:t>The communications industry is highly competitive. We compete primarily on the basis of the price, availability, reliability, variety and quality of our offerings and on the quality of our customer service. Our ability to compete effectively depends on our ability to maintain high-quality services at prices generally equal to or below those charged by our competitors. In particular, price competition in the integrated communications services markets generally has been intense and is expected to increase. Our competitors include, among others, larger providers such as AT&amp;T Corp. and BellSouth, which recently announced their intention to merge and which currently</w:t>
      </w:r>
    </w:p>
    <w:p>
      <w:pPr>
        <w:spacing w:after="0" w:line="172"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146050</wp:posOffset>
            </wp:positionV>
            <wp:extent cx="5166995" cy="46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9399"/>
          </w:cols>
          <w:pgMar w:left="1060" w:top="388" w:right="1440" w:bottom="1440" w:gutter="0" w:footer="0" w:header="0"/>
        </w:sectPr>
      </w:pPr>
    </w:p>
    <w:bookmarkStart w:id="16" w:name="page17"/>
    <w:bookmarkEnd w:id="16"/>
    <w:p>
      <w:pPr>
        <w:ind w:right="2159"/>
        <w:spacing w:after="0" w:line="291" w:lineRule="auto"/>
        <w:rPr>
          <w:sz w:val="20"/>
          <w:szCs w:val="20"/>
          <w:color w:val="auto"/>
        </w:rPr>
      </w:pPr>
      <w:r>
        <w:rPr>
          <w:rFonts w:ascii="Arial" w:cs="Arial" w:eastAsia="Arial" w:hAnsi="Arial"/>
          <w:sz w:val="16"/>
          <w:szCs w:val="16"/>
          <w:color w:val="auto"/>
        </w:rPr>
        <w:t>co-own Cingular, Verizon, and various competitive carriers. The larger providers have substantially greater infrastructure, financial, personnel, technical, marketing and other resources, larger numbers of established customers and more prominent name recognition than the Company. We also may increasingly face competition from businesses offering long distance data and voice services over the Internet. These businesses could enjoy a significant cost advantage because currently they generally do not pay carrier access charges or universal service fees.</w:t>
      </w:r>
    </w:p>
    <w:p>
      <w:pPr>
        <w:spacing w:after="0" w:line="107" w:lineRule="exact"/>
        <w:rPr>
          <w:sz w:val="20"/>
          <w:szCs w:val="20"/>
          <w:color w:val="auto"/>
        </w:rPr>
      </w:pPr>
    </w:p>
    <w:p>
      <w:pPr>
        <w:ind w:right="2159"/>
        <w:spacing w:after="0" w:line="253" w:lineRule="auto"/>
        <w:rPr>
          <w:sz w:val="20"/>
          <w:szCs w:val="20"/>
          <w:color w:val="auto"/>
        </w:rPr>
      </w:pPr>
      <w:r>
        <w:rPr>
          <w:rFonts w:ascii="Arial" w:cs="Arial" w:eastAsia="Arial" w:hAnsi="Arial"/>
          <w:sz w:val="18"/>
          <w:szCs w:val="18"/>
          <w:color w:val="auto"/>
        </w:rPr>
        <w:t>In some markets, we compete in the provision of local services against the incumbent local telephone company. Incumbent carriers enjoy substantial competitive advantages arising from their historical monopoly position in the local telephone market, including pre-existing customer relationships with all or virtually all end-users. In addition, incumbent carriers are expected to compete in each other’s markets in some cases, which will increase the competition we face. Wireless communications providers are competing with wireline local telephone service providers, which further increases competition.</w:t>
      </w:r>
    </w:p>
    <w:p>
      <w:pPr>
        <w:spacing w:after="0" w:line="134" w:lineRule="exact"/>
        <w:rPr>
          <w:sz w:val="20"/>
          <w:szCs w:val="20"/>
          <w:color w:val="auto"/>
        </w:rPr>
      </w:pPr>
    </w:p>
    <w:p>
      <w:pPr>
        <w:ind w:right="2119"/>
        <w:spacing w:after="0" w:line="310" w:lineRule="auto"/>
        <w:rPr>
          <w:sz w:val="20"/>
          <w:szCs w:val="20"/>
          <w:color w:val="auto"/>
        </w:rPr>
      </w:pPr>
      <w:r>
        <w:rPr>
          <w:rFonts w:ascii="Arial" w:cs="Arial" w:eastAsia="Arial" w:hAnsi="Arial"/>
          <w:sz w:val="15"/>
          <w:szCs w:val="15"/>
          <w:color w:val="auto"/>
        </w:rPr>
        <w:t>Competition is intense in the wireless communications industry. Competition has caused, and we anticipate that competition will continue to cause, the market prices for two-way wireless products and services to decline in the future. Many wireless providers have upgraded, or are in the process of upgrading, their wireless services to accommodate real-time and downloadable audio and video content as well as Internet browsing capabilities and other services. Some local governments are deploying Wi-Fi networks within their jurisdictional boundaries to support wireless Internet access at a fixed monthly cost, or in some cases no charge, to consumers. Our ability to compete effectively will depend, in part, on our ability to anticipate and respond to various competitive factors affecting the wireless industry.</w:t>
      </w:r>
    </w:p>
    <w:p>
      <w:pPr>
        <w:spacing w:after="0" w:line="95" w:lineRule="exact"/>
        <w:rPr>
          <w:sz w:val="20"/>
          <w:szCs w:val="20"/>
          <w:color w:val="auto"/>
        </w:rPr>
      </w:pPr>
    </w:p>
    <w:p>
      <w:pPr>
        <w:ind w:right="2119"/>
        <w:spacing w:after="0" w:line="253" w:lineRule="auto"/>
        <w:rPr>
          <w:sz w:val="20"/>
          <w:szCs w:val="20"/>
          <w:color w:val="auto"/>
        </w:rPr>
      </w:pPr>
      <w:r>
        <w:rPr>
          <w:rFonts w:ascii="Arial" w:cs="Arial" w:eastAsia="Arial" w:hAnsi="Arial"/>
          <w:sz w:val="18"/>
          <w:szCs w:val="18"/>
          <w:color w:val="auto"/>
        </w:rPr>
        <w:t>The recent emergence of service providers that use Voice Over Internet Protocol (“VOIP”), applications also could present a competitive threat. Because the regulatory status of VOIP applications is largely unsettled, providers of such applications may be able to avoid costly regulatory requirements, including the payment of intercarrier compensation. This could impede our ability to compete with these providers on the basis of price. More generally, the emergence of new service providers will increase competition, which could adversely affect our ability to succeed in the marketplace for communications services.</w:t>
      </w:r>
    </w:p>
    <w:p>
      <w:pPr>
        <w:spacing w:after="0" w:line="134" w:lineRule="exact"/>
        <w:rPr>
          <w:sz w:val="20"/>
          <w:szCs w:val="20"/>
          <w:color w:val="auto"/>
        </w:rPr>
      </w:pPr>
    </w:p>
    <w:p>
      <w:pPr>
        <w:ind w:right="2119"/>
        <w:spacing w:after="0" w:line="288" w:lineRule="auto"/>
        <w:rPr>
          <w:sz w:val="20"/>
          <w:szCs w:val="20"/>
          <w:color w:val="auto"/>
        </w:rPr>
      </w:pPr>
      <w:r>
        <w:rPr>
          <w:rFonts w:ascii="Arial" w:cs="Arial" w:eastAsia="Arial" w:hAnsi="Arial"/>
          <w:sz w:val="16"/>
          <w:szCs w:val="16"/>
          <w:color w:val="auto"/>
        </w:rPr>
        <w:t>Competition also is intense and growing in the market for video services. Most video services today are provided by incumbent cable television companies and direct broadcast satellite providers. However, at least two of the largest Bell Operating Companies have begun to upgrade their networks to provide video services, in addition to voice and high-speed Internet access services, on those networks. All of these entities are large and have substantially greater infrastructure, financial, personnel, technical, marketing and other resources, larger numbers of established customers and more prominent name recognition than the Company. Our ability to compete effectively will depend, in part, on the extent to which our service offerings overlap with these entities, and on our ability to anticipate and respond to the competitive forces affecting the market for video and other services.</w:t>
      </w:r>
    </w:p>
    <w:p>
      <w:pPr>
        <w:spacing w:after="0" w:line="106" w:lineRule="exact"/>
        <w:rPr>
          <w:sz w:val="20"/>
          <w:szCs w:val="20"/>
          <w:color w:val="auto"/>
        </w:rPr>
      </w:pPr>
    </w:p>
    <w:p>
      <w:pPr>
        <w:ind w:right="2939"/>
        <w:spacing w:after="0" w:line="332" w:lineRule="auto"/>
        <w:rPr>
          <w:sz w:val="20"/>
          <w:szCs w:val="20"/>
          <w:color w:val="auto"/>
        </w:rPr>
      </w:pPr>
      <w:r>
        <w:rPr>
          <w:rFonts w:ascii="Arial" w:cs="Arial" w:eastAsia="Arial" w:hAnsi="Arial"/>
          <w:sz w:val="16"/>
          <w:szCs w:val="16"/>
          <w:color w:val="auto"/>
        </w:rPr>
        <w:t>A continuing trend toward consolidation, mergers, acquisitions and strategic alliances in the communications industry also could increase the level of competition we face.</w:t>
      </w:r>
    </w:p>
    <w:p>
      <w:pPr>
        <w:spacing w:after="0" w:line="13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146050</wp:posOffset>
            </wp:positionV>
            <wp:extent cx="5166995" cy="46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9399"/>
          </w:cols>
          <w:pgMar w:left="1060" w:top="388" w:right="1440"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Regulation</w:t>
      </w:r>
    </w:p>
    <w:p>
      <w:pPr>
        <w:spacing w:after="0" w:line="164" w:lineRule="exact"/>
        <w:rPr>
          <w:sz w:val="20"/>
          <w:szCs w:val="20"/>
          <w:color w:val="auto"/>
        </w:rPr>
      </w:pPr>
    </w:p>
    <w:p>
      <w:pPr>
        <w:ind w:right="2279"/>
        <w:spacing w:after="0" w:line="294" w:lineRule="auto"/>
        <w:rPr>
          <w:sz w:val="20"/>
          <w:szCs w:val="20"/>
          <w:color w:val="auto"/>
        </w:rPr>
      </w:pPr>
      <w:r>
        <w:rPr>
          <w:rFonts w:ascii="Arial" w:cs="Arial" w:eastAsia="Arial" w:hAnsi="Arial"/>
          <w:sz w:val="16"/>
          <w:szCs w:val="16"/>
          <w:color w:val="auto"/>
        </w:rPr>
        <w:t>Our operations are subject to regulation by the Federal Communications Commission (“FCC”), the Virginia State Corporation Commission (“VSCC”), other state public utility and service commissions and other federal, state, and local governmental agencies. The laws governing these agencies, and the regulations and policies that they administer, are subject to constant review and revision, and some of these changes might have material impacts on our revenues and expenses.</w:t>
      </w:r>
    </w:p>
    <w:p>
      <w:pPr>
        <w:spacing w:after="0" w:line="102" w:lineRule="exact"/>
        <w:rPr>
          <w:sz w:val="20"/>
          <w:szCs w:val="20"/>
          <w:color w:val="auto"/>
        </w:rPr>
      </w:pPr>
    </w:p>
    <w:p>
      <w:pPr>
        <w:ind w:right="2179"/>
        <w:spacing w:after="0" w:line="253" w:lineRule="auto"/>
        <w:rPr>
          <w:sz w:val="20"/>
          <w:szCs w:val="20"/>
          <w:color w:val="auto"/>
        </w:rPr>
      </w:pPr>
      <w:r>
        <w:rPr>
          <w:rFonts w:ascii="Arial" w:cs="Arial" w:eastAsia="Arial" w:hAnsi="Arial"/>
          <w:sz w:val="18"/>
          <w:szCs w:val="18"/>
          <w:color w:val="auto"/>
        </w:rPr>
        <w:t>The discussion below focuses on the regulation of our wireless subsidiary, Shenandoah Personal Communications Company, and our incumbent local exchange carrier (“ILEC”) subsidiary, Shenandoah Telephone Company. Other lines of business such as our cable television operations, our MDU business, and our CLEC businesses are also subject to regulation, but these businesses are smaller relative to our core business of providing wireless and ILEC services. NTC provides voice and video services, solely to MDU communities and as a result, operates in a manner that generally does not subject it to direct regulation, except with respect to the voice services it provides in North Carolina.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Regulation of Wireless PCS Operations</w:t>
      </w:r>
    </w:p>
    <w:p>
      <w:pPr>
        <w:spacing w:after="0" w:line="164" w:lineRule="exact"/>
        <w:rPr>
          <w:sz w:val="20"/>
          <w:szCs w:val="20"/>
          <w:color w:val="auto"/>
        </w:rPr>
      </w:pPr>
    </w:p>
    <w:p>
      <w:pPr>
        <w:ind w:right="2159"/>
        <w:spacing w:after="0" w:line="306" w:lineRule="auto"/>
        <w:rPr>
          <w:sz w:val="20"/>
          <w:szCs w:val="20"/>
          <w:color w:val="auto"/>
        </w:rPr>
      </w:pPr>
      <w:r>
        <w:rPr>
          <w:rFonts w:ascii="Arial" w:cs="Arial" w:eastAsia="Arial" w:hAnsi="Arial"/>
          <w:sz w:val="16"/>
          <w:szCs w:val="16"/>
          <w:color w:val="auto"/>
        </w:rPr>
        <w:t>We operate our PCS business using radio spectrum licensed to Sprint Nextel under the Sprint Nextel management agreements. Nonetheless, we are directly or indirectly subject to, or affected by, a number of regulations and requirements of the FCC and other governmental authorities.</w:t>
      </w:r>
    </w:p>
    <w:p>
      <w:pPr>
        <w:spacing w:after="0" w:line="93" w:lineRule="exact"/>
        <w:rPr>
          <w:sz w:val="20"/>
          <w:szCs w:val="20"/>
          <w:color w:val="auto"/>
        </w:rPr>
      </w:pPr>
    </w:p>
    <w:p>
      <w:pPr>
        <w:ind w:right="2179"/>
        <w:spacing w:after="0" w:line="288" w:lineRule="auto"/>
        <w:rPr>
          <w:sz w:val="20"/>
          <w:szCs w:val="20"/>
          <w:color w:val="auto"/>
        </w:rPr>
      </w:pPr>
      <w:r>
        <w:rPr>
          <w:rFonts w:ascii="Arial" w:cs="Arial" w:eastAsia="Arial" w:hAnsi="Arial"/>
          <w:sz w:val="16"/>
          <w:szCs w:val="16"/>
          <w:i w:val="1"/>
          <w:iCs w:val="1"/>
          <w:color w:val="auto"/>
        </w:rPr>
        <w:t xml:space="preserve">Interconnection. </w:t>
      </w:r>
      <w:r>
        <w:rPr>
          <w:rFonts w:ascii="Arial" w:cs="Arial" w:eastAsia="Arial" w:hAnsi="Arial"/>
          <w:sz w:val="16"/>
          <w:szCs w:val="16"/>
          <w:color w:val="auto"/>
        </w:rPr>
        <w:t>The FCC has the authority to order interconnection between commercial mobile radio</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(“CMRS”) providers (which includes us) and any other common carrier. The FCC has ordered local exchange carriers to provide reciprocal compensation to CMRS providers for the termination of traffic. Under these rules, we benefit from interconnection agreements negotiated by us, or by Sprint Nextel (for our wireless network) on our behalf, with Verizon and Sprint Nextel and with several smaller independent local exchange carriers. Interconnection agreements are negotiated on a statewide basis. If an agreement cannot be reached, parties to interconnection negotiations can submit outstanding disputes to federal or state regulators for arbitration. Negotiated interconnection agreements are subject to state approval.</w:t>
      </w:r>
    </w:p>
    <w:p>
      <w:pPr>
        <w:spacing w:after="0" w:line="106" w:lineRule="exact"/>
        <w:rPr>
          <w:sz w:val="20"/>
          <w:szCs w:val="20"/>
          <w:color w:val="auto"/>
        </w:rPr>
      </w:pPr>
    </w:p>
    <w:p>
      <w:pPr>
        <w:ind w:right="2199"/>
        <w:spacing w:after="0" w:line="289" w:lineRule="auto"/>
        <w:rPr>
          <w:sz w:val="20"/>
          <w:szCs w:val="20"/>
          <w:color w:val="auto"/>
        </w:rPr>
      </w:pPr>
      <w:r>
        <w:rPr>
          <w:rFonts w:ascii="Arial" w:cs="Arial" w:eastAsia="Arial" w:hAnsi="Arial"/>
          <w:sz w:val="16"/>
          <w:szCs w:val="16"/>
          <w:color w:val="auto"/>
        </w:rPr>
        <w:t>The FCC has underway a rulemaking proceeding in which the agency is considering making major changes to the inter-carrier compensation rules that govern the telecommunications industry. In addition, the FCC is considering a number of petitions for declaratory ruling and other proceedings regarding disputes among carriers relating to interconnection payment obligations; resolutions of these petitions could set precedents that would affect us in the future. Interconnection costs represent a significant expense item for us and any significant changes in the inter-carrier compensation scheme may have a material impact on our business. We are unable to determine at this time whether any such changes would be beneficial to or detrimental to our operations.</w:t>
      </w:r>
    </w:p>
    <w:p>
      <w:pPr>
        <w:spacing w:after="0" w:line="105" w:lineRule="exact"/>
        <w:rPr>
          <w:sz w:val="20"/>
          <w:szCs w:val="20"/>
          <w:color w:val="auto"/>
        </w:rPr>
      </w:pPr>
    </w:p>
    <w:p>
      <w:pPr>
        <w:ind w:right="2119"/>
        <w:spacing w:after="0" w:line="291" w:lineRule="auto"/>
        <w:rPr>
          <w:sz w:val="20"/>
          <w:szCs w:val="20"/>
          <w:color w:val="auto"/>
        </w:rPr>
      </w:pPr>
      <w:r>
        <w:rPr>
          <w:rFonts w:ascii="Arial" w:cs="Arial" w:eastAsia="Arial" w:hAnsi="Arial"/>
          <w:sz w:val="16"/>
          <w:szCs w:val="16"/>
          <w:i w:val="1"/>
          <w:iCs w:val="1"/>
          <w:color w:val="auto"/>
        </w:rPr>
        <w:t>Universal Service Contribution Requirements</w:t>
      </w:r>
      <w:r>
        <w:rPr>
          <w:rFonts w:ascii="Arial" w:cs="Arial" w:eastAsia="Arial" w:hAnsi="Arial"/>
          <w:sz w:val="16"/>
          <w:szCs w:val="16"/>
          <w:color w:val="auto"/>
        </w:rPr>
        <w:t>. Sprint Nextel PCS is required to contribute to the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universal service fund based in part on the revenues it receives in connection with our wireless operations. The purpose of this fund is to subsidize telecommunications services in rural areas, for low-income consumers, and for schools, libraries, and rural healthcare facilities. Sprint Nextel PCS is permitted to, and does, pass through these mandated payments as surcharges paid by customers. Sprint Nextel PCS also receives disbursements from the Federal Universal Service Fund with respect</w:t>
      </w:r>
    </w:p>
    <w:p>
      <w:pPr>
        <w:spacing w:after="0" w:line="174"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146050</wp:posOffset>
            </wp:positionV>
            <wp:extent cx="5166995" cy="46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9399"/>
          </w:cols>
          <w:pgMar w:left="1060" w:top="382" w:right="1440" w:bottom="1440" w:gutter="0" w:footer="0" w:header="0"/>
        </w:sectPr>
      </w:pPr>
    </w:p>
    <w:bookmarkStart w:id="18" w:name="page19"/>
    <w:bookmarkEnd w:id="18"/>
    <w:p>
      <w:pPr>
        <w:ind w:right="2119"/>
        <w:spacing w:after="0" w:line="306" w:lineRule="auto"/>
        <w:rPr>
          <w:sz w:val="20"/>
          <w:szCs w:val="20"/>
          <w:color w:val="auto"/>
        </w:rPr>
      </w:pPr>
      <w:r>
        <w:rPr>
          <w:rFonts w:ascii="Arial" w:cs="Arial" w:eastAsia="Arial" w:hAnsi="Arial"/>
          <w:sz w:val="15"/>
          <w:szCs w:val="15"/>
          <w:color w:val="auto"/>
        </w:rPr>
        <w:t>to the service area served by the PCS business. These disbursements are passed through to us. Congress and the FCC are considering a number of major changes to the universal service rules that could affect us. For example, the FCC is considering possible changes to the current rules in which contribution obligations are assessed as a variable percentage of interstate end-user telecommunications revenues. The FCC could, instead, impose the contribution obligations based on the number of telephone numbers, the number of end-user connections, or on some other basis. The FCC may also broaden the base of the fund by requiring VOIP providers and other service providers to make contributions. The share of payments from wireless companies may increase or decrease, and the overall size of the fund could well increase. Separately, Congress is considering legislation that could affect the manner in which contribution obligations are assessed, as well as the scope of the programs that continue to receiving funding. It is not possible to predict whether and how these changes could affect the extent of our total federal universal service assessments, the amounts we receive with respect to our PCS operations or our ability to recover costs associated with the universal service fund.</w:t>
      </w:r>
    </w:p>
    <w:p>
      <w:pPr>
        <w:spacing w:after="0" w:line="99" w:lineRule="exact"/>
        <w:rPr>
          <w:sz w:val="20"/>
          <w:szCs w:val="20"/>
          <w:color w:val="auto"/>
        </w:rPr>
      </w:pPr>
    </w:p>
    <w:p>
      <w:pPr>
        <w:ind w:right="2279"/>
        <w:spacing w:after="0" w:line="294" w:lineRule="auto"/>
        <w:rPr>
          <w:sz w:val="20"/>
          <w:szCs w:val="20"/>
          <w:color w:val="auto"/>
        </w:rPr>
      </w:pPr>
      <w:r>
        <w:rPr>
          <w:rFonts w:ascii="Arial" w:cs="Arial" w:eastAsia="Arial" w:hAnsi="Arial"/>
          <w:sz w:val="16"/>
          <w:szCs w:val="16"/>
          <w:color w:val="auto"/>
        </w:rPr>
        <w:t>Payments are also due based on revenues received in connection with our wireless (and wireline) operations to funds that support and maintain the Telecommunications Relay Fund and the North American Numbering Plan, as well as to the FCC itself in the form of regulatory fees. Under our agreement with Sprint Nextel, Sprint Nextel is responsible for making these payments with respect to our wireless operations, and is able to pass through the costs in surcharges paid by customers.</w:t>
      </w:r>
    </w:p>
    <w:p>
      <w:pPr>
        <w:spacing w:after="0" w:line="102" w:lineRule="exact"/>
        <w:rPr>
          <w:sz w:val="20"/>
          <w:szCs w:val="20"/>
          <w:color w:val="auto"/>
        </w:rPr>
      </w:pPr>
    </w:p>
    <w:p>
      <w:pPr>
        <w:ind w:right="2159"/>
        <w:spacing w:after="0" w:line="286" w:lineRule="auto"/>
        <w:rPr>
          <w:sz w:val="20"/>
          <w:szCs w:val="20"/>
          <w:color w:val="auto"/>
        </w:rPr>
      </w:pPr>
      <w:r>
        <w:rPr>
          <w:rFonts w:ascii="Arial" w:cs="Arial" w:eastAsia="Arial" w:hAnsi="Arial"/>
          <w:sz w:val="16"/>
          <w:szCs w:val="16"/>
          <w:i w:val="1"/>
          <w:iCs w:val="1"/>
          <w:color w:val="auto"/>
        </w:rPr>
        <w:t>Transfers, Assignments and Changes of Control of PCS Licenses</w:t>
      </w:r>
      <w:r>
        <w:rPr>
          <w:rFonts w:ascii="Arial" w:cs="Arial" w:eastAsia="Arial" w:hAnsi="Arial"/>
          <w:sz w:val="16"/>
          <w:szCs w:val="16"/>
          <w:color w:val="auto"/>
        </w:rPr>
        <w:t>. The FCC must give prior approval to</w:t>
      </w:r>
      <w:r>
        <w:rPr>
          <w:rFonts w:ascii="Arial" w:cs="Arial" w:eastAsia="Arial" w:hAnsi="Arial"/>
          <w:sz w:val="16"/>
          <w:szCs w:val="16"/>
          <w:i w:val="1"/>
          <w:iCs w:val="1"/>
          <w:color w:val="auto"/>
        </w:rPr>
        <w:t xml:space="preserve"> </w:t>
      </w:r>
      <w:r>
        <w:rPr>
          <w:rFonts w:ascii="Arial" w:cs="Arial" w:eastAsia="Arial" w:hAnsi="Arial"/>
          <w:sz w:val="16"/>
          <w:szCs w:val="16"/>
          <w:color w:val="auto"/>
        </w:rPr>
        <w:t>the assignment of, or transfers involving, substantial changes in ownership or control of a PCS license. The FCC also requires licensees to maintain effective working control over their licenses. Our agreements with Sprint Nextel PCS reflect an alliance that the parties believe meets the FCC requirements for licensee control of licensed spectrum. If the FCC were to determine that the Sprint Nextel PCS agreements need to be modified to increase the level of licensee control, we have agreed with Sprint Nextel PCS under the terms of our Sprint Nextel PCS agreements to use our best efforts to modify the agreements as necessary to cause the agreements to comply with applicable law and to preserve to the extent possible the economic arrangements set forth in the agreements. If the agreements cannot be modified, the agreements may be terminated pursuant to their terms. The FCC could also impose sanctions on the Company.</w:t>
      </w:r>
    </w:p>
    <w:p>
      <w:pPr>
        <w:spacing w:after="0" w:line="114" w:lineRule="exact"/>
        <w:rPr>
          <w:sz w:val="20"/>
          <w:szCs w:val="20"/>
          <w:color w:val="auto"/>
        </w:rPr>
      </w:pPr>
    </w:p>
    <w:p>
      <w:pPr>
        <w:ind w:right="2159"/>
        <w:spacing w:after="0" w:line="259" w:lineRule="auto"/>
        <w:rPr>
          <w:sz w:val="20"/>
          <w:szCs w:val="20"/>
          <w:color w:val="auto"/>
        </w:rPr>
      </w:pPr>
      <w:r>
        <w:rPr>
          <w:rFonts w:ascii="Arial" w:cs="Arial" w:eastAsia="Arial" w:hAnsi="Arial"/>
          <w:sz w:val="18"/>
          <w:szCs w:val="18"/>
          <w:color w:val="auto"/>
        </w:rPr>
        <w:t>Personal communication service licenses are granted for ten-year periods. Licensees have an expectance of license renewal if they have provided “substantial” performance and complied with FCC rules, and policies and the Communications Act of 1934.</w:t>
      </w:r>
    </w:p>
    <w:p>
      <w:pPr>
        <w:spacing w:after="0" w:line="127" w:lineRule="exact"/>
        <w:rPr>
          <w:sz w:val="20"/>
          <w:szCs w:val="20"/>
          <w:color w:val="auto"/>
        </w:rPr>
      </w:pPr>
    </w:p>
    <w:p>
      <w:pPr>
        <w:ind w:right="2239"/>
        <w:spacing w:after="0" w:line="314" w:lineRule="auto"/>
        <w:rPr>
          <w:sz w:val="20"/>
          <w:szCs w:val="20"/>
          <w:color w:val="auto"/>
        </w:rPr>
      </w:pPr>
      <w:r>
        <w:rPr>
          <w:rFonts w:ascii="Arial" w:cs="Arial" w:eastAsia="Arial" w:hAnsi="Arial"/>
          <w:sz w:val="15"/>
          <w:szCs w:val="15"/>
          <w:i w:val="1"/>
          <w:iCs w:val="1"/>
          <w:color w:val="auto"/>
        </w:rPr>
        <w:t xml:space="preserve">Construction and Operation of Wireless Facilities. </w:t>
      </w:r>
      <w:r>
        <w:rPr>
          <w:rFonts w:ascii="Arial" w:cs="Arial" w:eastAsia="Arial" w:hAnsi="Arial"/>
          <w:sz w:val="15"/>
          <w:szCs w:val="15"/>
          <w:color w:val="auto"/>
        </w:rPr>
        <w:t>Wireless systems must comply with certain FCC</w:t>
      </w:r>
      <w:r>
        <w:rPr>
          <w:rFonts w:ascii="Arial" w:cs="Arial" w:eastAsia="Arial" w:hAnsi="Arial"/>
          <w:sz w:val="15"/>
          <w:szCs w:val="15"/>
          <w:i w:val="1"/>
          <w:iCs w:val="1"/>
          <w:color w:val="auto"/>
        </w:rPr>
        <w:t xml:space="preserve"> </w:t>
      </w:r>
      <w:r>
        <w:rPr>
          <w:rFonts w:ascii="Arial" w:cs="Arial" w:eastAsia="Arial" w:hAnsi="Arial"/>
          <w:sz w:val="15"/>
          <w:szCs w:val="15"/>
          <w:color w:val="auto"/>
        </w:rPr>
        <w:t>and Federal Aviation Administration regulations regarding the registration, siting, marking, lighting and construction of transmitter towers and antennas. The FCC also requires that aggregate radio wave emissions from every site location meet certain standards. These regulations also affect site selection for new network build-outs and may increase the costs of improving our network. The increased costs and delays from these regulations may have a material adverse affect on our operations.</w:t>
      </w:r>
    </w:p>
    <w:p>
      <w:pPr>
        <w:spacing w:after="0" w:line="91" w:lineRule="exact"/>
        <w:rPr>
          <w:sz w:val="20"/>
          <w:szCs w:val="20"/>
          <w:color w:val="auto"/>
        </w:rPr>
      </w:pPr>
    </w:p>
    <w:p>
      <w:pPr>
        <w:ind w:right="2119"/>
        <w:spacing w:after="0" w:line="255" w:lineRule="auto"/>
        <w:rPr>
          <w:sz w:val="20"/>
          <w:szCs w:val="20"/>
          <w:color w:val="auto"/>
        </w:rPr>
      </w:pPr>
      <w:r>
        <w:rPr>
          <w:rFonts w:ascii="Arial" w:cs="Arial" w:eastAsia="Arial" w:hAnsi="Arial"/>
          <w:sz w:val="18"/>
          <w:szCs w:val="18"/>
          <w:color w:val="auto"/>
        </w:rPr>
        <w:t>The FCC’s decision to license a proposed tower may be subject to environmental review pursuant to the National Environmental Policy Act of 1969, or NEPA, which requires federal agencies to evaluate the environmental impacts of their decisions under some circumstances. FCC regulations implementing NEPA place responsibility on each applicant to investigate any potential environmental effects, including health effects</w:t>
      </w:r>
    </w:p>
    <w:p>
      <w:pPr>
        <w:spacing w:after="0" w:line="197"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146050</wp:posOffset>
            </wp:positionV>
            <wp:extent cx="5166995" cy="46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9399"/>
          </w:cols>
          <w:pgMar w:left="1060" w:top="388" w:right="1440" w:bottom="1440" w:gutter="0" w:footer="0" w:header="0"/>
        </w:sectPr>
      </w:pPr>
    </w:p>
    <w:bookmarkStart w:id="19" w:name="page20"/>
    <w:bookmarkEnd w:id="19"/>
    <w:p>
      <w:pPr>
        <w:ind w:right="2159"/>
        <w:spacing w:after="0" w:line="289" w:lineRule="auto"/>
        <w:rPr>
          <w:sz w:val="20"/>
          <w:szCs w:val="20"/>
          <w:color w:val="auto"/>
        </w:rPr>
      </w:pPr>
      <w:r>
        <w:rPr>
          <w:rFonts w:ascii="Arial" w:cs="Arial" w:eastAsia="Arial" w:hAnsi="Arial"/>
          <w:sz w:val="16"/>
          <w:szCs w:val="16"/>
          <w:color w:val="auto"/>
        </w:rPr>
        <w:t>relating to radio frequency emissions, of a proposed operation and to disclose any significant effects on the environment to the agency prior to commencing construction. In the event that the FCC determines that a proposed tower would have a significant environmental impact, the FCC would require preparation of an environmental impact statement. In addition, tower construction is subject to regulations implementing the Historic Preservation Act. Compliance with environmental or historic preservation requirements could significantly delay or prevent the registration or construction of a particular tower or make tower construction more costly. In some jurisdictions, local laws or regulations may impose similar requirements.</w:t>
      </w:r>
    </w:p>
    <w:p>
      <w:pPr>
        <w:spacing w:after="0" w:line="105" w:lineRule="exact"/>
        <w:rPr>
          <w:sz w:val="20"/>
          <w:szCs w:val="20"/>
          <w:color w:val="auto"/>
        </w:rPr>
      </w:pPr>
    </w:p>
    <w:p>
      <w:pPr>
        <w:ind w:right="2139"/>
        <w:spacing w:after="0" w:line="290" w:lineRule="auto"/>
        <w:rPr>
          <w:sz w:val="20"/>
          <w:szCs w:val="20"/>
          <w:color w:val="auto"/>
        </w:rPr>
      </w:pPr>
      <w:r>
        <w:rPr>
          <w:rFonts w:ascii="Arial" w:cs="Arial" w:eastAsia="Arial" w:hAnsi="Arial"/>
          <w:sz w:val="16"/>
          <w:szCs w:val="16"/>
          <w:i w:val="1"/>
          <w:iCs w:val="1"/>
          <w:color w:val="auto"/>
        </w:rPr>
        <w:t>Wireless Facilities Siting</w:t>
      </w:r>
      <w:r>
        <w:rPr>
          <w:rFonts w:ascii="Arial" w:cs="Arial" w:eastAsia="Arial" w:hAnsi="Arial"/>
          <w:sz w:val="16"/>
          <w:szCs w:val="16"/>
          <w:color w:val="auto"/>
        </w:rPr>
        <w:t>. State and localities are authorize to engage forms of regulation,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zoning and land-use regulation, that affect our ability to select and modify sites for wireless facilities. States and localities may not engage in forms of regulation that effectively prohibit the provision of wireless services, discriminate among providers of such services, or use radio frequency health effects as a basis to regulate the placement, construction or operation of wireless facilities. The FCC is considering numerous requests for preemption of local actions and other ongoing proceedings affecting wireless facilities siting.</w:t>
      </w:r>
    </w:p>
    <w:p>
      <w:pPr>
        <w:spacing w:after="0" w:line="105" w:lineRule="exact"/>
        <w:rPr>
          <w:sz w:val="20"/>
          <w:szCs w:val="20"/>
          <w:color w:val="auto"/>
        </w:rPr>
      </w:pPr>
    </w:p>
    <w:p>
      <w:pPr>
        <w:ind w:right="2339"/>
        <w:spacing w:after="0" w:line="298" w:lineRule="auto"/>
        <w:rPr>
          <w:sz w:val="20"/>
          <w:szCs w:val="20"/>
          <w:color w:val="auto"/>
        </w:rPr>
      </w:pPr>
      <w:r>
        <w:rPr>
          <w:rFonts w:ascii="Arial" w:cs="Arial" w:eastAsia="Arial" w:hAnsi="Arial"/>
          <w:sz w:val="16"/>
          <w:szCs w:val="16"/>
          <w:i w:val="1"/>
          <w:iCs w:val="1"/>
          <w:color w:val="auto"/>
        </w:rPr>
        <w:t xml:space="preserve">Enhanced 911. </w:t>
      </w:r>
      <w:r>
        <w:rPr>
          <w:rFonts w:ascii="Arial" w:cs="Arial" w:eastAsia="Arial" w:hAnsi="Arial"/>
          <w:sz w:val="16"/>
          <w:szCs w:val="16"/>
          <w:color w:val="auto"/>
        </w:rPr>
        <w:t>In order to enable wireless customers to dial 911 for emergency medical or police</w:t>
      </w:r>
      <w:r>
        <w:rPr>
          <w:rFonts w:ascii="Arial" w:cs="Arial" w:eastAsia="Arial" w:hAnsi="Arial"/>
          <w:sz w:val="16"/>
          <w:szCs w:val="16"/>
          <w:i w:val="1"/>
          <w:iCs w:val="1"/>
          <w:color w:val="auto"/>
        </w:rPr>
        <w:t xml:space="preserve"> </w:t>
      </w:r>
      <w:r>
        <w:rPr>
          <w:rFonts w:ascii="Arial" w:cs="Arial" w:eastAsia="Arial" w:hAnsi="Arial"/>
          <w:sz w:val="16"/>
          <w:szCs w:val="16"/>
          <w:color w:val="auto"/>
        </w:rPr>
        <w:t>assistance, and ensure that emergency service providers will be able to locate the wireless user, the FCC has required all wireless providers to provide enhanced (“911 or E911”) by the end of 2005. To date, we are in compliance with the provisions of these rules and conditional waivers.</w:t>
      </w:r>
    </w:p>
    <w:p>
      <w:pPr>
        <w:spacing w:after="0" w:line="99" w:lineRule="exact"/>
        <w:rPr>
          <w:sz w:val="20"/>
          <w:szCs w:val="20"/>
          <w:color w:val="auto"/>
        </w:rPr>
      </w:pPr>
    </w:p>
    <w:p>
      <w:pPr>
        <w:ind w:right="2139"/>
        <w:spacing w:after="0" w:line="289" w:lineRule="auto"/>
        <w:rPr>
          <w:sz w:val="20"/>
          <w:szCs w:val="20"/>
          <w:color w:val="auto"/>
        </w:rPr>
      </w:pPr>
      <w:r>
        <w:rPr>
          <w:rFonts w:ascii="Arial" w:cs="Arial" w:eastAsia="Arial" w:hAnsi="Arial"/>
          <w:sz w:val="16"/>
          <w:szCs w:val="16"/>
          <w:i w:val="1"/>
          <w:iCs w:val="1"/>
          <w:color w:val="auto"/>
        </w:rPr>
        <w:t xml:space="preserve">Communications Assistance for Law Enforcement Act. </w:t>
      </w:r>
      <w:r>
        <w:rPr>
          <w:rFonts w:ascii="Arial" w:cs="Arial" w:eastAsia="Arial" w:hAnsi="Arial"/>
          <w:sz w:val="16"/>
          <w:szCs w:val="16"/>
          <w:color w:val="auto"/>
        </w:rPr>
        <w:t>The Communications Assistance for Law</w:t>
      </w:r>
      <w:r>
        <w:rPr>
          <w:rFonts w:ascii="Arial" w:cs="Arial" w:eastAsia="Arial" w:hAnsi="Arial"/>
          <w:sz w:val="16"/>
          <w:szCs w:val="16"/>
          <w:i w:val="1"/>
          <w:iCs w:val="1"/>
          <w:color w:val="auto"/>
        </w:rPr>
        <w:t xml:space="preserve"> </w:t>
      </w:r>
      <w:r>
        <w:rPr>
          <w:rFonts w:ascii="Arial" w:cs="Arial" w:eastAsia="Arial" w:hAnsi="Arial"/>
          <w:sz w:val="16"/>
          <w:szCs w:val="16"/>
          <w:color w:val="auto"/>
        </w:rPr>
        <w:t>Enforcement Act or CALEA, was enacted in 1994 to preserve electronic surveillance capabilities by law enforcement officials in the face of rapidly changing telecommunications technology. CALEA requires telecommunications carriers, including us, to modify their equipment, facilities, and services to allow for authorized electronic surveillance based on either industry or FCC standards. Following adoption of interim standards and a lengthy rulemaking proceeding, including an appeal and remand proceeding, all carriers were required to be in compliance with the CALEA requirements as of June 30, 2002. We are currently in compliance with the CALEA requirements.</w:t>
      </w:r>
    </w:p>
    <w:p>
      <w:pPr>
        <w:spacing w:after="0" w:line="105" w:lineRule="exact"/>
        <w:rPr>
          <w:sz w:val="20"/>
          <w:szCs w:val="20"/>
          <w:color w:val="auto"/>
        </w:rPr>
      </w:pPr>
    </w:p>
    <w:p>
      <w:pPr>
        <w:ind w:right="2139"/>
        <w:spacing w:after="0" w:line="291" w:lineRule="auto"/>
        <w:rPr>
          <w:sz w:val="20"/>
          <w:szCs w:val="20"/>
          <w:color w:val="auto"/>
        </w:rPr>
      </w:pPr>
      <w:r>
        <w:rPr>
          <w:rFonts w:ascii="Arial" w:cs="Arial" w:eastAsia="Arial" w:hAnsi="Arial"/>
          <w:sz w:val="16"/>
          <w:szCs w:val="16"/>
          <w:i w:val="1"/>
          <w:iCs w:val="1"/>
          <w:color w:val="auto"/>
        </w:rPr>
        <w:t>Local Number Portability</w:t>
      </w:r>
      <w:r>
        <w:rPr>
          <w:rFonts w:ascii="Arial" w:cs="Arial" w:eastAsia="Arial" w:hAnsi="Arial"/>
          <w:sz w:val="16"/>
          <w:szCs w:val="16"/>
          <w:color w:val="auto"/>
        </w:rPr>
        <w:t>. All covered CMRS providers, including us, are required to allow wireless</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to retain their existing telephone numbers when switching from one telecommunications carrier to another. These rules are generally referred to wireless local number portability (“WLNP”). To date, the WLNP mandate has had a nominal impact on costs, subscriber turnover rates, or subscriber acquisition and retention costs. The future volume of any porting requests, and the processing costs related thereto, may increase our operating costs in the future.</w:t>
      </w:r>
    </w:p>
    <w:p>
      <w:pPr>
        <w:spacing w:after="0" w:line="107" w:lineRule="exact"/>
        <w:rPr>
          <w:sz w:val="20"/>
          <w:szCs w:val="20"/>
          <w:color w:val="auto"/>
        </w:rPr>
      </w:pPr>
    </w:p>
    <w:p>
      <w:pPr>
        <w:ind w:right="2299"/>
        <w:spacing w:after="0" w:line="289" w:lineRule="auto"/>
        <w:rPr>
          <w:sz w:val="20"/>
          <w:szCs w:val="20"/>
          <w:color w:val="auto"/>
        </w:rPr>
      </w:pPr>
      <w:r>
        <w:rPr>
          <w:rFonts w:ascii="Arial" w:cs="Arial" w:eastAsia="Arial" w:hAnsi="Arial"/>
          <w:sz w:val="16"/>
          <w:szCs w:val="16"/>
          <w:i w:val="1"/>
          <w:iCs w:val="1"/>
          <w:color w:val="auto"/>
        </w:rPr>
        <w:t>Number Pooling</w:t>
      </w:r>
      <w:r>
        <w:rPr>
          <w:rFonts w:ascii="Arial" w:cs="Arial" w:eastAsia="Arial" w:hAnsi="Arial"/>
          <w:sz w:val="16"/>
          <w:szCs w:val="16"/>
          <w:color w:val="auto"/>
        </w:rPr>
        <w:t>. The FCC regulates the assignment and use of telephone numbers by wireless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telecommunications carriers to preserve numbering resources. CMRS providers in the top 100 markets are required to be capable of sharing blocks of 10,000 numbers among themselves in subsets of 1,000 numbers (“1000s-block number pooling”). In addition, all CMRS carriers, including those operating outside the top 100 markets, must be able to support roaming calls on their network placed by users with pooled numbers. Wireless carriers must also maintain detailed records of the numbers they have used, subject to audit. The pooling requirements may impose additional costs and increase operating expenses on us and limit our access to numbering resources.</w:t>
      </w:r>
    </w:p>
    <w:p>
      <w:pPr>
        <w:spacing w:after="0" w:line="172"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146050</wp:posOffset>
            </wp:positionV>
            <wp:extent cx="5166995" cy="469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9399"/>
          </w:cols>
          <w:pgMar w:left="1060" w:top="388" w:right="1440" w:bottom="1440" w:gutter="0" w:footer="0" w:header="0"/>
        </w:sectPr>
      </w:pPr>
    </w:p>
    <w:bookmarkStart w:id="20" w:name="page21"/>
    <w:bookmarkEnd w:id="20"/>
    <w:p>
      <w:pPr>
        <w:ind w:right="2319"/>
        <w:spacing w:after="0" w:line="318" w:lineRule="auto"/>
        <w:rPr>
          <w:sz w:val="20"/>
          <w:szCs w:val="20"/>
          <w:color w:val="auto"/>
        </w:rPr>
      </w:pPr>
      <w:r>
        <w:rPr>
          <w:rFonts w:ascii="Arial" w:cs="Arial" w:eastAsia="Arial" w:hAnsi="Arial"/>
          <w:sz w:val="15"/>
          <w:szCs w:val="15"/>
          <w:i w:val="1"/>
          <w:iCs w:val="1"/>
          <w:color w:val="auto"/>
        </w:rPr>
        <w:t xml:space="preserve">Telecommunications Relay Services (“TRS”). </w:t>
      </w:r>
      <w:r>
        <w:rPr>
          <w:rFonts w:ascii="Arial" w:cs="Arial" w:eastAsia="Arial" w:hAnsi="Arial"/>
          <w:sz w:val="15"/>
          <w:szCs w:val="15"/>
          <w:color w:val="auto"/>
        </w:rPr>
        <w:t>Federal law requires wireless service providers to take</w:t>
      </w:r>
      <w:r>
        <w:rPr>
          <w:rFonts w:ascii="Arial" w:cs="Arial" w:eastAsia="Arial" w:hAnsi="Arial"/>
          <w:sz w:val="15"/>
          <w:szCs w:val="15"/>
          <w:i w:val="1"/>
          <w:iCs w:val="1"/>
          <w:color w:val="auto"/>
        </w:rPr>
        <w:t xml:space="preserve"> </w:t>
      </w:r>
      <w:r>
        <w:rPr>
          <w:rFonts w:ascii="Arial" w:cs="Arial" w:eastAsia="Arial" w:hAnsi="Arial"/>
          <w:sz w:val="15"/>
          <w:szCs w:val="15"/>
          <w:color w:val="auto"/>
        </w:rPr>
        <w:t>steps to enable the hearing impaired and other disabled persons to have reasonable access to wireless services. The FCC has adopted rules and regulations implementing this requirement to which we are subject, and requires that we pay a regulatory assessment to support such telecommunications relay services for the disabled. The Company is in compliance with these requirements.</w:t>
      </w:r>
    </w:p>
    <w:p>
      <w:pPr>
        <w:spacing w:after="0" w:line="86" w:lineRule="exact"/>
        <w:rPr>
          <w:sz w:val="20"/>
          <w:szCs w:val="20"/>
          <w:color w:val="auto"/>
        </w:rPr>
      </w:pPr>
    </w:p>
    <w:p>
      <w:pPr>
        <w:ind w:right="2119"/>
        <w:spacing w:after="0" w:line="285" w:lineRule="auto"/>
        <w:rPr>
          <w:sz w:val="20"/>
          <w:szCs w:val="20"/>
          <w:color w:val="auto"/>
        </w:rPr>
      </w:pPr>
      <w:r>
        <w:rPr>
          <w:rFonts w:ascii="Arial" w:cs="Arial" w:eastAsia="Arial" w:hAnsi="Arial"/>
          <w:sz w:val="16"/>
          <w:szCs w:val="16"/>
          <w:i w:val="1"/>
          <w:iCs w:val="1"/>
          <w:color w:val="auto"/>
        </w:rPr>
        <w:t xml:space="preserve">Consumer Privacy. </w:t>
      </w:r>
      <w:r>
        <w:rPr>
          <w:rFonts w:ascii="Arial" w:cs="Arial" w:eastAsia="Arial" w:hAnsi="Arial"/>
          <w:sz w:val="16"/>
          <w:szCs w:val="16"/>
          <w:color w:val="auto"/>
        </w:rPr>
        <w:t>The Company is subject to various federal and state laws intended to protect the</w:t>
      </w:r>
      <w:r>
        <w:rPr>
          <w:rFonts w:ascii="Arial" w:cs="Arial" w:eastAsia="Arial" w:hAnsi="Arial"/>
          <w:sz w:val="16"/>
          <w:szCs w:val="16"/>
          <w:i w:val="1"/>
          <w:iCs w:val="1"/>
          <w:color w:val="auto"/>
        </w:rPr>
        <w:t xml:space="preserve"> </w:t>
      </w:r>
      <w:r>
        <w:rPr>
          <w:rFonts w:ascii="Arial" w:cs="Arial" w:eastAsia="Arial" w:hAnsi="Arial"/>
          <w:sz w:val="16"/>
          <w:szCs w:val="16"/>
          <w:color w:val="auto"/>
        </w:rPr>
        <w:t>privacy of end-users who subscribe to the Company’s services. For example, the FCC has regulations that place restrictions on the permissible uses that the Company can make of customer-specific information, known as “Customer Proprietary Network Information” or “CPNI,” received from subscribers. Legislation that would impose criminal and other penalties for the violation of CPNI requirements and similar provisions is being considered by Congress. In addition, restrictions exist, and new restrictions are considered from time to time by Congress, federal agencies and states, on the extent to which wireless data customers may be subjected to receiving unsolicited junk e-mail or spam. One such restriction, which became effective on October 18, 2004, prohibits sending commercial messages to any address referencing an Internet domain name associated with wireless subscriber messaging services and requires that all CMRS providers submit to the FCC a list of their Internet domain names that are associated with wireless subscriber messaging services. Congress, federal agencies and certain states also are considering and may in the future consider imposing additional requirements on entities that possess consumer information to protect the privacy of consumers. Complying with these requirements may impose costs on us or compel us to alter the way we provide or promote our services.</w:t>
      </w:r>
    </w:p>
    <w:p>
      <w:pPr>
        <w:spacing w:after="0" w:line="110" w:lineRule="exact"/>
        <w:rPr>
          <w:sz w:val="20"/>
          <w:szCs w:val="20"/>
          <w:color w:val="auto"/>
        </w:rPr>
      </w:pPr>
    </w:p>
    <w:p>
      <w:pPr>
        <w:ind w:right="2119"/>
        <w:spacing w:after="0" w:line="310" w:lineRule="auto"/>
        <w:rPr>
          <w:sz w:val="20"/>
          <w:szCs w:val="20"/>
          <w:color w:val="auto"/>
        </w:rPr>
      </w:pPr>
      <w:r>
        <w:rPr>
          <w:rFonts w:ascii="Arial" w:cs="Arial" w:eastAsia="Arial" w:hAnsi="Arial"/>
          <w:sz w:val="15"/>
          <w:szCs w:val="15"/>
          <w:i w:val="1"/>
          <w:iCs w:val="1"/>
          <w:color w:val="auto"/>
        </w:rPr>
        <w:t>Consumer Protection</w:t>
      </w:r>
      <w:r>
        <w:rPr>
          <w:rFonts w:ascii="Arial" w:cs="Arial" w:eastAsia="Arial" w:hAnsi="Arial"/>
          <w:sz w:val="15"/>
          <w:szCs w:val="15"/>
          <w:color w:val="auto"/>
        </w:rPr>
        <w:t>. Many members of the wireless industry, including us, have voluntarily</w:t>
      </w:r>
      <w:r>
        <w:rPr>
          <w:rFonts w:ascii="Arial" w:cs="Arial" w:eastAsia="Arial" w:hAnsi="Arial"/>
          <w:sz w:val="15"/>
          <w:szCs w:val="15"/>
          <w:i w:val="1"/>
          <w:iCs w:val="1"/>
          <w:color w:val="auto"/>
        </w:rPr>
        <w:t xml:space="preserve"> </w:t>
      </w:r>
      <w:r>
        <w:rPr>
          <w:rFonts w:ascii="Arial" w:cs="Arial" w:eastAsia="Arial" w:hAnsi="Arial"/>
          <w:sz w:val="15"/>
          <w:szCs w:val="15"/>
          <w:color w:val="auto"/>
        </w:rPr>
        <w:t>committed to comply with the CTIA Consumer Code for Wireless, which includes consumer protection provisions regarding the content and format of bills; advance disclosures regarding rates, terms of service, contract provisions, and network coverage; and the right to terminate service after a trial period or after changes to contract provisions are implemented. Both the FCC and the state commissions are considering imposing additional consumer protection requirements upon wireless service providers, and a number of regulatory proceedings are pending. Any further changes to these requirements could increase our costs of doing business and our costs of acquiring and retaining customers.</w:t>
      </w:r>
    </w:p>
    <w:p>
      <w:pPr>
        <w:spacing w:after="0" w:line="95" w:lineRule="exact"/>
        <w:rPr>
          <w:sz w:val="20"/>
          <w:szCs w:val="20"/>
          <w:color w:val="auto"/>
        </w:rPr>
      </w:pPr>
    </w:p>
    <w:p>
      <w:pPr>
        <w:ind w:right="2139"/>
        <w:spacing w:after="0" w:line="287" w:lineRule="auto"/>
        <w:rPr>
          <w:sz w:val="20"/>
          <w:szCs w:val="20"/>
          <w:color w:val="auto"/>
        </w:rPr>
      </w:pPr>
      <w:r>
        <w:rPr>
          <w:rFonts w:ascii="Arial" w:cs="Arial" w:eastAsia="Arial" w:hAnsi="Arial"/>
          <w:sz w:val="16"/>
          <w:szCs w:val="16"/>
          <w:i w:val="1"/>
          <w:iCs w:val="1"/>
          <w:color w:val="auto"/>
        </w:rPr>
        <w:t>Radio Frequency Emissions</w:t>
      </w:r>
      <w:r>
        <w:rPr>
          <w:rFonts w:ascii="Arial" w:cs="Arial" w:eastAsia="Arial" w:hAnsi="Arial"/>
          <w:sz w:val="16"/>
          <w:szCs w:val="16"/>
          <w:color w:val="auto"/>
        </w:rPr>
        <w:t>. Some studies (and media reports) have suggested that radio frequency</w:t>
      </w:r>
      <w:r>
        <w:rPr>
          <w:rFonts w:ascii="Arial" w:cs="Arial" w:eastAsia="Arial" w:hAnsi="Arial"/>
          <w:sz w:val="16"/>
          <w:szCs w:val="16"/>
          <w:i w:val="1"/>
          <w:iCs w:val="1"/>
          <w:color w:val="auto"/>
        </w:rPr>
        <w:t xml:space="preserve"> </w:t>
      </w:r>
      <w:r>
        <w:rPr>
          <w:rFonts w:ascii="Arial" w:cs="Arial" w:eastAsia="Arial" w:hAnsi="Arial"/>
          <w:sz w:val="16"/>
          <w:szCs w:val="16"/>
          <w:color w:val="auto"/>
        </w:rPr>
        <w:t>emissions from handsets, wireless data devices and cell sites may raise various health concerns, including cancer, and may interfere with various electronic medical devices, including hearing aids and pacemakers. Most of the expert reviews conducted to date have concluded that the evidence does not support a finding of adverse health effects but that further research is appropriate. Courts have dismissed a number of lawsuits filed against other wireless service operators and manufacturers, asserting claims relating to radio frequency transmissions to and from handsets and wireless data devices. However, there can be no assurance that the outcome of other lawsuits, or general public concerns over these issues, will not have a material adverse effect on the wireless industry, including us.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Regulation of Incumbent Local Exchange Carrier Operations</w:t>
      </w:r>
    </w:p>
    <w:p>
      <w:pPr>
        <w:spacing w:after="0" w:line="164" w:lineRule="exact"/>
        <w:rPr>
          <w:sz w:val="20"/>
          <w:szCs w:val="20"/>
          <w:color w:val="auto"/>
        </w:rPr>
      </w:pPr>
    </w:p>
    <w:p>
      <w:pPr>
        <w:ind w:right="2859"/>
        <w:spacing w:after="0" w:line="268" w:lineRule="auto"/>
        <w:rPr>
          <w:sz w:val="20"/>
          <w:szCs w:val="20"/>
          <w:color w:val="auto"/>
        </w:rPr>
      </w:pPr>
      <w:r>
        <w:rPr>
          <w:rFonts w:ascii="Arial" w:cs="Arial" w:eastAsia="Arial" w:hAnsi="Arial"/>
          <w:sz w:val="18"/>
          <w:szCs w:val="18"/>
          <w:color w:val="auto"/>
        </w:rPr>
        <w:t>As an ILEC, Shenandoah Telephone Company’s operations are regulated by federal and state regulatory agencies.</w:t>
      </w:r>
    </w:p>
    <w:p>
      <w:pPr>
        <w:spacing w:after="0" w:line="186"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146050</wp:posOffset>
            </wp:positionV>
            <wp:extent cx="5166995" cy="46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9399"/>
          </w:cols>
          <w:pgMar w:left="1060" w:top="388" w:right="1440" w:bottom="1440" w:gutter="0" w:footer="0" w:header="0"/>
        </w:sectPr>
      </w:pPr>
    </w:p>
    <w:bookmarkStart w:id="21" w:name="page22"/>
    <w:bookmarkEnd w:id="21"/>
    <w:p>
      <w:pPr>
        <w:ind w:right="2179"/>
        <w:spacing w:after="0" w:line="314" w:lineRule="auto"/>
        <w:rPr>
          <w:sz w:val="20"/>
          <w:szCs w:val="20"/>
          <w:color w:val="auto"/>
        </w:rPr>
      </w:pPr>
      <w:r>
        <w:rPr>
          <w:rFonts w:ascii="Arial" w:cs="Arial" w:eastAsia="Arial" w:hAnsi="Arial"/>
          <w:sz w:val="15"/>
          <w:szCs w:val="15"/>
          <w:i w:val="1"/>
          <w:iCs w:val="1"/>
          <w:color w:val="auto"/>
        </w:rPr>
        <w:t>State Regulation</w:t>
      </w:r>
      <w:r>
        <w:rPr>
          <w:rFonts w:ascii="Arial" w:cs="Arial" w:eastAsia="Arial" w:hAnsi="Arial"/>
          <w:sz w:val="15"/>
          <w:szCs w:val="15"/>
          <w:color w:val="auto"/>
        </w:rPr>
        <w:t>. Shenandoah Telephone’s rates for local exchange service, intrastate toll service, and</w:t>
      </w:r>
      <w:r>
        <w:rPr>
          <w:rFonts w:ascii="Arial" w:cs="Arial" w:eastAsia="Arial" w:hAnsi="Arial"/>
          <w:sz w:val="15"/>
          <w:szCs w:val="15"/>
          <w:i w:val="1"/>
          <w:iCs w:val="1"/>
          <w:color w:val="auto"/>
        </w:rPr>
        <w:t xml:space="preserve"> </w:t>
      </w:r>
      <w:r>
        <w:rPr>
          <w:rFonts w:ascii="Arial" w:cs="Arial" w:eastAsia="Arial" w:hAnsi="Arial"/>
          <w:sz w:val="15"/>
          <w:szCs w:val="15"/>
          <w:color w:val="auto"/>
        </w:rPr>
        <w:t>intrastate access charges are subject to the approval of the Virginia State Corporation Commission (“VSCC”). The VSCC also establishes and oversees implementation of the provisions of the federal and state telecommunications laws, including interconnection requirements, promotion of competition, and the deployment of advanced services. The VSCC also regulates rates, service areas, service standards, accounting methods, affiliated charge transactions and certain other financial transactions.</w:t>
      </w:r>
    </w:p>
    <w:p>
      <w:pPr>
        <w:spacing w:after="0" w:line="91" w:lineRule="exact"/>
        <w:rPr>
          <w:sz w:val="20"/>
          <w:szCs w:val="20"/>
          <w:color w:val="auto"/>
        </w:rPr>
      </w:pPr>
    </w:p>
    <w:p>
      <w:pPr>
        <w:ind w:right="2139"/>
        <w:spacing w:after="0" w:line="310" w:lineRule="auto"/>
        <w:rPr>
          <w:sz w:val="20"/>
          <w:szCs w:val="20"/>
          <w:color w:val="auto"/>
        </w:rPr>
      </w:pPr>
      <w:r>
        <w:rPr>
          <w:rFonts w:ascii="Arial" w:cs="Arial" w:eastAsia="Arial" w:hAnsi="Arial"/>
          <w:sz w:val="15"/>
          <w:szCs w:val="15"/>
          <w:i w:val="1"/>
          <w:iCs w:val="1"/>
          <w:color w:val="auto"/>
        </w:rPr>
        <w:t xml:space="preserve">Federal Regulation of Access Charges. </w:t>
      </w:r>
      <w:r>
        <w:rPr>
          <w:rFonts w:ascii="Arial" w:cs="Arial" w:eastAsia="Arial" w:hAnsi="Arial"/>
          <w:sz w:val="15"/>
          <w:szCs w:val="15"/>
          <w:color w:val="auto"/>
        </w:rPr>
        <w:t>Shenandoah Telephone participates in the access revenue pools</w:t>
      </w:r>
      <w:r>
        <w:rPr>
          <w:rFonts w:ascii="Arial" w:cs="Arial" w:eastAsia="Arial" w:hAnsi="Arial"/>
          <w:sz w:val="15"/>
          <w:szCs w:val="15"/>
          <w:i w:val="1"/>
          <w:iCs w:val="1"/>
          <w:color w:val="auto"/>
        </w:rPr>
        <w:t xml:space="preserve"> </w:t>
      </w:r>
      <w:r>
        <w:rPr>
          <w:rFonts w:ascii="Arial" w:cs="Arial" w:eastAsia="Arial" w:hAnsi="Arial"/>
          <w:sz w:val="15"/>
          <w:szCs w:val="15"/>
          <w:color w:val="auto"/>
        </w:rPr>
        <w:t>administered by the FCC-supervised National Exchange Carrier Association (“NECA”), which collects and distributes the revenues from interstate access charges that long-distance carriers pay us for originating and terminating interstate calls over our network. Shenandoah Telephone also participates in some NECA tariffs that govern the rates, terms, and conditions of our interstate access offerings. Some of those tariffs are under review by the FCC, and we may be obligated to refund affected access charges collected in the past or in the future if the FCC ultimately finds that the tariffed rates were unreasonable. We cannot predict whether, when, and to what extent such refunds may be due.</w:t>
      </w:r>
    </w:p>
    <w:p>
      <w:pPr>
        <w:spacing w:after="0" w:line="95" w:lineRule="exact"/>
        <w:rPr>
          <w:sz w:val="20"/>
          <w:szCs w:val="20"/>
          <w:color w:val="auto"/>
        </w:rPr>
      </w:pPr>
    </w:p>
    <w:p>
      <w:pPr>
        <w:ind w:right="2139"/>
        <w:spacing w:after="0" w:line="314" w:lineRule="auto"/>
        <w:rPr>
          <w:sz w:val="20"/>
          <w:szCs w:val="20"/>
          <w:color w:val="auto"/>
        </w:rPr>
      </w:pPr>
      <w:r>
        <w:rPr>
          <w:rFonts w:ascii="Arial" w:cs="Arial" w:eastAsia="Arial" w:hAnsi="Arial"/>
          <w:sz w:val="15"/>
          <w:szCs w:val="15"/>
          <w:color w:val="auto"/>
        </w:rPr>
        <w:t>The FCC is considering a number of broad possible changes to the rules governing the interstate access rates charged by small-to-mid-sized ILECs such as Shenandoah Telephone. For example, the FCC is considering proposals to overhaul the rules regarding inter-carrier compensation, including interstate and intrastate access charges. These changes might include substantial reductions in the access charges paid by long distance carriers – possibly to zero, under a so-called “bill and keep” regime – accompanied by increases to the subscriber line charges paid by business and residential end users.</w:t>
      </w:r>
    </w:p>
    <w:p>
      <w:pPr>
        <w:spacing w:after="0" w:line="91" w:lineRule="exact"/>
        <w:rPr>
          <w:sz w:val="20"/>
          <w:szCs w:val="20"/>
          <w:color w:val="auto"/>
        </w:rPr>
      </w:pPr>
    </w:p>
    <w:p>
      <w:pPr>
        <w:ind w:right="2159"/>
        <w:spacing w:after="0" w:line="289" w:lineRule="auto"/>
        <w:rPr>
          <w:sz w:val="20"/>
          <w:szCs w:val="20"/>
          <w:color w:val="auto"/>
        </w:rPr>
      </w:pPr>
      <w:r>
        <w:rPr>
          <w:rFonts w:ascii="Arial" w:cs="Arial" w:eastAsia="Arial" w:hAnsi="Arial"/>
          <w:sz w:val="16"/>
          <w:szCs w:val="16"/>
          <w:color w:val="auto"/>
        </w:rPr>
        <w:t>The FCC is also considering implementing incentive-type regulation for rate of return carriers, including us. The FCC is also considering additional questions regarding what compensation wireless carriers, competitive local exchange carriers, VOIP providers, and providers of other Internet-enabled services should pay (and receive) for their traffic interconnected with ILEC networks. For example, the FCC has adopted policy changes that could increase the amounts of payments from ILECs to competitive local exchange carriers that send traffic to dial-up Internet service providers, and the FCC is considering further changes to its policies governing these payments. These changes are likely to increase our expenses, but at this time we cannot estimate the amount of such additional expenses.</w:t>
      </w:r>
    </w:p>
    <w:p>
      <w:pPr>
        <w:spacing w:after="0" w:line="105" w:lineRule="exact"/>
        <w:rPr>
          <w:sz w:val="20"/>
          <w:szCs w:val="20"/>
          <w:color w:val="auto"/>
        </w:rPr>
      </w:pPr>
    </w:p>
    <w:p>
      <w:pPr>
        <w:ind w:right="2259"/>
        <w:spacing w:after="0" w:line="288" w:lineRule="auto"/>
        <w:rPr>
          <w:sz w:val="20"/>
          <w:szCs w:val="20"/>
          <w:color w:val="auto"/>
        </w:rPr>
      </w:pPr>
      <w:r>
        <w:rPr>
          <w:rFonts w:ascii="Arial" w:cs="Arial" w:eastAsia="Arial" w:hAnsi="Arial"/>
          <w:sz w:val="16"/>
          <w:szCs w:val="16"/>
          <w:color w:val="auto"/>
        </w:rPr>
        <w:t>Interstate and intrastate access charges are an important source of revenues for Shenandoah Telephone’s operations. Unless these revenues can be recovered through a new universal service mechanism, or be reflected in higher rates to the local end user, or unless other methods of cost recovery can be created, the loss of revenues could be significant. There can be no assurance that access charges will be continued or that sufficient substitutes for the lost revenues will be provided. If access charges are reduced without sufficient substitutes for the lost revenues, this could have a material adverse effect on our financial condition, results of operations and cash flows. In addition, changes to the inter-carrier compensation rules and policies could have a material impact on our competitive position vis-a-vis other service providers.</w:t>
      </w:r>
    </w:p>
    <w:p>
      <w:pPr>
        <w:spacing w:after="0" w:line="106" w:lineRule="exact"/>
        <w:rPr>
          <w:sz w:val="20"/>
          <w:szCs w:val="20"/>
          <w:color w:val="auto"/>
        </w:rPr>
      </w:pPr>
    </w:p>
    <w:p>
      <w:pPr>
        <w:jc w:val="both"/>
        <w:ind w:right="2259"/>
        <w:spacing w:after="0" w:line="259" w:lineRule="auto"/>
        <w:rPr>
          <w:sz w:val="20"/>
          <w:szCs w:val="20"/>
          <w:color w:val="auto"/>
        </w:rPr>
      </w:pPr>
      <w:r>
        <w:rPr>
          <w:rFonts w:ascii="Arial" w:cs="Arial" w:eastAsia="Arial" w:hAnsi="Arial"/>
          <w:sz w:val="18"/>
          <w:szCs w:val="18"/>
          <w:i w:val="1"/>
          <w:iCs w:val="1"/>
          <w:color w:val="auto"/>
        </w:rPr>
        <w:t xml:space="preserve">Universal Service Fund. </w:t>
      </w:r>
      <w:r>
        <w:rPr>
          <w:rFonts w:ascii="Arial" w:cs="Arial" w:eastAsia="Arial" w:hAnsi="Arial"/>
          <w:sz w:val="18"/>
          <w:szCs w:val="18"/>
          <w:color w:val="auto"/>
        </w:rPr>
        <w:t>Shenandoah Telephone receives revenues from the federal universal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fund (“USF”). As discussed above (with respect to wireless regulation), the FCC is considering major changes to the rules regarding carriers</w:t>
      </w:r>
    </w:p>
    <w:p>
      <w:pPr>
        <w:spacing w:after="0" w:line="194"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146050</wp:posOffset>
            </wp:positionV>
            <wp:extent cx="5166995" cy="469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9399"/>
          </w:cols>
          <w:pgMar w:left="1060" w:top="388" w:right="1440" w:bottom="1440" w:gutter="0" w:footer="0" w:header="0"/>
        </w:sectPr>
      </w:pPr>
    </w:p>
    <w:bookmarkStart w:id="22" w:name="page23"/>
    <w:bookmarkEnd w:id="22"/>
    <w:p>
      <w:pPr>
        <w:ind w:right="2419"/>
        <w:spacing w:after="0" w:line="286" w:lineRule="auto"/>
        <w:rPr>
          <w:sz w:val="20"/>
          <w:szCs w:val="20"/>
          <w:color w:val="auto"/>
        </w:rPr>
      </w:pPr>
      <w:r>
        <w:rPr>
          <w:rFonts w:ascii="Arial" w:cs="Arial" w:eastAsia="Arial" w:hAnsi="Arial"/>
          <w:sz w:val="16"/>
          <w:szCs w:val="16"/>
          <w:color w:val="auto"/>
        </w:rPr>
        <w:t>mandated payments into the fund. In addition, the FCC is considering potential changes to the rules governing disbursements from the universal service fund to rural ILECs such as</w:t>
      </w:r>
    </w:p>
    <w:p>
      <w:pPr>
        <w:ind w:right="2199"/>
        <w:spacing w:after="0" w:line="286" w:lineRule="auto"/>
        <w:rPr>
          <w:sz w:val="20"/>
          <w:szCs w:val="20"/>
          <w:color w:val="auto"/>
        </w:rPr>
      </w:pPr>
      <w:r>
        <w:rPr>
          <w:rFonts w:ascii="Arial" w:cs="Arial" w:eastAsia="Arial" w:hAnsi="Arial"/>
          <w:sz w:val="16"/>
          <w:szCs w:val="16"/>
          <w:color w:val="auto"/>
        </w:rPr>
        <w:t>Shenandoah Telephone, and to other providers. These rules are not likely to change until July 2006, if at all, when the current plan governing USF disbursements to rural ILECs which was adopted in 2001, is set to expire. Despite interim adjustments to make the funding more sustainable, the FCC has indicated that additional changes are necessary to stabilize the fund. Total federal funding has doubled since 1998, and some FCC members and members of Congress have expressed concerns that federal funding will soon reach politically unacceptable levels. At the same time, changes to the inter-carrier compensation rules that reduce levels of access charges could be accompanied by increases in the universal service fund. Changes in the USF that reduce the size of the fund and payments to Shenandoah Telephone (or to our PCS operations) could have a material adverse impact on the Company’s financial position, results of operations, and cash flows.</w:t>
      </w:r>
    </w:p>
    <w:p>
      <w:pPr>
        <w:spacing w:after="0" w:line="111" w:lineRule="exact"/>
        <w:rPr>
          <w:sz w:val="20"/>
          <w:szCs w:val="20"/>
          <w:color w:val="auto"/>
        </w:rPr>
      </w:pPr>
    </w:p>
    <w:p>
      <w:pPr>
        <w:ind w:right="2199"/>
        <w:spacing w:after="0" w:line="287" w:lineRule="auto"/>
        <w:rPr>
          <w:sz w:val="20"/>
          <w:szCs w:val="20"/>
          <w:color w:val="auto"/>
        </w:rPr>
      </w:pPr>
      <w:r>
        <w:rPr>
          <w:rFonts w:ascii="Arial" w:cs="Arial" w:eastAsia="Arial" w:hAnsi="Arial"/>
          <w:sz w:val="16"/>
          <w:szCs w:val="16"/>
          <w:color w:val="auto"/>
        </w:rPr>
        <w:t>All forms of federal USF support available to incumbent local exchange carriers are now “portable” to any local competitor that qualifies for support as an “eligible telecommunications carrier.” At least three wireless carriers – Nextel Partners, U.S. Cellular and Virginia Cellular – have received designation as eligible telecommunications carriers in Shenandoah Telephone’s service area. The FCC recently adopted changes that make it somewhat more difficult for wireless carriers and other prospective entrants to obtain designation as eligible telecommunications carriers. The FCC and the Federal-State Joint Board are also currently considering whether to change the rules governing the amount of support to be disbursed to competitive eligible telecommunications carriers, which could make it more or less attractive for wireless carriers and other prospective entrants to enter our Shenandoah Telephone service areas.</w:t>
      </w:r>
    </w:p>
    <w:p>
      <w:pPr>
        <w:spacing w:after="0" w:line="109" w:lineRule="exact"/>
        <w:rPr>
          <w:sz w:val="20"/>
          <w:szCs w:val="20"/>
          <w:color w:val="auto"/>
        </w:rPr>
      </w:pPr>
    </w:p>
    <w:p>
      <w:pPr>
        <w:ind w:right="2139"/>
        <w:spacing w:after="0" w:line="288" w:lineRule="auto"/>
        <w:rPr>
          <w:sz w:val="20"/>
          <w:szCs w:val="20"/>
          <w:color w:val="auto"/>
        </w:rPr>
      </w:pPr>
      <w:r>
        <w:rPr>
          <w:rFonts w:ascii="Arial" w:cs="Arial" w:eastAsia="Arial" w:hAnsi="Arial"/>
          <w:sz w:val="16"/>
          <w:szCs w:val="16"/>
          <w:color w:val="auto"/>
        </w:rPr>
        <w:t>The FCC mandated that, effective on October 1, 2004, the Universal Service Administrative Company (“USAC”) must begin accounting for the USF program in accordance with generally accepted accounting principles for federal agencies, rather than the accounting rules that USAC formerly used. This accounting method change subjected USAC to the Anti-Deficiency Act (the “ADA”), the effect of which could have caused delays in USF payments to USF program recipients and significantly increase the amount of USF regulatory fees charged to wireline and wireless consumers. Since 2004, Congress has adopted short term exemptions for the USAC from the ADA to allow for a more thorough review of the impact the ADA would have on the universal service program. It is likely that Congress will consider additional changes to the USF program during 2006.</w:t>
      </w:r>
    </w:p>
    <w:p>
      <w:pPr>
        <w:spacing w:after="0" w:line="106" w:lineRule="exact"/>
        <w:rPr>
          <w:sz w:val="20"/>
          <w:szCs w:val="20"/>
          <w:color w:val="auto"/>
        </w:rPr>
      </w:pPr>
    </w:p>
    <w:p>
      <w:pPr>
        <w:ind w:right="2219"/>
        <w:spacing w:after="0" w:line="259" w:lineRule="auto"/>
        <w:rPr>
          <w:sz w:val="20"/>
          <w:szCs w:val="20"/>
          <w:color w:val="auto"/>
        </w:rPr>
      </w:pPr>
      <w:r>
        <w:rPr>
          <w:rFonts w:ascii="Arial" w:cs="Arial" w:eastAsia="Arial" w:hAnsi="Arial"/>
          <w:sz w:val="18"/>
          <w:szCs w:val="18"/>
          <w:color w:val="auto"/>
        </w:rPr>
        <w:t>The FCC, USAC, and other authorities have expressed interest in conducting more extensive audits of USF support recipients and conducting other heightened oversight activities. The impact of these activities on the Company, if any, is uncertain.</w:t>
      </w:r>
    </w:p>
    <w:p>
      <w:pPr>
        <w:spacing w:after="0" w:line="127" w:lineRule="exact"/>
        <w:rPr>
          <w:sz w:val="20"/>
          <w:szCs w:val="20"/>
          <w:color w:val="auto"/>
        </w:rPr>
      </w:pPr>
    </w:p>
    <w:p>
      <w:pPr>
        <w:ind w:right="2119"/>
        <w:spacing w:after="0" w:line="288" w:lineRule="auto"/>
        <w:rPr>
          <w:sz w:val="20"/>
          <w:szCs w:val="20"/>
          <w:color w:val="auto"/>
        </w:rPr>
      </w:pPr>
      <w:r>
        <w:rPr>
          <w:rFonts w:ascii="Arial" w:cs="Arial" w:eastAsia="Arial" w:hAnsi="Arial"/>
          <w:sz w:val="16"/>
          <w:szCs w:val="16"/>
          <w:i w:val="1"/>
          <w:iCs w:val="1"/>
          <w:color w:val="auto"/>
        </w:rPr>
        <w:t xml:space="preserve">Other Regulatory Obligations. </w:t>
      </w:r>
      <w:r>
        <w:rPr>
          <w:rFonts w:ascii="Arial" w:cs="Arial" w:eastAsia="Arial" w:hAnsi="Arial"/>
          <w:sz w:val="16"/>
          <w:szCs w:val="16"/>
          <w:color w:val="auto"/>
        </w:rPr>
        <w:t>Shenandoah Telephone, like our PCS operations, is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relating to CPNI, CALEA implementation, interconnection, access to rights of way, number portability, number pooling, accessibility of telecommunications for those with disabilities, and other obligations. Further, like our PCS operations, Shenandoah Telephone in the future may be subject to federal and state requirements being considered to protect consumer privacy. If adopted, these and other such requirements could increase our costs or limit the way we provide or promote our services. In 2005, the FCC ruled that providers of broadband or VOIP services are subject to the requirements of CALEA. A number of entities have appealed this determination and those appeals are pending. We cannot at this time determine whether</w:t>
      </w:r>
    </w:p>
    <w:p>
      <w:pPr>
        <w:spacing w:after="0" w:line="174"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146050</wp:posOffset>
            </wp:positionV>
            <wp:extent cx="5166995" cy="469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9399"/>
          </w:cols>
          <w:pgMar w:left="1060" w:top="388" w:right="1440"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those appeals will be successful or, if they are, the effect they will have on us and our competitors.</w:t>
      </w:r>
    </w:p>
    <w:p>
      <w:pPr>
        <w:spacing w:after="0" w:line="181" w:lineRule="exact"/>
        <w:rPr>
          <w:sz w:val="20"/>
          <w:szCs w:val="20"/>
          <w:color w:val="auto"/>
        </w:rPr>
      </w:pPr>
    </w:p>
    <w:p>
      <w:pPr>
        <w:ind w:right="2119"/>
        <w:spacing w:after="0" w:line="294" w:lineRule="auto"/>
        <w:rPr>
          <w:sz w:val="20"/>
          <w:szCs w:val="20"/>
          <w:color w:val="auto"/>
        </w:rPr>
      </w:pPr>
      <w:r>
        <w:rPr>
          <w:rFonts w:ascii="Arial" w:cs="Arial" w:eastAsia="Arial" w:hAnsi="Arial"/>
          <w:sz w:val="16"/>
          <w:szCs w:val="16"/>
          <w:i w:val="1"/>
          <w:iCs w:val="1"/>
          <w:color w:val="auto"/>
        </w:rPr>
        <w:t>Broadband Services</w:t>
      </w:r>
      <w:r>
        <w:rPr>
          <w:rFonts w:ascii="Arial" w:cs="Arial" w:eastAsia="Arial" w:hAnsi="Arial"/>
          <w:sz w:val="16"/>
          <w:szCs w:val="16"/>
          <w:color w:val="auto"/>
        </w:rPr>
        <w:t>. The FCC and other authorities continue to consider policies to encourage</w:t>
      </w:r>
      <w:r>
        <w:rPr>
          <w:rFonts w:ascii="Arial" w:cs="Arial" w:eastAsia="Arial" w:hAnsi="Arial"/>
          <w:sz w:val="16"/>
          <w:szCs w:val="16"/>
          <w:i w:val="1"/>
          <w:iCs w:val="1"/>
          <w:color w:val="auto"/>
        </w:rPr>
        <w:t xml:space="preserve"> </w:t>
      </w:r>
      <w:r>
        <w:rPr>
          <w:rFonts w:ascii="Arial" w:cs="Arial" w:eastAsia="Arial" w:hAnsi="Arial"/>
          <w:sz w:val="16"/>
          <w:szCs w:val="16"/>
          <w:color w:val="auto"/>
        </w:rPr>
        <w:t>nationwide advanced broadband infrastructure development. For example, the FCC has largely eliminated unbundling obligations relating to broadband facilities, and has largely deregulated DSL and other broadband services offered by ILECs. Such changes benefit our ILEC, but could make it more difficult for us (or for NECA) to tariff and pool DSL costs.</w:t>
      </w:r>
    </w:p>
    <w:p>
      <w:pPr>
        <w:spacing w:after="0" w:line="102" w:lineRule="exact"/>
        <w:rPr>
          <w:sz w:val="20"/>
          <w:szCs w:val="20"/>
          <w:color w:val="auto"/>
        </w:rPr>
      </w:pPr>
    </w:p>
    <w:p>
      <w:pPr>
        <w:ind w:right="2259"/>
        <w:spacing w:after="0" w:line="290" w:lineRule="auto"/>
        <w:rPr>
          <w:sz w:val="20"/>
          <w:szCs w:val="20"/>
          <w:color w:val="auto"/>
        </w:rPr>
      </w:pPr>
      <w:r>
        <w:rPr>
          <w:rFonts w:ascii="Arial" w:cs="Arial" w:eastAsia="Arial" w:hAnsi="Arial"/>
          <w:sz w:val="16"/>
          <w:szCs w:val="16"/>
          <w:i w:val="1"/>
          <w:iCs w:val="1"/>
          <w:color w:val="auto"/>
        </w:rPr>
        <w:t>Long-Distance Services</w:t>
      </w:r>
      <w:r>
        <w:rPr>
          <w:rFonts w:ascii="Arial" w:cs="Arial" w:eastAsia="Arial" w:hAnsi="Arial"/>
          <w:sz w:val="16"/>
          <w:szCs w:val="16"/>
          <w:color w:val="auto"/>
        </w:rPr>
        <w:t>. We provide long distance service to our customers through our subsidiary,</w:t>
      </w:r>
      <w:r>
        <w:rPr>
          <w:rFonts w:ascii="Arial" w:cs="Arial" w:eastAsia="Arial" w:hAnsi="Arial"/>
          <w:sz w:val="16"/>
          <w:szCs w:val="16"/>
          <w:i w:val="1"/>
          <w:iCs w:val="1"/>
          <w:color w:val="auto"/>
        </w:rPr>
        <w:t xml:space="preserve"> </w:t>
      </w:r>
      <w:r>
        <w:rPr>
          <w:rFonts w:ascii="Arial" w:cs="Arial" w:eastAsia="Arial" w:hAnsi="Arial"/>
          <w:sz w:val="16"/>
          <w:szCs w:val="16"/>
          <w:color w:val="auto"/>
        </w:rPr>
        <w:t>Shenandoah Long Distance Company. Our long distance rates are not subject to FCC regulation, but we are required to offer long-distance service through a subsidiary other than Shenandoah Telephone, to disclose our long distance rates on a website, to maintain geographically averaged rates, to pay contributions to the universal service fund and other mandatory payments based on our long-distance revenues, and to comply with other filing and other requirements. We are in compliance with these requirements.</w:t>
      </w:r>
    </w:p>
    <w:p>
      <w:pPr>
        <w:spacing w:after="0" w:line="105" w:lineRule="exact"/>
        <w:rPr>
          <w:sz w:val="20"/>
          <w:szCs w:val="20"/>
          <w:color w:val="auto"/>
        </w:rPr>
      </w:pPr>
    </w:p>
    <w:p>
      <w:pPr>
        <w:ind w:right="2119"/>
        <w:spacing w:after="0" w:line="335" w:lineRule="auto"/>
        <w:rPr>
          <w:sz w:val="20"/>
          <w:szCs w:val="20"/>
          <w:color w:val="auto"/>
        </w:rPr>
      </w:pPr>
      <w:r>
        <w:rPr>
          <w:rFonts w:ascii="Arial" w:cs="Arial" w:eastAsia="Arial" w:hAnsi="Arial"/>
          <w:sz w:val="15"/>
          <w:szCs w:val="15"/>
          <w:i w:val="1"/>
          <w:iCs w:val="1"/>
          <w:color w:val="auto"/>
        </w:rPr>
        <w:t xml:space="preserve">CLEC Operations. </w:t>
      </w:r>
      <w:r>
        <w:rPr>
          <w:rFonts w:ascii="Arial" w:cs="Arial" w:eastAsia="Arial" w:hAnsi="Arial"/>
          <w:sz w:val="15"/>
          <w:szCs w:val="15"/>
          <w:color w:val="auto"/>
        </w:rPr>
        <w:t>We are authorized to operate as a CLEC in Virginia and North Carolina, and have</w:t>
      </w:r>
      <w:r>
        <w:rPr>
          <w:rFonts w:ascii="Arial" w:cs="Arial" w:eastAsia="Arial" w:hAnsi="Arial"/>
          <w:sz w:val="15"/>
          <w:szCs w:val="15"/>
          <w:i w:val="1"/>
          <w:iCs w:val="1"/>
          <w:color w:val="auto"/>
        </w:rPr>
        <w:t xml:space="preserve"> </w:t>
      </w:r>
      <w:r>
        <w:rPr>
          <w:rFonts w:ascii="Arial" w:cs="Arial" w:eastAsia="Arial" w:hAnsi="Arial"/>
          <w:sz w:val="15"/>
          <w:szCs w:val="15"/>
          <w:color w:val="auto"/>
        </w:rPr>
        <w:t>applied for authority to operate as a CLEC in West Virginia. CLECs generally are subject to federal and state regulations that are similar to, but not as stringent as, those that apply to our ILEC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Cable Television and Other Video Service Operations</w:t>
      </w:r>
    </w:p>
    <w:p>
      <w:pPr>
        <w:spacing w:after="0" w:line="164" w:lineRule="exact"/>
        <w:rPr>
          <w:sz w:val="20"/>
          <w:szCs w:val="20"/>
          <w:color w:val="auto"/>
        </w:rPr>
      </w:pPr>
    </w:p>
    <w:p>
      <w:pPr>
        <w:ind w:right="2379"/>
        <w:spacing w:after="0" w:line="255" w:lineRule="auto"/>
        <w:rPr>
          <w:sz w:val="20"/>
          <w:szCs w:val="20"/>
          <w:color w:val="auto"/>
        </w:rPr>
      </w:pPr>
      <w:r>
        <w:rPr>
          <w:rFonts w:ascii="Arial" w:cs="Arial" w:eastAsia="Arial" w:hAnsi="Arial"/>
          <w:sz w:val="18"/>
          <w:szCs w:val="18"/>
          <w:color w:val="auto"/>
        </w:rPr>
        <w:t>Through Shenandoah Cable Company, we hold franchises to provide cable service in the following jurisdictions within Virginia: Mount Jackson; New Market; the unincorporated areas of Shenandoah County; Strasburg; Toms Brook and Woodstock. Through Converged Services of West Virginia, we have an application pending for a franchise to provide cable service in the City of Ranson, West Virginia.</w:t>
      </w:r>
    </w:p>
    <w:p>
      <w:pPr>
        <w:spacing w:after="0" w:line="129" w:lineRule="exact"/>
        <w:rPr>
          <w:sz w:val="20"/>
          <w:szCs w:val="20"/>
          <w:color w:val="auto"/>
        </w:rPr>
      </w:pPr>
    </w:p>
    <w:p>
      <w:pPr>
        <w:jc w:val="both"/>
        <w:ind w:right="2219"/>
        <w:spacing w:after="0" w:line="335" w:lineRule="auto"/>
        <w:rPr>
          <w:sz w:val="20"/>
          <w:szCs w:val="20"/>
          <w:color w:val="auto"/>
        </w:rPr>
      </w:pPr>
      <w:r>
        <w:rPr>
          <w:rFonts w:ascii="Arial" w:cs="Arial" w:eastAsia="Arial" w:hAnsi="Arial"/>
          <w:sz w:val="15"/>
          <w:szCs w:val="15"/>
          <w:color w:val="auto"/>
        </w:rPr>
        <w:t>The provision of cable service generally is subject to regulation by the FCC and must comply with the terms of the franchise agreement between the provider and the local franchising authority. Some states have enacted regulations that also can affect certain aspects of a cable service provider’s operations.</w:t>
      </w:r>
    </w:p>
    <w:p>
      <w:pPr>
        <w:spacing w:after="0" w:line="75" w:lineRule="exact"/>
        <w:rPr>
          <w:sz w:val="20"/>
          <w:szCs w:val="20"/>
          <w:color w:val="auto"/>
        </w:rPr>
      </w:pPr>
    </w:p>
    <w:p>
      <w:pPr>
        <w:ind w:right="2199"/>
        <w:spacing w:after="0" w:line="287" w:lineRule="auto"/>
        <w:rPr>
          <w:sz w:val="20"/>
          <w:szCs w:val="20"/>
          <w:color w:val="auto"/>
        </w:rPr>
      </w:pPr>
      <w:r>
        <w:rPr>
          <w:rFonts w:ascii="Arial" w:cs="Arial" w:eastAsia="Arial" w:hAnsi="Arial"/>
          <w:sz w:val="16"/>
          <w:szCs w:val="16"/>
          <w:i w:val="1"/>
          <w:iCs w:val="1"/>
          <w:color w:val="auto"/>
        </w:rPr>
        <w:t>Pricing and Packaging</w:t>
      </w:r>
      <w:r>
        <w:rPr>
          <w:rFonts w:ascii="Arial" w:cs="Arial" w:eastAsia="Arial" w:hAnsi="Arial"/>
          <w:sz w:val="16"/>
          <w:szCs w:val="16"/>
          <w:color w:val="auto"/>
        </w:rPr>
        <w:t>. The Communications Act and the FCC’s regulations and policies limit the</w:t>
      </w:r>
      <w:r>
        <w:rPr>
          <w:rFonts w:ascii="Arial" w:cs="Arial" w:eastAsia="Arial" w:hAnsi="Arial"/>
          <w:sz w:val="16"/>
          <w:szCs w:val="16"/>
          <w:i w:val="1"/>
          <w:iCs w:val="1"/>
          <w:color w:val="auto"/>
        </w:rPr>
        <w:t xml:space="preserve"> </w:t>
      </w:r>
      <w:r>
        <w:rPr>
          <w:rFonts w:ascii="Arial" w:cs="Arial" w:eastAsia="Arial" w:hAnsi="Arial"/>
          <w:sz w:val="16"/>
          <w:szCs w:val="16"/>
          <w:color w:val="auto"/>
        </w:rPr>
        <w:t>prices that cable service providers not subject to certain levels of competition may charge for basic services and equipment. Failure to comply with these rules can result in rate reductions or refunds to subscribers. Congress and the FCC from time to time consider imposing new pricing restrictions on cable service providers. We cannot predict whether or when such new pricing restrictions may be imposed on it or what effect they would have on our ability to provide cable service. Congress and the FCC also from time to time consider imposing new regulations on the packaging of cable programming, including a la carte requirements. We cannot predict whether or when such packaging regulations may be imposed on us or what effect such regulations would have on our ability to provide cable service.</w:t>
      </w:r>
    </w:p>
    <w:p>
      <w:pPr>
        <w:spacing w:after="0" w:line="109" w:lineRule="exact"/>
        <w:rPr>
          <w:sz w:val="20"/>
          <w:szCs w:val="20"/>
          <w:color w:val="auto"/>
        </w:rPr>
      </w:pPr>
    </w:p>
    <w:p>
      <w:pPr>
        <w:ind w:right="2219"/>
        <w:spacing w:after="0" w:line="255" w:lineRule="auto"/>
        <w:rPr>
          <w:sz w:val="20"/>
          <w:szCs w:val="20"/>
          <w:color w:val="auto"/>
        </w:rPr>
      </w:pPr>
      <w:r>
        <w:rPr>
          <w:rFonts w:ascii="Arial" w:cs="Arial" w:eastAsia="Arial" w:hAnsi="Arial"/>
          <w:sz w:val="18"/>
          <w:szCs w:val="18"/>
          <w:i w:val="1"/>
          <w:iCs w:val="1"/>
          <w:color w:val="auto"/>
        </w:rPr>
        <w:t xml:space="preserve">Must-Carry/Retransmission Consent. </w:t>
      </w:r>
      <w:r>
        <w:rPr>
          <w:rFonts w:ascii="Arial" w:cs="Arial" w:eastAsia="Arial" w:hAnsi="Arial"/>
          <w:sz w:val="18"/>
          <w:szCs w:val="18"/>
          <w:color w:val="auto"/>
        </w:rPr>
        <w:t>Cable service providers are required by law to carry on their</w:t>
      </w:r>
      <w:r>
        <w:rPr>
          <w:rFonts w:ascii="Arial" w:cs="Arial" w:eastAsia="Arial" w:hAnsi="Arial"/>
          <w:sz w:val="18"/>
          <w:szCs w:val="18"/>
          <w:i w:val="1"/>
          <w:iCs w:val="1"/>
          <w:color w:val="auto"/>
        </w:rPr>
        <w:t xml:space="preserve"> </w:t>
      </w:r>
      <w:r>
        <w:rPr>
          <w:rFonts w:ascii="Arial" w:cs="Arial" w:eastAsia="Arial" w:hAnsi="Arial"/>
          <w:sz w:val="18"/>
          <w:szCs w:val="18"/>
          <w:color w:val="auto"/>
        </w:rPr>
        <w:t>cable systems most commercial and non-commercial local television programming; this is known as “must-carry.” Alternatively, local television stations may insist that a cable service provider negotiate for “retransmission consent,” which can enable a popular local television station to obtain concessions from the cable</w:t>
      </w:r>
    </w:p>
    <w:p>
      <w:pPr>
        <w:spacing w:after="0" w:line="197"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146050</wp:posOffset>
            </wp:positionV>
            <wp:extent cx="5166995" cy="469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9399"/>
          </w:cols>
          <w:pgMar w:left="1060" w:top="388" w:right="1440" w:bottom="1440" w:gutter="0" w:footer="0" w:header="0"/>
        </w:sectPr>
      </w:pPr>
    </w:p>
    <w:bookmarkStart w:id="24" w:name="page25"/>
    <w:bookmarkEnd w:id="24"/>
    <w:p>
      <w:pPr>
        <w:ind w:right="2159"/>
        <w:spacing w:after="0" w:line="288" w:lineRule="auto"/>
        <w:rPr>
          <w:sz w:val="20"/>
          <w:szCs w:val="20"/>
          <w:color w:val="auto"/>
        </w:rPr>
      </w:pPr>
      <w:r>
        <w:rPr>
          <w:rFonts w:ascii="Arial" w:cs="Arial" w:eastAsia="Arial" w:hAnsi="Arial"/>
          <w:sz w:val="16"/>
          <w:szCs w:val="16"/>
          <w:color w:val="auto"/>
        </w:rPr>
        <w:t>service provider for the right to carry the station’s signal. As a general matter, most local television stations today are carried by cable service providers under the “must-carry” obligation. If local television stations are able to obtain concessions in the future from cable service providers for the right to carry station signals, the cost of providing cable service for all providers, including us, could increase. As part of the transition to digital television, the FCC has considered whether cable service providers should be required to carry multiple programming streams that each broadcaster may include within its digital transmission. Although the FCC has thus far ruled against such expanded must-carry obligations, we cannot predict whether such a requirement may result from further FCC proceedings, judicial action, or legislation.</w:t>
      </w:r>
    </w:p>
    <w:p>
      <w:pPr>
        <w:spacing w:after="0" w:line="106" w:lineRule="exact"/>
        <w:rPr>
          <w:sz w:val="20"/>
          <w:szCs w:val="20"/>
          <w:color w:val="auto"/>
        </w:rPr>
      </w:pPr>
    </w:p>
    <w:p>
      <w:pPr>
        <w:ind w:right="2199"/>
        <w:spacing w:after="0" w:line="290" w:lineRule="auto"/>
        <w:rPr>
          <w:sz w:val="20"/>
          <w:szCs w:val="20"/>
          <w:color w:val="auto"/>
        </w:rPr>
      </w:pPr>
      <w:r>
        <w:rPr>
          <w:rFonts w:ascii="Arial" w:cs="Arial" w:eastAsia="Arial" w:hAnsi="Arial"/>
          <w:sz w:val="16"/>
          <w:szCs w:val="16"/>
          <w:i w:val="1"/>
          <w:iCs w:val="1"/>
          <w:color w:val="auto"/>
        </w:rPr>
        <w:t xml:space="preserve">Programming Costs. </w:t>
      </w:r>
      <w:r>
        <w:rPr>
          <w:rFonts w:ascii="Arial" w:cs="Arial" w:eastAsia="Arial" w:hAnsi="Arial"/>
          <w:sz w:val="16"/>
          <w:szCs w:val="16"/>
          <w:color w:val="auto"/>
        </w:rPr>
        <w:t>Satellite-delivered cable programming, such as ESPN, HBO and the Discovery</w:t>
      </w:r>
      <w:r>
        <w:rPr>
          <w:rFonts w:ascii="Arial" w:cs="Arial" w:eastAsia="Arial" w:hAnsi="Arial"/>
          <w:sz w:val="16"/>
          <w:szCs w:val="16"/>
          <w:i w:val="1"/>
          <w:iCs w:val="1"/>
          <w:color w:val="auto"/>
        </w:rPr>
        <w:t xml:space="preserve"> </w:t>
      </w:r>
      <w:r>
        <w:rPr>
          <w:rFonts w:ascii="Arial" w:cs="Arial" w:eastAsia="Arial" w:hAnsi="Arial"/>
          <w:sz w:val="16"/>
          <w:szCs w:val="16"/>
          <w:color w:val="auto"/>
        </w:rPr>
        <w:t>Channel, is not subject to must-carry/retransmission consent regulations. Rather, cable service providers negotiate directly with satellite-delivered cable programmers for the right to carry their programming. The cost of acquiring the right to carry satellite-delivered cable programming can increase as the popularity of such programming increases. We cannot predict the extent to which such programming costs may increase in the future or the effect such cost increases may have on our ability to provide cable service.</w:t>
      </w:r>
    </w:p>
    <w:p>
      <w:pPr>
        <w:spacing w:after="0" w:line="105" w:lineRule="exact"/>
        <w:rPr>
          <w:sz w:val="20"/>
          <w:szCs w:val="20"/>
          <w:color w:val="auto"/>
        </w:rPr>
      </w:pPr>
    </w:p>
    <w:p>
      <w:pPr>
        <w:ind w:right="2279"/>
        <w:spacing w:after="0" w:line="314" w:lineRule="auto"/>
        <w:rPr>
          <w:sz w:val="20"/>
          <w:szCs w:val="20"/>
          <w:color w:val="auto"/>
        </w:rPr>
      </w:pPr>
      <w:r>
        <w:rPr>
          <w:rFonts w:ascii="Arial" w:cs="Arial" w:eastAsia="Arial" w:hAnsi="Arial"/>
          <w:sz w:val="15"/>
          <w:szCs w:val="15"/>
          <w:i w:val="1"/>
          <w:iCs w:val="1"/>
          <w:color w:val="auto"/>
        </w:rPr>
        <w:t xml:space="preserve">Program Access. </w:t>
      </w:r>
      <w:r>
        <w:rPr>
          <w:rFonts w:ascii="Arial" w:cs="Arial" w:eastAsia="Arial" w:hAnsi="Arial"/>
          <w:sz w:val="15"/>
          <w:szCs w:val="15"/>
          <w:color w:val="auto"/>
        </w:rPr>
        <w:t>The Communications Act and the FCC’s program access rules generally limit the</w:t>
      </w:r>
      <w:r>
        <w:rPr>
          <w:rFonts w:ascii="Arial" w:cs="Arial" w:eastAsia="Arial" w:hAnsi="Arial"/>
          <w:sz w:val="15"/>
          <w:szCs w:val="15"/>
          <w:i w:val="1"/>
          <w:iCs w:val="1"/>
          <w:color w:val="auto"/>
        </w:rPr>
        <w:t xml:space="preserve"> </w:t>
      </w:r>
      <w:r>
        <w:rPr>
          <w:rFonts w:ascii="Arial" w:cs="Arial" w:eastAsia="Arial" w:hAnsi="Arial"/>
          <w:sz w:val="15"/>
          <w:szCs w:val="15"/>
          <w:color w:val="auto"/>
        </w:rPr>
        <w:t>ability of cable service providers to enter into exclusive programming arrangements with affiliated satellite-delivered cable programmers. This restriction is scheduled to expire in October 2007. We cannot predict whether this restriction indeed will expire as scheduled or, if it does not, whether exclusive programming agreements between cable service providers and their programming affiliates will limit the number and type of programming we will be able to carry on our cable systems.</w:t>
      </w:r>
    </w:p>
    <w:p>
      <w:pPr>
        <w:spacing w:after="0" w:line="91" w:lineRule="exact"/>
        <w:rPr>
          <w:sz w:val="20"/>
          <w:szCs w:val="20"/>
          <w:color w:val="auto"/>
        </w:rPr>
      </w:pPr>
    </w:p>
    <w:p>
      <w:pPr>
        <w:ind w:right="2159"/>
        <w:spacing w:after="0" w:line="287" w:lineRule="auto"/>
        <w:rPr>
          <w:sz w:val="20"/>
          <w:szCs w:val="20"/>
          <w:color w:val="auto"/>
        </w:rPr>
      </w:pPr>
      <w:r>
        <w:rPr>
          <w:rFonts w:ascii="Arial" w:cs="Arial" w:eastAsia="Arial" w:hAnsi="Arial"/>
          <w:sz w:val="16"/>
          <w:szCs w:val="16"/>
          <w:i w:val="1"/>
          <w:iCs w:val="1"/>
          <w:color w:val="auto"/>
        </w:rPr>
        <w:t xml:space="preserve">Franchise Matters. </w:t>
      </w:r>
      <w:r>
        <w:rPr>
          <w:rFonts w:ascii="Arial" w:cs="Arial" w:eastAsia="Arial" w:hAnsi="Arial"/>
          <w:sz w:val="16"/>
          <w:szCs w:val="16"/>
          <w:color w:val="auto"/>
        </w:rPr>
        <w:t>Cable service providers generally must apply for and obtain non-exclusive</w:t>
      </w:r>
      <w:r>
        <w:rPr>
          <w:rFonts w:ascii="Arial" w:cs="Arial" w:eastAsia="Arial" w:hAnsi="Arial"/>
          <w:sz w:val="16"/>
          <w:szCs w:val="16"/>
          <w:i w:val="1"/>
          <w:iCs w:val="1"/>
          <w:color w:val="auto"/>
        </w:rPr>
        <w:t xml:space="preserve"> </w:t>
      </w:r>
      <w:r>
        <w:rPr>
          <w:rFonts w:ascii="Arial" w:cs="Arial" w:eastAsia="Arial" w:hAnsi="Arial"/>
          <w:sz w:val="16"/>
          <w:szCs w:val="16"/>
          <w:color w:val="auto"/>
        </w:rPr>
        <w:t>franchises from local or state franchising authorities before providing cable service. The terms and conditions of franchises vary among jurisdictions, but franchises generally last for a fixed term, require the cable service provider to pay a franchise fee, and contain certain service quality and customer service obligations. A small number of states today have processes in place for obtaining state-wide franchises, and legislation is under consideration in Congress and in various states, including those in which we provide some form of video service, that would require the implementation of state-wide franchising processes. Although we cannot predict whether state-wide franchising will become ubiquitous, it would, if implemented, likely lower barriers to entry and increase competition in the marketplace for video services.</w:t>
      </w:r>
    </w:p>
    <w:p>
      <w:pPr>
        <w:spacing w:after="0" w:line="109" w:lineRule="exact"/>
        <w:rPr>
          <w:sz w:val="20"/>
          <w:szCs w:val="20"/>
          <w:color w:val="auto"/>
        </w:rPr>
      </w:pPr>
    </w:p>
    <w:p>
      <w:pPr>
        <w:ind w:right="2119"/>
        <w:spacing w:after="0" w:line="253" w:lineRule="auto"/>
        <w:rPr>
          <w:sz w:val="20"/>
          <w:szCs w:val="20"/>
          <w:color w:val="auto"/>
        </w:rPr>
      </w:pPr>
      <w:r>
        <w:rPr>
          <w:rFonts w:ascii="Arial" w:cs="Arial" w:eastAsia="Arial" w:hAnsi="Arial"/>
          <w:sz w:val="18"/>
          <w:szCs w:val="18"/>
          <w:i w:val="1"/>
          <w:iCs w:val="1"/>
          <w:color w:val="auto"/>
        </w:rPr>
        <w:t xml:space="preserve">Leased Access/PEG. </w:t>
      </w:r>
      <w:r>
        <w:rPr>
          <w:rFonts w:ascii="Arial" w:cs="Arial" w:eastAsia="Arial" w:hAnsi="Arial"/>
          <w:sz w:val="18"/>
          <w:szCs w:val="18"/>
          <w:color w:val="auto"/>
        </w:rPr>
        <w:t>The Communications Act permits franchising authorities to require cable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providers to set aside the use of channels for public, education and governmental access (“PEG”) programming. The Communications Act also requires certain cable systems to make available a portion of its capacity for commercial leased access by third parties that would compete with programming offered by the cable service provider. Increases in the amount of required leased access or PEG programming could reduce the number of channels available to us to provide other types of programming to subscribers.</w:t>
      </w:r>
    </w:p>
    <w:p>
      <w:pPr>
        <w:spacing w:after="0" w:line="134" w:lineRule="exact"/>
        <w:rPr>
          <w:sz w:val="20"/>
          <w:szCs w:val="20"/>
          <w:color w:val="auto"/>
        </w:rPr>
      </w:pPr>
    </w:p>
    <w:p>
      <w:pPr>
        <w:ind w:right="2479"/>
        <w:spacing w:after="0" w:line="298" w:lineRule="auto"/>
        <w:rPr>
          <w:sz w:val="20"/>
          <w:szCs w:val="20"/>
          <w:color w:val="auto"/>
        </w:rPr>
      </w:pPr>
      <w:r>
        <w:rPr>
          <w:rFonts w:ascii="Arial" w:cs="Arial" w:eastAsia="Arial" w:hAnsi="Arial"/>
          <w:sz w:val="16"/>
          <w:szCs w:val="16"/>
          <w:i w:val="1"/>
          <w:iCs w:val="1"/>
          <w:color w:val="auto"/>
        </w:rPr>
        <w:t>Preferred Access and Inside Wiring</w:t>
      </w:r>
      <w:r>
        <w:rPr>
          <w:rFonts w:ascii="Arial" w:cs="Arial" w:eastAsia="Arial" w:hAnsi="Arial"/>
          <w:sz w:val="16"/>
          <w:szCs w:val="16"/>
          <w:color w:val="auto"/>
        </w:rPr>
        <w:t>. We are a party to agreements that enable us to serve as the</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or exclusive provider of cable and other services in certain buildings and developments. Certain states have enacted laws and regulations that discourage or prevent such agreements; other states in which we operate are considering</w:t>
      </w:r>
    </w:p>
    <w:p>
      <w:pPr>
        <w:spacing w:after="0" w:line="167"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146050</wp:posOffset>
            </wp:positionV>
            <wp:extent cx="5166995" cy="469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9399"/>
          </w:cols>
          <w:pgMar w:left="1060" w:top="388" w:right="1440" w:bottom="1440" w:gutter="0" w:footer="0" w:header="0"/>
        </w:sectPr>
      </w:pPr>
    </w:p>
    <w:bookmarkStart w:id="25" w:name="page26"/>
    <w:bookmarkEnd w:id="25"/>
    <w:p>
      <w:pPr>
        <w:ind w:right="2119"/>
        <w:spacing w:after="0" w:line="294" w:lineRule="auto"/>
        <w:rPr>
          <w:sz w:val="20"/>
          <w:szCs w:val="20"/>
          <w:color w:val="auto"/>
        </w:rPr>
      </w:pPr>
      <w:r>
        <w:rPr>
          <w:rFonts w:ascii="Arial" w:cs="Arial" w:eastAsia="Arial" w:hAnsi="Arial"/>
          <w:sz w:val="16"/>
          <w:szCs w:val="16"/>
          <w:color w:val="auto"/>
        </w:rPr>
        <w:t>enacting such laws and regulations while others are not. Our ability to preserve our existing agreements and enter into new agreements will depend in part on the extent to which applicable federal and state laws and regulations continue to permit this activity. Changes to federal and state regulations governing the ownership and control over inside wiring in a subscriber’s premises also may affect our ability to enter into preferred or exclusive agreements.</w:t>
      </w:r>
    </w:p>
    <w:p>
      <w:pPr>
        <w:spacing w:after="0" w:line="102" w:lineRule="exact"/>
        <w:rPr>
          <w:sz w:val="20"/>
          <w:szCs w:val="20"/>
          <w:color w:val="auto"/>
        </w:rPr>
      </w:pPr>
    </w:p>
    <w:p>
      <w:pPr>
        <w:ind w:right="2259"/>
        <w:spacing w:after="0" w:line="255" w:lineRule="auto"/>
        <w:rPr>
          <w:sz w:val="20"/>
          <w:szCs w:val="20"/>
          <w:color w:val="auto"/>
        </w:rPr>
      </w:pPr>
      <w:r>
        <w:rPr>
          <w:rFonts w:ascii="Arial" w:cs="Arial" w:eastAsia="Arial" w:hAnsi="Arial"/>
          <w:sz w:val="18"/>
          <w:szCs w:val="18"/>
          <w:i w:val="1"/>
          <w:iCs w:val="1"/>
          <w:color w:val="auto"/>
        </w:rPr>
        <w:t xml:space="preserve">Other Issues. </w:t>
      </w:r>
      <w:r>
        <w:rPr>
          <w:rFonts w:ascii="Arial" w:cs="Arial" w:eastAsia="Arial" w:hAnsi="Arial"/>
          <w:sz w:val="18"/>
          <w:szCs w:val="18"/>
          <w:color w:val="auto"/>
        </w:rPr>
        <w:t>Our ability to provide cable service may be affected by a wide range of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and related issues, including those pertaining to set-top boxes, equipment connectivity, content regulation, pole attachments, privacy, copyright, technical standards, and municipal entry into video. We cannot predict the nature and pace of these and other developments or the effect they may have on our operations.</w:t>
      </w:r>
    </w:p>
    <w:p>
      <w:pPr>
        <w:spacing w:after="0" w:line="129" w:lineRule="exact"/>
        <w:rPr>
          <w:sz w:val="20"/>
          <w:szCs w:val="20"/>
          <w:color w:val="auto"/>
        </w:rPr>
      </w:pPr>
    </w:p>
    <w:p>
      <w:pPr>
        <w:ind w:right="2139"/>
        <w:spacing w:after="0" w:line="290" w:lineRule="auto"/>
        <w:rPr>
          <w:sz w:val="20"/>
          <w:szCs w:val="20"/>
          <w:color w:val="auto"/>
        </w:rPr>
      </w:pPr>
      <w:r>
        <w:rPr>
          <w:rFonts w:ascii="Arial" w:cs="Arial" w:eastAsia="Arial" w:hAnsi="Arial"/>
          <w:sz w:val="16"/>
          <w:szCs w:val="16"/>
          <w:i w:val="1"/>
          <w:iCs w:val="1"/>
          <w:color w:val="auto"/>
        </w:rPr>
        <w:t xml:space="preserve">Private Cable Service. </w:t>
      </w:r>
      <w:r>
        <w:rPr>
          <w:rFonts w:ascii="Arial" w:cs="Arial" w:eastAsia="Arial" w:hAnsi="Arial"/>
          <w:sz w:val="16"/>
          <w:szCs w:val="16"/>
          <w:color w:val="auto"/>
        </w:rPr>
        <w:t>Two of our operating subsidiaries, Shentel Converged Services, Inc. and NTC</w:t>
      </w:r>
      <w:r>
        <w:rPr>
          <w:rFonts w:ascii="Arial" w:cs="Arial" w:eastAsia="Arial" w:hAnsi="Arial"/>
          <w:sz w:val="16"/>
          <w:szCs w:val="16"/>
          <w:i w:val="1"/>
          <w:iCs w:val="1"/>
          <w:color w:val="auto"/>
        </w:rPr>
        <w:t xml:space="preserve"> </w:t>
      </w:r>
      <w:r>
        <w:rPr>
          <w:rFonts w:ascii="Arial" w:cs="Arial" w:eastAsia="Arial" w:hAnsi="Arial"/>
          <w:sz w:val="16"/>
          <w:szCs w:val="16"/>
          <w:color w:val="auto"/>
        </w:rPr>
        <w:t>Communication, LLC, provide a combination of voice, video and data services to residents of MDU’s such as apartment buildings. These operating subsidiaries have limited regulatory obligations in connection with the video portion of their service offering because they do not use any public rights-of-way to deliver their service. If, however, the regulatory environment affecting these operating subsidiaries or their video services changes, they may be subject to additional regulatory obligations which could increase their cost of operating, and in turn their ability to compete.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64" w:lineRule="exact"/>
        <w:rPr>
          <w:sz w:val="20"/>
          <w:szCs w:val="20"/>
          <w:color w:val="auto"/>
        </w:rPr>
      </w:pPr>
    </w:p>
    <w:p>
      <w:pPr>
        <w:ind w:right="2119"/>
        <w:spacing w:after="0" w:line="306" w:lineRule="auto"/>
        <w:rPr>
          <w:sz w:val="20"/>
          <w:szCs w:val="20"/>
          <w:color w:val="auto"/>
        </w:rPr>
      </w:pPr>
      <w:r>
        <w:rPr>
          <w:rFonts w:ascii="Arial" w:cs="Arial" w:eastAsia="Arial" w:hAnsi="Arial"/>
          <w:sz w:val="16"/>
          <w:szCs w:val="16"/>
          <w:color w:val="auto"/>
        </w:rPr>
        <w:t>At December 31, 2005, we had approximately 387 employees, of whom approximately 375 were full-time employees. None of our employees is represented by a union or covered by a collective bargaining agreement. We believe that our relationship with our employees is good.</w:t>
      </w:r>
    </w:p>
    <w:p>
      <w:pPr>
        <w:spacing w:after="0" w:line="16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146050</wp:posOffset>
            </wp:positionV>
            <wp:extent cx="5166995" cy="469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9399"/>
          </w:cols>
          <w:pgMar w:left="1060" w:top="388" w:right="1440" w:bottom="1440" w:gutter="0" w:footer="0" w:header="0"/>
        </w:sectPr>
      </w:pPr>
    </w:p>
    <w:bookmarkStart w:id="26" w:name="page27"/>
    <w:bookmarkEnd w:id="26"/>
    <w:p>
      <w:pPr>
        <w:ind w:left="820"/>
        <w:spacing w:after="0"/>
        <w:rPr>
          <w:sz w:val="20"/>
          <w:szCs w:val="20"/>
          <w:color w:val="auto"/>
        </w:rPr>
      </w:pPr>
      <w:r>
        <w:rPr>
          <w:rFonts w:ascii="Arial" w:cs="Arial" w:eastAsia="Arial" w:hAnsi="Arial"/>
          <w:sz w:val="18"/>
          <w:szCs w:val="18"/>
          <w:b w:val="1"/>
          <w:bCs w:val="1"/>
          <w:color w:val="auto"/>
        </w:rPr>
        <w:t>Executive Officers</w:t>
      </w:r>
    </w:p>
    <w:p>
      <w:pPr>
        <w:spacing w:after="0" w:line="164"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following table presents information about our executive officers who, other than Christopher E.</w:t>
      </w:r>
    </w:p>
    <w:p>
      <w:pPr>
        <w:spacing w:after="0" w:line="3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French, are not directors.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20" w:type="dxa"/>
            <w:vAlign w:val="bottom"/>
          </w:tcPr>
          <w:p>
            <w:pPr>
              <w:ind w:left="680"/>
              <w:spacing w:after="0"/>
              <w:rPr>
                <w:sz w:val="20"/>
                <w:szCs w:val="20"/>
                <w:color w:val="auto"/>
              </w:rPr>
            </w:pPr>
            <w:r>
              <w:rPr>
                <w:rFonts w:ascii="Arial" w:cs="Arial" w:eastAsia="Arial" w:hAnsi="Arial"/>
                <w:sz w:val="14"/>
                <w:szCs w:val="14"/>
                <w:b w:val="1"/>
                <w:bCs w:val="1"/>
                <w:color w:val="auto"/>
              </w:rPr>
              <w:t>Name</w:t>
            </w:r>
          </w:p>
        </w:tc>
        <w:tc>
          <w:tcPr>
            <w:tcW w:w="4040" w:type="dxa"/>
            <w:vAlign w:val="bottom"/>
          </w:tcPr>
          <w:p>
            <w:pPr>
              <w:ind w:left="1980"/>
              <w:spacing w:after="0"/>
              <w:rPr>
                <w:sz w:val="20"/>
                <w:szCs w:val="20"/>
                <w:color w:val="auto"/>
              </w:rPr>
            </w:pPr>
            <w:r>
              <w:rPr>
                <w:rFonts w:ascii="Arial" w:cs="Arial" w:eastAsia="Arial" w:hAnsi="Arial"/>
                <w:sz w:val="14"/>
                <w:szCs w:val="14"/>
                <w:b w:val="1"/>
                <w:bCs w:val="1"/>
                <w:color w:val="auto"/>
              </w:rPr>
              <w:t>Title</w:t>
            </w:r>
          </w:p>
        </w:tc>
        <w:tc>
          <w:tcPr>
            <w:tcW w:w="720" w:type="dxa"/>
            <w:vAlign w:val="bottom"/>
          </w:tcPr>
          <w:p>
            <w:pPr>
              <w:ind w:left="320"/>
              <w:spacing w:after="0"/>
              <w:rPr>
                <w:sz w:val="20"/>
                <w:szCs w:val="20"/>
                <w:color w:val="auto"/>
              </w:rPr>
            </w:pPr>
            <w:r>
              <w:rPr>
                <w:rFonts w:ascii="Arial" w:cs="Arial" w:eastAsia="Arial" w:hAnsi="Arial"/>
                <w:sz w:val="14"/>
                <w:szCs w:val="14"/>
                <w:b w:val="1"/>
                <w:bCs w:val="1"/>
                <w:color w:val="auto"/>
              </w:rPr>
              <w:t>Age</w:t>
            </w:r>
          </w:p>
        </w:tc>
        <w:tc>
          <w:tcPr>
            <w:tcW w:w="1660" w:type="dxa"/>
            <w:vAlign w:val="bottom"/>
          </w:tcPr>
          <w:p>
            <w:pPr>
              <w:ind w:left="440"/>
              <w:spacing w:after="0"/>
              <w:rPr>
                <w:sz w:val="20"/>
                <w:szCs w:val="20"/>
                <w:color w:val="auto"/>
              </w:rPr>
            </w:pPr>
            <w:r>
              <w:rPr>
                <w:rFonts w:ascii="Arial" w:cs="Arial" w:eastAsia="Arial" w:hAnsi="Arial"/>
                <w:sz w:val="14"/>
                <w:szCs w:val="14"/>
                <w:b w:val="1"/>
                <w:bCs w:val="1"/>
                <w:color w:val="auto"/>
              </w:rPr>
              <w:t>Date in Position</w:t>
            </w:r>
          </w:p>
        </w:tc>
      </w:tr>
      <w:tr>
        <w:trPr>
          <w:trHeight w:val="95"/>
        </w:trPr>
        <w:tc>
          <w:tcPr>
            <w:tcW w:w="1720" w:type="dxa"/>
            <w:vAlign w:val="bottom"/>
            <w:tcBorders>
              <w:bottom w:val="single" w:sz="8" w:color="808080"/>
            </w:tcBorders>
          </w:tcPr>
          <w:p>
            <w:pPr>
              <w:spacing w:after="0"/>
              <w:rPr>
                <w:sz w:val="8"/>
                <w:szCs w:val="8"/>
                <w:color w:val="auto"/>
              </w:rPr>
            </w:pPr>
          </w:p>
        </w:tc>
        <w:tc>
          <w:tcPr>
            <w:tcW w:w="40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r>
      <w:tr>
        <w:trPr>
          <w:trHeight w:val="316"/>
        </w:trPr>
        <w:tc>
          <w:tcPr>
            <w:tcW w:w="1720" w:type="dxa"/>
            <w:vAlign w:val="bottom"/>
          </w:tcPr>
          <w:p>
            <w:pPr>
              <w:spacing w:after="0"/>
              <w:rPr>
                <w:sz w:val="20"/>
                <w:szCs w:val="20"/>
                <w:color w:val="auto"/>
              </w:rPr>
            </w:pPr>
            <w:r>
              <w:rPr>
                <w:rFonts w:ascii="Arial" w:cs="Arial" w:eastAsia="Arial" w:hAnsi="Arial"/>
                <w:sz w:val="18"/>
                <w:szCs w:val="18"/>
                <w:color w:val="auto"/>
                <w:w w:val="96"/>
              </w:rPr>
              <w:t>Christopher E. French</w:t>
            </w:r>
          </w:p>
        </w:tc>
        <w:tc>
          <w:tcPr>
            <w:tcW w:w="4040" w:type="dxa"/>
            <w:vAlign w:val="bottom"/>
          </w:tcPr>
          <w:p>
            <w:pPr>
              <w:ind w:left="140"/>
              <w:spacing w:after="0"/>
              <w:rPr>
                <w:sz w:val="20"/>
                <w:szCs w:val="20"/>
                <w:color w:val="auto"/>
              </w:rPr>
            </w:pPr>
            <w:r>
              <w:rPr>
                <w:rFonts w:ascii="Arial" w:cs="Arial" w:eastAsia="Arial" w:hAnsi="Arial"/>
                <w:sz w:val="18"/>
                <w:szCs w:val="18"/>
                <w:color w:val="auto"/>
              </w:rPr>
              <w:t>President</w:t>
            </w:r>
          </w:p>
        </w:tc>
        <w:tc>
          <w:tcPr>
            <w:tcW w:w="720" w:type="dxa"/>
            <w:vAlign w:val="bottom"/>
          </w:tcPr>
          <w:p>
            <w:pPr>
              <w:ind w:left="320"/>
              <w:spacing w:after="0"/>
              <w:rPr>
                <w:sz w:val="20"/>
                <w:szCs w:val="20"/>
                <w:color w:val="auto"/>
              </w:rPr>
            </w:pPr>
            <w:r>
              <w:rPr>
                <w:rFonts w:ascii="Arial" w:cs="Arial" w:eastAsia="Arial" w:hAnsi="Arial"/>
                <w:sz w:val="18"/>
                <w:szCs w:val="18"/>
                <w:color w:val="auto"/>
              </w:rPr>
              <w:t>48</w:t>
            </w:r>
          </w:p>
        </w:tc>
        <w:tc>
          <w:tcPr>
            <w:tcW w:w="1660" w:type="dxa"/>
            <w:vAlign w:val="bottom"/>
          </w:tcPr>
          <w:p>
            <w:pPr>
              <w:ind w:left="180"/>
              <w:spacing w:after="0"/>
              <w:rPr>
                <w:sz w:val="20"/>
                <w:szCs w:val="20"/>
                <w:color w:val="auto"/>
              </w:rPr>
            </w:pPr>
            <w:r>
              <w:rPr>
                <w:rFonts w:ascii="Arial" w:cs="Arial" w:eastAsia="Arial" w:hAnsi="Arial"/>
                <w:sz w:val="18"/>
                <w:szCs w:val="18"/>
                <w:color w:val="auto"/>
              </w:rPr>
              <w:t>April 1988</w:t>
            </w:r>
          </w:p>
        </w:tc>
      </w:tr>
      <w:tr>
        <w:trPr>
          <w:trHeight w:val="358"/>
        </w:trPr>
        <w:tc>
          <w:tcPr>
            <w:tcW w:w="1720" w:type="dxa"/>
            <w:vAlign w:val="bottom"/>
          </w:tcPr>
          <w:p>
            <w:pPr>
              <w:spacing w:after="0"/>
              <w:rPr>
                <w:sz w:val="20"/>
                <w:szCs w:val="20"/>
                <w:color w:val="auto"/>
              </w:rPr>
            </w:pPr>
            <w:r>
              <w:rPr>
                <w:rFonts w:ascii="Arial" w:cs="Arial" w:eastAsia="Arial" w:hAnsi="Arial"/>
                <w:sz w:val="18"/>
                <w:szCs w:val="18"/>
                <w:color w:val="auto"/>
              </w:rPr>
              <w:t>Earle A. MacKenzie</w:t>
            </w:r>
          </w:p>
        </w:tc>
        <w:tc>
          <w:tcPr>
            <w:tcW w:w="4040" w:type="dxa"/>
            <w:vAlign w:val="bottom"/>
          </w:tcPr>
          <w:p>
            <w:pPr>
              <w:ind w:left="140"/>
              <w:spacing w:after="0"/>
              <w:rPr>
                <w:sz w:val="20"/>
                <w:szCs w:val="20"/>
                <w:color w:val="auto"/>
              </w:rPr>
            </w:pPr>
            <w:r>
              <w:rPr>
                <w:rFonts w:ascii="Arial" w:cs="Arial" w:eastAsia="Arial" w:hAnsi="Arial"/>
                <w:sz w:val="18"/>
                <w:szCs w:val="18"/>
                <w:color w:val="auto"/>
                <w:w w:val="97"/>
              </w:rPr>
              <w:t>Executive Vice President, Chief Operating Officer,</w:t>
            </w:r>
          </w:p>
        </w:tc>
        <w:tc>
          <w:tcPr>
            <w:tcW w:w="720" w:type="dxa"/>
            <w:vAlign w:val="bottom"/>
          </w:tcPr>
          <w:p>
            <w:pPr>
              <w:ind w:left="320"/>
              <w:spacing w:after="0"/>
              <w:rPr>
                <w:sz w:val="20"/>
                <w:szCs w:val="20"/>
                <w:color w:val="auto"/>
              </w:rPr>
            </w:pPr>
            <w:r>
              <w:rPr>
                <w:rFonts w:ascii="Arial" w:cs="Arial" w:eastAsia="Arial" w:hAnsi="Arial"/>
                <w:sz w:val="18"/>
                <w:szCs w:val="18"/>
                <w:color w:val="auto"/>
              </w:rPr>
              <w:t>53</w:t>
            </w:r>
          </w:p>
        </w:tc>
        <w:tc>
          <w:tcPr>
            <w:tcW w:w="1660" w:type="dxa"/>
            <w:vAlign w:val="bottom"/>
          </w:tcPr>
          <w:p>
            <w:pPr>
              <w:ind w:left="180"/>
              <w:spacing w:after="0"/>
              <w:rPr>
                <w:sz w:val="20"/>
                <w:szCs w:val="20"/>
                <w:color w:val="auto"/>
              </w:rPr>
            </w:pPr>
            <w:r>
              <w:rPr>
                <w:rFonts w:ascii="Arial" w:cs="Arial" w:eastAsia="Arial" w:hAnsi="Arial"/>
                <w:sz w:val="18"/>
                <w:szCs w:val="18"/>
                <w:color w:val="auto"/>
              </w:rPr>
              <w:t>June 2003</w:t>
            </w:r>
          </w:p>
        </w:tc>
      </w:tr>
      <w:tr>
        <w:trPr>
          <w:trHeight w:val="222"/>
        </w:trPr>
        <w:tc>
          <w:tcPr>
            <w:tcW w:w="1720" w:type="dxa"/>
            <w:vAlign w:val="bottom"/>
          </w:tcPr>
          <w:p>
            <w:pPr>
              <w:spacing w:after="0"/>
              <w:rPr>
                <w:sz w:val="19"/>
                <w:szCs w:val="19"/>
                <w:color w:val="auto"/>
              </w:rPr>
            </w:pPr>
          </w:p>
        </w:tc>
        <w:tc>
          <w:tcPr>
            <w:tcW w:w="4040" w:type="dxa"/>
            <w:vAlign w:val="bottom"/>
          </w:tcPr>
          <w:p>
            <w:pPr>
              <w:ind w:left="140"/>
              <w:spacing w:after="0"/>
              <w:rPr>
                <w:sz w:val="20"/>
                <w:szCs w:val="20"/>
                <w:color w:val="auto"/>
              </w:rPr>
            </w:pPr>
            <w:r>
              <w:rPr>
                <w:rFonts w:ascii="Arial" w:cs="Arial" w:eastAsia="Arial" w:hAnsi="Arial"/>
                <w:sz w:val="18"/>
                <w:szCs w:val="18"/>
                <w:color w:val="auto"/>
              </w:rPr>
              <w:t>Chief Financial Officer and Treasurer</w:t>
            </w:r>
          </w:p>
        </w:tc>
        <w:tc>
          <w:tcPr>
            <w:tcW w:w="7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365"/>
        </w:trPr>
        <w:tc>
          <w:tcPr>
            <w:tcW w:w="1720" w:type="dxa"/>
            <w:vAlign w:val="bottom"/>
          </w:tcPr>
          <w:p>
            <w:pPr>
              <w:spacing w:after="0"/>
              <w:rPr>
                <w:sz w:val="20"/>
                <w:szCs w:val="20"/>
                <w:color w:val="auto"/>
              </w:rPr>
            </w:pPr>
            <w:r>
              <w:rPr>
                <w:rFonts w:ascii="Arial" w:cs="Arial" w:eastAsia="Arial" w:hAnsi="Arial"/>
                <w:sz w:val="18"/>
                <w:szCs w:val="18"/>
                <w:color w:val="auto"/>
              </w:rPr>
              <w:t>David E. Ferguson</w:t>
            </w:r>
          </w:p>
        </w:tc>
        <w:tc>
          <w:tcPr>
            <w:tcW w:w="4040" w:type="dxa"/>
            <w:vAlign w:val="bottom"/>
          </w:tcPr>
          <w:p>
            <w:pPr>
              <w:ind w:left="140"/>
              <w:spacing w:after="0"/>
              <w:rPr>
                <w:sz w:val="20"/>
                <w:szCs w:val="20"/>
                <w:color w:val="auto"/>
              </w:rPr>
            </w:pPr>
            <w:r>
              <w:rPr>
                <w:rFonts w:ascii="Arial" w:cs="Arial" w:eastAsia="Arial" w:hAnsi="Arial"/>
                <w:sz w:val="18"/>
                <w:szCs w:val="18"/>
                <w:color w:val="auto"/>
              </w:rPr>
              <w:t>Vice President of Customer Services</w:t>
            </w:r>
          </w:p>
        </w:tc>
        <w:tc>
          <w:tcPr>
            <w:tcW w:w="720" w:type="dxa"/>
            <w:vAlign w:val="bottom"/>
          </w:tcPr>
          <w:p>
            <w:pPr>
              <w:ind w:left="320"/>
              <w:spacing w:after="0"/>
              <w:rPr>
                <w:sz w:val="20"/>
                <w:szCs w:val="20"/>
                <w:color w:val="auto"/>
              </w:rPr>
            </w:pPr>
            <w:r>
              <w:rPr>
                <w:rFonts w:ascii="Arial" w:cs="Arial" w:eastAsia="Arial" w:hAnsi="Arial"/>
                <w:sz w:val="18"/>
                <w:szCs w:val="18"/>
                <w:color w:val="auto"/>
              </w:rPr>
              <w:t>60</w:t>
            </w:r>
          </w:p>
        </w:tc>
        <w:tc>
          <w:tcPr>
            <w:tcW w:w="1660" w:type="dxa"/>
            <w:vAlign w:val="bottom"/>
          </w:tcPr>
          <w:p>
            <w:pPr>
              <w:ind w:left="180"/>
              <w:spacing w:after="0"/>
              <w:rPr>
                <w:sz w:val="20"/>
                <w:szCs w:val="20"/>
                <w:color w:val="auto"/>
              </w:rPr>
            </w:pPr>
            <w:r>
              <w:rPr>
                <w:rFonts w:ascii="Arial" w:cs="Arial" w:eastAsia="Arial" w:hAnsi="Arial"/>
                <w:sz w:val="18"/>
                <w:szCs w:val="18"/>
                <w:color w:val="auto"/>
              </w:rPr>
              <w:t>November 1982</w:t>
            </w:r>
          </w:p>
        </w:tc>
      </w:tr>
      <w:tr>
        <w:trPr>
          <w:trHeight w:val="365"/>
        </w:trPr>
        <w:tc>
          <w:tcPr>
            <w:tcW w:w="1720" w:type="dxa"/>
            <w:vAlign w:val="bottom"/>
          </w:tcPr>
          <w:p>
            <w:pPr>
              <w:spacing w:after="0"/>
              <w:rPr>
                <w:sz w:val="20"/>
                <w:szCs w:val="20"/>
                <w:color w:val="auto"/>
              </w:rPr>
            </w:pPr>
            <w:r>
              <w:rPr>
                <w:rFonts w:ascii="Arial" w:cs="Arial" w:eastAsia="Arial" w:hAnsi="Arial"/>
                <w:sz w:val="18"/>
                <w:szCs w:val="18"/>
                <w:color w:val="auto"/>
              </w:rPr>
              <w:t>David Lasier</w:t>
            </w:r>
          </w:p>
        </w:tc>
        <w:tc>
          <w:tcPr>
            <w:tcW w:w="4040" w:type="dxa"/>
            <w:vAlign w:val="bottom"/>
          </w:tcPr>
          <w:p>
            <w:pPr>
              <w:ind w:left="140"/>
              <w:spacing w:after="0"/>
              <w:rPr>
                <w:sz w:val="20"/>
                <w:szCs w:val="20"/>
                <w:color w:val="auto"/>
              </w:rPr>
            </w:pPr>
            <w:r>
              <w:rPr>
                <w:rFonts w:ascii="Arial" w:cs="Arial" w:eastAsia="Arial" w:hAnsi="Arial"/>
                <w:sz w:val="18"/>
                <w:szCs w:val="18"/>
                <w:color w:val="auto"/>
              </w:rPr>
              <w:t>Vice President, Broadband</w:t>
            </w:r>
          </w:p>
        </w:tc>
        <w:tc>
          <w:tcPr>
            <w:tcW w:w="720" w:type="dxa"/>
            <w:vAlign w:val="bottom"/>
          </w:tcPr>
          <w:p>
            <w:pPr>
              <w:ind w:left="320"/>
              <w:spacing w:after="0"/>
              <w:rPr>
                <w:sz w:val="20"/>
                <w:szCs w:val="20"/>
                <w:color w:val="auto"/>
              </w:rPr>
            </w:pPr>
            <w:r>
              <w:rPr>
                <w:rFonts w:ascii="Arial" w:cs="Arial" w:eastAsia="Arial" w:hAnsi="Arial"/>
                <w:sz w:val="18"/>
                <w:szCs w:val="18"/>
                <w:color w:val="auto"/>
              </w:rPr>
              <w:t>49</w:t>
            </w:r>
          </w:p>
        </w:tc>
        <w:tc>
          <w:tcPr>
            <w:tcW w:w="1660" w:type="dxa"/>
            <w:vAlign w:val="bottom"/>
          </w:tcPr>
          <w:p>
            <w:pPr>
              <w:ind w:left="180"/>
              <w:spacing w:after="0"/>
              <w:rPr>
                <w:sz w:val="20"/>
                <w:szCs w:val="20"/>
                <w:color w:val="auto"/>
              </w:rPr>
            </w:pPr>
            <w:r>
              <w:rPr>
                <w:rFonts w:ascii="Arial" w:cs="Arial" w:eastAsia="Arial" w:hAnsi="Arial"/>
                <w:sz w:val="18"/>
                <w:szCs w:val="18"/>
                <w:color w:val="auto"/>
              </w:rPr>
              <w:t>August 2005</w:t>
            </w:r>
          </w:p>
        </w:tc>
      </w:tr>
      <w:tr>
        <w:trPr>
          <w:trHeight w:val="365"/>
        </w:trPr>
        <w:tc>
          <w:tcPr>
            <w:tcW w:w="1720" w:type="dxa"/>
            <w:vAlign w:val="bottom"/>
          </w:tcPr>
          <w:p>
            <w:pPr>
              <w:spacing w:after="0"/>
              <w:rPr>
                <w:sz w:val="20"/>
                <w:szCs w:val="20"/>
                <w:color w:val="auto"/>
              </w:rPr>
            </w:pPr>
            <w:r>
              <w:rPr>
                <w:rFonts w:ascii="Arial" w:cs="Arial" w:eastAsia="Arial" w:hAnsi="Arial"/>
                <w:sz w:val="18"/>
                <w:szCs w:val="18"/>
                <w:color w:val="auto"/>
              </w:rPr>
              <w:t>David K. MacDonald</w:t>
            </w:r>
          </w:p>
        </w:tc>
        <w:tc>
          <w:tcPr>
            <w:tcW w:w="4040" w:type="dxa"/>
            <w:vAlign w:val="bottom"/>
          </w:tcPr>
          <w:p>
            <w:pPr>
              <w:ind w:left="140"/>
              <w:spacing w:after="0"/>
              <w:rPr>
                <w:sz w:val="20"/>
                <w:szCs w:val="20"/>
                <w:color w:val="auto"/>
              </w:rPr>
            </w:pPr>
            <w:r>
              <w:rPr>
                <w:rFonts w:ascii="Arial" w:cs="Arial" w:eastAsia="Arial" w:hAnsi="Arial"/>
                <w:sz w:val="18"/>
                <w:szCs w:val="18"/>
                <w:color w:val="auto"/>
              </w:rPr>
              <w:t>Vice President of Operations</w:t>
            </w:r>
          </w:p>
        </w:tc>
        <w:tc>
          <w:tcPr>
            <w:tcW w:w="720" w:type="dxa"/>
            <w:vAlign w:val="bottom"/>
          </w:tcPr>
          <w:p>
            <w:pPr>
              <w:ind w:left="320"/>
              <w:spacing w:after="0"/>
              <w:rPr>
                <w:sz w:val="20"/>
                <w:szCs w:val="20"/>
                <w:color w:val="auto"/>
              </w:rPr>
            </w:pPr>
            <w:r>
              <w:rPr>
                <w:rFonts w:ascii="Arial" w:cs="Arial" w:eastAsia="Arial" w:hAnsi="Arial"/>
                <w:sz w:val="18"/>
                <w:szCs w:val="18"/>
                <w:color w:val="auto"/>
              </w:rPr>
              <w:t>52</w:t>
            </w:r>
          </w:p>
        </w:tc>
        <w:tc>
          <w:tcPr>
            <w:tcW w:w="1660" w:type="dxa"/>
            <w:vAlign w:val="bottom"/>
          </w:tcPr>
          <w:p>
            <w:pPr>
              <w:ind w:left="180"/>
              <w:spacing w:after="0"/>
              <w:rPr>
                <w:sz w:val="20"/>
                <w:szCs w:val="20"/>
                <w:color w:val="auto"/>
              </w:rPr>
            </w:pPr>
            <w:r>
              <w:rPr>
                <w:rFonts w:ascii="Arial" w:cs="Arial" w:eastAsia="Arial" w:hAnsi="Arial"/>
                <w:sz w:val="18"/>
                <w:szCs w:val="18"/>
                <w:color w:val="auto"/>
              </w:rPr>
              <w:t>May 1998</w:t>
            </w:r>
          </w:p>
        </w:tc>
      </w:tr>
      <w:tr>
        <w:trPr>
          <w:trHeight w:val="365"/>
        </w:trPr>
        <w:tc>
          <w:tcPr>
            <w:tcW w:w="1720" w:type="dxa"/>
            <w:vAlign w:val="bottom"/>
          </w:tcPr>
          <w:p>
            <w:pPr>
              <w:spacing w:after="0"/>
              <w:rPr>
                <w:sz w:val="20"/>
                <w:szCs w:val="20"/>
                <w:color w:val="auto"/>
              </w:rPr>
            </w:pPr>
            <w:r>
              <w:rPr>
                <w:rFonts w:ascii="Arial" w:cs="Arial" w:eastAsia="Arial" w:hAnsi="Arial"/>
                <w:sz w:val="18"/>
                <w:szCs w:val="18"/>
                <w:color w:val="auto"/>
              </w:rPr>
              <w:t>Laurence F. Paxton</w:t>
            </w:r>
          </w:p>
        </w:tc>
        <w:tc>
          <w:tcPr>
            <w:tcW w:w="4040" w:type="dxa"/>
            <w:vAlign w:val="bottom"/>
          </w:tcPr>
          <w:p>
            <w:pPr>
              <w:ind w:left="140"/>
              <w:spacing w:after="0"/>
              <w:rPr>
                <w:sz w:val="20"/>
                <w:szCs w:val="20"/>
                <w:color w:val="auto"/>
              </w:rPr>
            </w:pPr>
            <w:r>
              <w:rPr>
                <w:rFonts w:ascii="Arial" w:cs="Arial" w:eastAsia="Arial" w:hAnsi="Arial"/>
                <w:sz w:val="18"/>
                <w:szCs w:val="18"/>
                <w:color w:val="auto"/>
              </w:rPr>
              <w:t>Vice President of Information Systems</w:t>
            </w:r>
          </w:p>
        </w:tc>
        <w:tc>
          <w:tcPr>
            <w:tcW w:w="720" w:type="dxa"/>
            <w:vAlign w:val="bottom"/>
          </w:tcPr>
          <w:p>
            <w:pPr>
              <w:ind w:left="320"/>
              <w:spacing w:after="0"/>
              <w:rPr>
                <w:sz w:val="20"/>
                <w:szCs w:val="20"/>
                <w:color w:val="auto"/>
              </w:rPr>
            </w:pPr>
            <w:r>
              <w:rPr>
                <w:rFonts w:ascii="Arial" w:cs="Arial" w:eastAsia="Arial" w:hAnsi="Arial"/>
                <w:sz w:val="18"/>
                <w:szCs w:val="18"/>
                <w:color w:val="auto"/>
              </w:rPr>
              <w:t>53</w:t>
            </w:r>
          </w:p>
        </w:tc>
        <w:tc>
          <w:tcPr>
            <w:tcW w:w="1660" w:type="dxa"/>
            <w:vAlign w:val="bottom"/>
          </w:tcPr>
          <w:p>
            <w:pPr>
              <w:ind w:left="180"/>
              <w:spacing w:after="0"/>
              <w:rPr>
                <w:sz w:val="20"/>
                <w:szCs w:val="20"/>
                <w:color w:val="auto"/>
              </w:rPr>
            </w:pPr>
            <w:r>
              <w:rPr>
                <w:rFonts w:ascii="Arial" w:cs="Arial" w:eastAsia="Arial" w:hAnsi="Arial"/>
                <w:sz w:val="18"/>
                <w:szCs w:val="18"/>
                <w:color w:val="auto"/>
              </w:rPr>
              <w:t>June 2003</w:t>
            </w:r>
          </w:p>
        </w:tc>
      </w:tr>
      <w:tr>
        <w:trPr>
          <w:trHeight w:val="365"/>
        </w:trPr>
        <w:tc>
          <w:tcPr>
            <w:tcW w:w="1720" w:type="dxa"/>
            <w:vAlign w:val="bottom"/>
          </w:tcPr>
          <w:p>
            <w:pPr>
              <w:spacing w:after="0"/>
              <w:rPr>
                <w:sz w:val="20"/>
                <w:szCs w:val="20"/>
                <w:color w:val="auto"/>
              </w:rPr>
            </w:pPr>
            <w:r>
              <w:rPr>
                <w:rFonts w:ascii="Arial" w:cs="Arial" w:eastAsia="Arial" w:hAnsi="Arial"/>
                <w:sz w:val="18"/>
                <w:szCs w:val="18"/>
                <w:color w:val="auto"/>
              </w:rPr>
              <w:t>William L. Pirtle</w:t>
            </w:r>
          </w:p>
        </w:tc>
        <w:tc>
          <w:tcPr>
            <w:tcW w:w="4040" w:type="dxa"/>
            <w:vAlign w:val="bottom"/>
          </w:tcPr>
          <w:p>
            <w:pPr>
              <w:ind w:left="140"/>
              <w:spacing w:after="0"/>
              <w:rPr>
                <w:sz w:val="20"/>
                <w:szCs w:val="20"/>
                <w:color w:val="auto"/>
              </w:rPr>
            </w:pPr>
            <w:r>
              <w:rPr>
                <w:rFonts w:ascii="Arial" w:cs="Arial" w:eastAsia="Arial" w:hAnsi="Arial"/>
                <w:sz w:val="18"/>
                <w:szCs w:val="18"/>
                <w:color w:val="auto"/>
              </w:rPr>
              <w:t>Vice President of Sales</w:t>
            </w:r>
          </w:p>
        </w:tc>
        <w:tc>
          <w:tcPr>
            <w:tcW w:w="720" w:type="dxa"/>
            <w:vAlign w:val="bottom"/>
          </w:tcPr>
          <w:p>
            <w:pPr>
              <w:ind w:left="320"/>
              <w:spacing w:after="0"/>
              <w:rPr>
                <w:sz w:val="20"/>
                <w:szCs w:val="20"/>
                <w:color w:val="auto"/>
              </w:rPr>
            </w:pPr>
            <w:r>
              <w:rPr>
                <w:rFonts w:ascii="Arial" w:cs="Arial" w:eastAsia="Arial" w:hAnsi="Arial"/>
                <w:sz w:val="18"/>
                <w:szCs w:val="18"/>
                <w:color w:val="auto"/>
              </w:rPr>
              <w:t>46</w:t>
            </w:r>
          </w:p>
        </w:tc>
        <w:tc>
          <w:tcPr>
            <w:tcW w:w="1660" w:type="dxa"/>
            <w:vAlign w:val="bottom"/>
          </w:tcPr>
          <w:p>
            <w:pPr>
              <w:ind w:left="180"/>
              <w:spacing w:after="0"/>
              <w:rPr>
                <w:sz w:val="20"/>
                <w:szCs w:val="20"/>
                <w:color w:val="auto"/>
              </w:rPr>
            </w:pPr>
            <w:r>
              <w:rPr>
                <w:rFonts w:ascii="Arial" w:cs="Arial" w:eastAsia="Arial" w:hAnsi="Arial"/>
                <w:sz w:val="18"/>
                <w:szCs w:val="18"/>
                <w:color w:val="auto"/>
              </w:rPr>
              <w:t>April 2004</w:t>
            </w:r>
          </w:p>
        </w:tc>
      </w:tr>
      <w:tr>
        <w:trPr>
          <w:trHeight w:val="365"/>
        </w:trPr>
        <w:tc>
          <w:tcPr>
            <w:tcW w:w="1720" w:type="dxa"/>
            <w:vAlign w:val="bottom"/>
          </w:tcPr>
          <w:p>
            <w:pPr>
              <w:spacing w:after="0"/>
              <w:rPr>
                <w:sz w:val="20"/>
                <w:szCs w:val="20"/>
                <w:color w:val="auto"/>
              </w:rPr>
            </w:pPr>
            <w:r>
              <w:rPr>
                <w:rFonts w:ascii="Arial" w:cs="Arial" w:eastAsia="Arial" w:hAnsi="Arial"/>
                <w:sz w:val="18"/>
                <w:szCs w:val="18"/>
                <w:color w:val="auto"/>
              </w:rPr>
              <w:t>Jeffery R. Pompeo</w:t>
            </w:r>
          </w:p>
        </w:tc>
        <w:tc>
          <w:tcPr>
            <w:tcW w:w="4040" w:type="dxa"/>
            <w:vAlign w:val="bottom"/>
          </w:tcPr>
          <w:p>
            <w:pPr>
              <w:ind w:left="140"/>
              <w:spacing w:after="0"/>
              <w:rPr>
                <w:sz w:val="20"/>
                <w:szCs w:val="20"/>
                <w:color w:val="auto"/>
              </w:rPr>
            </w:pPr>
            <w:r>
              <w:rPr>
                <w:rFonts w:ascii="Arial" w:cs="Arial" w:eastAsia="Arial" w:hAnsi="Arial"/>
                <w:sz w:val="18"/>
                <w:szCs w:val="18"/>
                <w:color w:val="auto"/>
              </w:rPr>
              <w:t>Vice President, Technology</w:t>
            </w:r>
          </w:p>
        </w:tc>
        <w:tc>
          <w:tcPr>
            <w:tcW w:w="720" w:type="dxa"/>
            <w:vAlign w:val="bottom"/>
          </w:tcPr>
          <w:p>
            <w:pPr>
              <w:ind w:left="320"/>
              <w:spacing w:after="0"/>
              <w:rPr>
                <w:sz w:val="20"/>
                <w:szCs w:val="20"/>
                <w:color w:val="auto"/>
              </w:rPr>
            </w:pPr>
            <w:r>
              <w:rPr>
                <w:rFonts w:ascii="Arial" w:cs="Arial" w:eastAsia="Arial" w:hAnsi="Arial"/>
                <w:sz w:val="18"/>
                <w:szCs w:val="18"/>
                <w:color w:val="auto"/>
              </w:rPr>
              <w:t>38</w:t>
            </w:r>
          </w:p>
        </w:tc>
        <w:tc>
          <w:tcPr>
            <w:tcW w:w="1660" w:type="dxa"/>
            <w:vAlign w:val="bottom"/>
          </w:tcPr>
          <w:p>
            <w:pPr>
              <w:ind w:left="180"/>
              <w:spacing w:after="0"/>
              <w:rPr>
                <w:sz w:val="20"/>
                <w:szCs w:val="20"/>
                <w:color w:val="auto"/>
              </w:rPr>
            </w:pPr>
            <w:r>
              <w:rPr>
                <w:rFonts w:ascii="Arial" w:cs="Arial" w:eastAsia="Arial" w:hAnsi="Arial"/>
                <w:sz w:val="18"/>
                <w:szCs w:val="18"/>
                <w:color w:val="auto"/>
              </w:rPr>
              <w:t>December 2005</w:t>
            </w:r>
          </w:p>
        </w:tc>
      </w:tr>
      <w:tr>
        <w:trPr>
          <w:trHeight w:val="365"/>
        </w:trPr>
        <w:tc>
          <w:tcPr>
            <w:tcW w:w="1720" w:type="dxa"/>
            <w:vAlign w:val="bottom"/>
          </w:tcPr>
          <w:p>
            <w:pPr>
              <w:spacing w:after="0"/>
              <w:rPr>
                <w:sz w:val="20"/>
                <w:szCs w:val="20"/>
                <w:color w:val="auto"/>
              </w:rPr>
            </w:pPr>
            <w:r>
              <w:rPr>
                <w:rFonts w:ascii="Arial" w:cs="Arial" w:eastAsia="Arial" w:hAnsi="Arial"/>
                <w:sz w:val="18"/>
                <w:szCs w:val="18"/>
                <w:color w:val="auto"/>
              </w:rPr>
              <w:t>Jonathan R. Spencer</w:t>
            </w:r>
          </w:p>
        </w:tc>
        <w:tc>
          <w:tcPr>
            <w:tcW w:w="4040" w:type="dxa"/>
            <w:vAlign w:val="bottom"/>
          </w:tcPr>
          <w:p>
            <w:pPr>
              <w:ind w:left="140"/>
              <w:spacing w:after="0"/>
              <w:rPr>
                <w:sz w:val="20"/>
                <w:szCs w:val="20"/>
                <w:color w:val="auto"/>
              </w:rPr>
            </w:pPr>
            <w:r>
              <w:rPr>
                <w:rFonts w:ascii="Arial" w:cs="Arial" w:eastAsia="Arial" w:hAnsi="Arial"/>
                <w:sz w:val="18"/>
                <w:szCs w:val="18"/>
                <w:color w:val="auto"/>
              </w:rPr>
              <w:t>Vice President, General Counsel and Secretary</w:t>
            </w:r>
          </w:p>
        </w:tc>
        <w:tc>
          <w:tcPr>
            <w:tcW w:w="720" w:type="dxa"/>
            <w:vAlign w:val="bottom"/>
          </w:tcPr>
          <w:p>
            <w:pPr>
              <w:ind w:left="320"/>
              <w:spacing w:after="0"/>
              <w:rPr>
                <w:sz w:val="20"/>
                <w:szCs w:val="20"/>
                <w:color w:val="auto"/>
              </w:rPr>
            </w:pPr>
            <w:r>
              <w:rPr>
                <w:rFonts w:ascii="Arial" w:cs="Arial" w:eastAsia="Arial" w:hAnsi="Arial"/>
                <w:sz w:val="18"/>
                <w:szCs w:val="18"/>
                <w:color w:val="auto"/>
              </w:rPr>
              <w:t>44</w:t>
            </w:r>
          </w:p>
        </w:tc>
        <w:tc>
          <w:tcPr>
            <w:tcW w:w="1660" w:type="dxa"/>
            <w:vAlign w:val="bottom"/>
          </w:tcPr>
          <w:p>
            <w:pPr>
              <w:ind w:left="180"/>
              <w:spacing w:after="0"/>
              <w:rPr>
                <w:sz w:val="20"/>
                <w:szCs w:val="20"/>
                <w:color w:val="auto"/>
              </w:rPr>
            </w:pPr>
            <w:r>
              <w:rPr>
                <w:rFonts w:ascii="Arial" w:cs="Arial" w:eastAsia="Arial" w:hAnsi="Arial"/>
                <w:sz w:val="18"/>
                <w:szCs w:val="18"/>
                <w:color w:val="auto"/>
              </w:rPr>
              <w:t>July 2004</w:t>
            </w:r>
          </w:p>
        </w:tc>
      </w:tr>
      <w:tr>
        <w:trPr>
          <w:trHeight w:val="365"/>
        </w:trPr>
        <w:tc>
          <w:tcPr>
            <w:tcW w:w="1720" w:type="dxa"/>
            <w:vAlign w:val="bottom"/>
          </w:tcPr>
          <w:p>
            <w:pPr>
              <w:spacing w:after="0"/>
              <w:rPr>
                <w:sz w:val="20"/>
                <w:szCs w:val="20"/>
                <w:color w:val="auto"/>
              </w:rPr>
            </w:pPr>
            <w:r>
              <w:rPr>
                <w:rFonts w:ascii="Arial" w:cs="Arial" w:eastAsia="Arial" w:hAnsi="Arial"/>
                <w:sz w:val="18"/>
                <w:szCs w:val="18"/>
                <w:color w:val="auto"/>
              </w:rPr>
              <w:t>Nancy A. Stadler</w:t>
            </w:r>
          </w:p>
        </w:tc>
        <w:tc>
          <w:tcPr>
            <w:tcW w:w="4040" w:type="dxa"/>
            <w:vAlign w:val="bottom"/>
          </w:tcPr>
          <w:p>
            <w:pPr>
              <w:ind w:left="140"/>
              <w:spacing w:after="0"/>
              <w:rPr>
                <w:sz w:val="20"/>
                <w:szCs w:val="20"/>
                <w:color w:val="auto"/>
              </w:rPr>
            </w:pPr>
            <w:r>
              <w:rPr>
                <w:rFonts w:ascii="Arial" w:cs="Arial" w:eastAsia="Arial" w:hAnsi="Arial"/>
                <w:sz w:val="18"/>
                <w:szCs w:val="18"/>
                <w:color w:val="auto"/>
              </w:rPr>
              <w:t>Vice President, Marketing</w:t>
            </w:r>
          </w:p>
        </w:tc>
        <w:tc>
          <w:tcPr>
            <w:tcW w:w="720" w:type="dxa"/>
            <w:vAlign w:val="bottom"/>
          </w:tcPr>
          <w:p>
            <w:pPr>
              <w:ind w:left="320"/>
              <w:spacing w:after="0"/>
              <w:rPr>
                <w:sz w:val="20"/>
                <w:szCs w:val="20"/>
                <w:color w:val="auto"/>
              </w:rPr>
            </w:pPr>
            <w:r>
              <w:rPr>
                <w:rFonts w:ascii="Arial" w:cs="Arial" w:eastAsia="Arial" w:hAnsi="Arial"/>
                <w:sz w:val="18"/>
                <w:szCs w:val="18"/>
                <w:color w:val="auto"/>
              </w:rPr>
              <w:t>40</w:t>
            </w:r>
          </w:p>
        </w:tc>
        <w:tc>
          <w:tcPr>
            <w:tcW w:w="1660" w:type="dxa"/>
            <w:vAlign w:val="bottom"/>
          </w:tcPr>
          <w:p>
            <w:pPr>
              <w:ind w:left="180"/>
              <w:spacing w:after="0"/>
              <w:rPr>
                <w:sz w:val="20"/>
                <w:szCs w:val="20"/>
                <w:color w:val="auto"/>
              </w:rPr>
            </w:pPr>
            <w:r>
              <w:rPr>
                <w:rFonts w:ascii="Arial" w:cs="Arial" w:eastAsia="Arial" w:hAnsi="Arial"/>
                <w:sz w:val="18"/>
                <w:szCs w:val="18"/>
                <w:color w:val="auto"/>
              </w:rPr>
              <w:t>August 2004</w:t>
            </w:r>
          </w:p>
        </w:tc>
      </w:tr>
    </w:tbl>
    <w:p>
      <w:pPr>
        <w:spacing w:after="0" w:line="250" w:lineRule="exact"/>
        <w:rPr>
          <w:sz w:val="20"/>
          <w:szCs w:val="20"/>
          <w:color w:val="auto"/>
        </w:rPr>
      </w:pPr>
    </w:p>
    <w:p>
      <w:pPr>
        <w:ind w:left="820" w:right="2139"/>
        <w:spacing w:after="0" w:line="259" w:lineRule="auto"/>
        <w:rPr>
          <w:sz w:val="20"/>
          <w:szCs w:val="20"/>
          <w:color w:val="auto"/>
        </w:rPr>
      </w:pPr>
      <w:r>
        <w:rPr>
          <w:rFonts w:ascii="Arial" w:cs="Arial" w:eastAsia="Arial" w:hAnsi="Arial"/>
          <w:sz w:val="18"/>
          <w:szCs w:val="18"/>
          <w:color w:val="auto"/>
        </w:rPr>
        <w:t>Mr. French has served as President and Chief Executive Officer of the Company and its subsidiaries since 1988 and a director of the Company since 1996. Mr. French also serves on the Board of Directors of First National Corporation.</w:t>
      </w:r>
    </w:p>
    <w:p>
      <w:pPr>
        <w:spacing w:after="0" w:line="127" w:lineRule="exact"/>
        <w:rPr>
          <w:sz w:val="20"/>
          <w:szCs w:val="20"/>
          <w:color w:val="auto"/>
        </w:rPr>
      </w:pPr>
    </w:p>
    <w:p>
      <w:pPr>
        <w:ind w:left="820" w:right="2139"/>
        <w:spacing w:after="0" w:line="268" w:lineRule="auto"/>
        <w:rPr>
          <w:sz w:val="20"/>
          <w:szCs w:val="20"/>
          <w:color w:val="auto"/>
        </w:rPr>
      </w:pPr>
      <w:r>
        <w:rPr>
          <w:rFonts w:ascii="Arial" w:cs="Arial" w:eastAsia="Arial" w:hAnsi="Arial"/>
          <w:sz w:val="18"/>
          <w:szCs w:val="18"/>
          <w:color w:val="auto"/>
        </w:rPr>
        <w:t>Before joining the Company, Mr. MacKenzie served from May 1999 to November 2002 as President of Broadslate Networks, Inc., a start-up data services provider.</w:t>
      </w:r>
    </w:p>
    <w:p>
      <w:pPr>
        <w:spacing w:after="0" w:line="118" w:lineRule="exact"/>
        <w:rPr>
          <w:sz w:val="20"/>
          <w:szCs w:val="20"/>
          <w:color w:val="auto"/>
        </w:rPr>
      </w:pPr>
    </w:p>
    <w:p>
      <w:pPr>
        <w:ind w:left="820" w:right="2119"/>
        <w:spacing w:after="0" w:line="253" w:lineRule="auto"/>
        <w:rPr>
          <w:sz w:val="20"/>
          <w:szCs w:val="20"/>
          <w:color w:val="auto"/>
        </w:rPr>
      </w:pPr>
      <w:r>
        <w:rPr>
          <w:rFonts w:ascii="Arial" w:cs="Arial" w:eastAsia="Arial" w:hAnsi="Arial"/>
          <w:sz w:val="18"/>
          <w:szCs w:val="18"/>
          <w:color w:val="auto"/>
        </w:rPr>
        <w:t>Prior to joining the Company, Mr. Lasier was the founder and CEO of Broadband Metro Communications, a wireless broadband communications company providing services in the southeastern United States. From 2002 to 2004, Mr. Lasier was the founder and CEO of ClearSKY Networks, now called Airimba Wireless Inc., which provides wireless broadband services to off-campus housing in college communities. Before 2002, Mr. Lasier was the founder and CEO of Telecom Wireless Solutions, a wireless engineering services company and Blue Sky Communications, Inc., a cellular operator.</w:t>
      </w:r>
    </w:p>
    <w:p>
      <w:pPr>
        <w:spacing w:after="0" w:line="134" w:lineRule="exact"/>
        <w:rPr>
          <w:sz w:val="20"/>
          <w:szCs w:val="20"/>
          <w:color w:val="auto"/>
        </w:rPr>
      </w:pPr>
    </w:p>
    <w:p>
      <w:pPr>
        <w:ind w:left="820" w:right="2399"/>
        <w:spacing w:after="0" w:line="268" w:lineRule="auto"/>
        <w:rPr>
          <w:sz w:val="20"/>
          <w:szCs w:val="20"/>
          <w:color w:val="auto"/>
        </w:rPr>
      </w:pPr>
      <w:r>
        <w:rPr>
          <w:rFonts w:ascii="Arial" w:cs="Arial" w:eastAsia="Arial" w:hAnsi="Arial"/>
          <w:sz w:val="18"/>
          <w:szCs w:val="18"/>
          <w:color w:val="auto"/>
        </w:rPr>
        <w:t>Before becoming Vice President of Information Systems, Mr. Paxton served as the Company’s Vice President of Finance since June 1991.</w:t>
      </w:r>
    </w:p>
    <w:p>
      <w:pPr>
        <w:spacing w:after="0" w:line="118" w:lineRule="exact"/>
        <w:rPr>
          <w:sz w:val="20"/>
          <w:szCs w:val="20"/>
          <w:color w:val="auto"/>
        </w:rPr>
      </w:pPr>
    </w:p>
    <w:p>
      <w:pPr>
        <w:ind w:left="820" w:right="2359"/>
        <w:spacing w:after="0" w:line="268" w:lineRule="auto"/>
        <w:rPr>
          <w:sz w:val="20"/>
          <w:szCs w:val="20"/>
          <w:color w:val="auto"/>
        </w:rPr>
      </w:pPr>
      <w:r>
        <w:rPr>
          <w:rFonts w:ascii="Arial" w:cs="Arial" w:eastAsia="Arial" w:hAnsi="Arial"/>
          <w:sz w:val="18"/>
          <w:szCs w:val="18"/>
          <w:color w:val="auto"/>
        </w:rPr>
        <w:t>Prior to becoming Vice President of Sales, Mr. Pirtle had served as the Company’s Vice President of Personal Communications Services since November 1996.</w:t>
      </w:r>
    </w:p>
    <w:p>
      <w:pPr>
        <w:spacing w:after="0" w:line="118" w:lineRule="exact"/>
        <w:rPr>
          <w:sz w:val="20"/>
          <w:szCs w:val="20"/>
          <w:color w:val="auto"/>
        </w:rPr>
      </w:pPr>
    </w:p>
    <w:p>
      <w:pPr>
        <w:ind w:left="820" w:right="2339"/>
        <w:spacing w:after="0" w:line="259" w:lineRule="auto"/>
        <w:rPr>
          <w:sz w:val="20"/>
          <w:szCs w:val="20"/>
          <w:color w:val="auto"/>
        </w:rPr>
      </w:pPr>
      <w:r>
        <w:rPr>
          <w:rFonts w:ascii="Arial" w:cs="Arial" w:eastAsia="Arial" w:hAnsi="Arial"/>
          <w:sz w:val="18"/>
          <w:szCs w:val="18"/>
          <w:color w:val="auto"/>
        </w:rPr>
        <w:t>Prior to becoming Vice President Technology, Mr. Pompeo was Vice President, Converged Services. Before joining the Company as Vice President, Converged Services, Mr. Pompeo served as Chief Technology Officer at Netifice Communications</w:t>
      </w:r>
    </w:p>
    <w:p>
      <w:pPr>
        <w:spacing w:after="0" w:line="19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382" w:right="1440" w:bottom="1440" w:gutter="0" w:footer="0" w:header="0"/>
        </w:sectPr>
      </w:pPr>
    </w:p>
    <w:bookmarkStart w:id="27" w:name="page28"/>
    <w:bookmarkEnd w:id="27"/>
    <w:p>
      <w:pPr>
        <w:ind w:right="2159"/>
        <w:spacing w:after="0" w:line="254" w:lineRule="auto"/>
        <w:rPr>
          <w:sz w:val="20"/>
          <w:szCs w:val="20"/>
          <w:color w:val="auto"/>
        </w:rPr>
      </w:pPr>
      <w:r>
        <w:rPr>
          <w:rFonts w:ascii="Arial" w:cs="Arial" w:eastAsia="Arial" w:hAnsi="Arial"/>
          <w:sz w:val="18"/>
          <w:szCs w:val="18"/>
          <w:color w:val="auto"/>
        </w:rPr>
        <w:t>from 2002-2004, a national Voice Over Internal Protocol and Virtual Private Network service provider from 2002 to 2004. From 2000 to 2002, Mr. Pompeo served as Vice President of Business Development for Broadslate Networks, a data services provider. Prior to his service with that company, Mr. Pompeo held a number of executive positions with the General Electric Company from 1995 to 2000, including President and CEO of GE-Cisco Industrial Networks, a joint venture between GE and Cisco Systems.</w:t>
      </w:r>
    </w:p>
    <w:p>
      <w:pPr>
        <w:spacing w:after="0" w:line="131" w:lineRule="exact"/>
        <w:rPr>
          <w:sz w:val="20"/>
          <w:szCs w:val="20"/>
          <w:color w:val="auto"/>
        </w:rPr>
      </w:pPr>
    </w:p>
    <w:p>
      <w:pPr>
        <w:ind w:right="2159"/>
        <w:spacing w:after="0" w:line="291" w:lineRule="auto"/>
        <w:rPr>
          <w:sz w:val="20"/>
          <w:szCs w:val="20"/>
          <w:color w:val="auto"/>
        </w:rPr>
      </w:pPr>
      <w:r>
        <w:rPr>
          <w:rFonts w:ascii="Arial" w:cs="Arial" w:eastAsia="Arial" w:hAnsi="Arial"/>
          <w:sz w:val="16"/>
          <w:szCs w:val="16"/>
          <w:color w:val="auto"/>
        </w:rPr>
        <w:t>Mr. Spencer has been Company Secretary since May 2005 and General Counsel since July 2004. Before joining the Company as General Counsel, Mr. Spencer was an attorney in private practice in Washington, D.C., where he specialized in telecommunications, corporate and securities law. From May 2000 until June 2003, Mr. Spencer was Vice President and Associate General Counsel of Cable &amp; Wireless Global, a global telecommunications provider. During his service with Cable &amp; Wireless, Mr. Spencer also served as a director of a number of that company’s European subsidiaries.</w:t>
      </w:r>
    </w:p>
    <w:p>
      <w:pPr>
        <w:spacing w:after="0" w:line="107" w:lineRule="exact"/>
        <w:rPr>
          <w:sz w:val="20"/>
          <w:szCs w:val="20"/>
          <w:color w:val="auto"/>
        </w:rPr>
      </w:pPr>
    </w:p>
    <w:p>
      <w:pPr>
        <w:ind w:right="2439"/>
        <w:spacing w:after="0" w:line="318" w:lineRule="auto"/>
        <w:rPr>
          <w:sz w:val="20"/>
          <w:szCs w:val="20"/>
          <w:color w:val="auto"/>
        </w:rPr>
      </w:pPr>
      <w:r>
        <w:rPr>
          <w:rFonts w:ascii="Arial" w:cs="Arial" w:eastAsia="Arial" w:hAnsi="Arial"/>
          <w:sz w:val="15"/>
          <w:szCs w:val="15"/>
          <w:color w:val="auto"/>
        </w:rPr>
        <w:t>Before joining the Company as Vice President, Marketing, Ms. Stadler served as Vice President, Corporate Marketing and Communications for Rexnord Industries, Inc., a mechanical power transmission components manufacturing company, from July 2001 to August 2004. Previously, she served as Director, Strategic Marketing for Siemens Building Technologies, a provider of technical infrastructure solutions for security, comfort and efficiency in buildings, from 1998 to 2001.</w:t>
      </w:r>
    </w:p>
    <w:p>
      <w:pPr>
        <w:spacing w:after="0" w:line="86" w:lineRule="exact"/>
        <w:rPr>
          <w:sz w:val="20"/>
          <w:szCs w:val="20"/>
          <w:color w:val="auto"/>
        </w:rPr>
      </w:pPr>
    </w:p>
    <w:p>
      <w:pPr>
        <w:ind w:right="2159"/>
        <w:spacing w:after="0" w:line="298" w:lineRule="auto"/>
        <w:rPr>
          <w:sz w:val="20"/>
          <w:szCs w:val="20"/>
          <w:color w:val="auto"/>
        </w:rPr>
      </w:pPr>
      <w:r>
        <w:rPr>
          <w:rFonts w:ascii="Arial" w:cs="Arial" w:eastAsia="Arial" w:hAnsi="Arial"/>
          <w:sz w:val="16"/>
          <w:szCs w:val="16"/>
          <w:color w:val="auto"/>
        </w:rPr>
        <w:t xml:space="preserve">Our employees, officers and members of our Board of Directors are expected to conduct business legally and ethically and insist that our vendors and business associates do the same. The Company has adopted a Code of Business Conduct and Ethics applicable to all employees, officers and directors and which is available on the Company’s website </w:t>
      </w:r>
      <w:r>
        <w:rPr>
          <w:rFonts w:ascii="Arial" w:cs="Arial" w:eastAsia="Arial" w:hAnsi="Arial"/>
          <w:sz w:val="16"/>
          <w:szCs w:val="16"/>
          <w:i w:val="1"/>
          <w:iCs w:val="1"/>
          <w:color w:val="auto"/>
        </w:rPr>
        <w:t>www.shentel.com</w:t>
      </w:r>
      <w:r>
        <w:rPr>
          <w:rFonts w:ascii="Arial" w:cs="Arial" w:eastAsia="Arial" w:hAnsi="Arial"/>
          <w:sz w:val="16"/>
          <w:szCs w:val="16"/>
          <w:color w:val="auto"/>
        </w:rPr>
        <w: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Websites and Additional Information</w:t>
      </w:r>
    </w:p>
    <w:p>
      <w:pPr>
        <w:spacing w:after="0" w:line="164" w:lineRule="exact"/>
        <w:rPr>
          <w:sz w:val="20"/>
          <w:szCs w:val="20"/>
          <w:color w:val="auto"/>
        </w:rPr>
      </w:pPr>
    </w:p>
    <w:p>
      <w:pPr>
        <w:ind w:right="2279"/>
        <w:spacing w:after="0" w:line="291" w:lineRule="auto"/>
        <w:rPr>
          <w:sz w:val="20"/>
          <w:szCs w:val="20"/>
          <w:color w:val="auto"/>
        </w:rPr>
      </w:pPr>
      <w:r>
        <w:rPr>
          <w:rFonts w:ascii="Arial" w:cs="Arial" w:eastAsia="Arial" w:hAnsi="Arial"/>
          <w:sz w:val="16"/>
          <w:szCs w:val="16"/>
          <w:color w:val="auto"/>
        </w:rPr>
        <w:t xml:space="preserve">The Company maintains a corporate website at </w:t>
      </w:r>
      <w:r>
        <w:rPr>
          <w:rFonts w:ascii="Arial" w:cs="Arial" w:eastAsia="Arial" w:hAnsi="Arial"/>
          <w:sz w:val="16"/>
          <w:szCs w:val="16"/>
          <w:u w:val="single" w:color="auto"/>
          <w:color w:val="auto"/>
        </w:rPr>
        <w:t>www.shentel.com</w:t>
      </w:r>
      <w:r>
        <w:rPr>
          <w:rFonts w:ascii="Arial" w:cs="Arial" w:eastAsia="Arial" w:hAnsi="Arial"/>
          <w:sz w:val="16"/>
          <w:szCs w:val="16"/>
          <w:color w:val="auto"/>
        </w:rPr>
        <w:t>. We make available free of charge through our website our annual report on Form 10-K, quarterly reports on Form 10-Q, current reports on Form 8-K, and all amendments to those reports, as soon as reasonably practicable after we electronically file or furnish such material with or to the SEC. The contents of our website are not a part of this report. In addition, the SEC maintains a website at www.sec.gov that contains reports, proxy and information statements, and other information regarding the Company.</w:t>
      </w:r>
    </w:p>
    <w:p>
      <w:pPr>
        <w:spacing w:after="0" w:line="107" w:lineRule="exact"/>
        <w:rPr>
          <w:sz w:val="20"/>
          <w:szCs w:val="20"/>
          <w:color w:val="auto"/>
        </w:rPr>
      </w:pPr>
    </w:p>
    <w:p>
      <w:pPr>
        <w:ind w:right="2179"/>
        <w:spacing w:after="0" w:line="287" w:lineRule="auto"/>
        <w:rPr>
          <w:sz w:val="20"/>
          <w:szCs w:val="20"/>
          <w:color w:val="auto"/>
        </w:rPr>
      </w:pPr>
      <w:r>
        <w:rPr>
          <w:rFonts w:ascii="Arial" w:cs="Arial" w:eastAsia="Arial" w:hAnsi="Arial"/>
          <w:sz w:val="16"/>
          <w:szCs w:val="16"/>
          <w:color w:val="auto"/>
        </w:rPr>
        <w:t>We also make available on our website, and in print to any shareholder who requests them, copies of the charters of each standing committee of our board of directors and our code of business conduct and ethics. Requests for copies of these documents may be directed to our Company Secretary at Shenandoah Telecommunications Company, 500 Shentel Way, P.O. Box 459, Edinburg, Virginia 22824. To the extent required by SEC rules, we intend to disclose any amendments to our code of conduct and ethics, and any waiver of a provision of the code with respect to the Company’s directors, principal executive officer, principal financial officer, principal accounting officer or controller, or persons performing similar functions, on our website referred to above within five business days following any such amendment or waiver, or within any other period that may be required under SEC rules from time to time.</w:t>
      </w:r>
    </w:p>
    <w:p>
      <w:pPr>
        <w:spacing w:after="0" w:line="177"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146050</wp:posOffset>
            </wp:positionV>
            <wp:extent cx="5166995" cy="469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9399"/>
          </w:cols>
          <w:pgMar w:left="1060" w:top="388" w:right="1440"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 xml:space="preserve">ITEM 1A. </w:t>
      </w:r>
      <w:r>
        <w:rPr>
          <w:rFonts w:ascii="Arial" w:cs="Arial" w:eastAsia="Arial" w:hAnsi="Arial"/>
          <w:sz w:val="18"/>
          <w:szCs w:val="18"/>
          <w:b w:val="1"/>
          <w:bCs w:val="1"/>
          <w:color w:val="auto"/>
        </w:rPr>
        <w:t>RISK FACTORS</w:t>
      </w:r>
    </w:p>
    <w:p>
      <w:pPr>
        <w:spacing w:after="0" w:line="164" w:lineRule="exact"/>
        <w:rPr>
          <w:sz w:val="20"/>
          <w:szCs w:val="20"/>
          <w:color w:val="auto"/>
        </w:rPr>
      </w:pPr>
    </w:p>
    <w:p>
      <w:pPr>
        <w:ind w:right="2139"/>
        <w:spacing w:after="0" w:line="268" w:lineRule="auto"/>
        <w:rPr>
          <w:sz w:val="20"/>
          <w:szCs w:val="20"/>
          <w:color w:val="auto"/>
        </w:rPr>
      </w:pPr>
      <w:r>
        <w:rPr>
          <w:rFonts w:ascii="Arial" w:cs="Arial" w:eastAsia="Arial" w:hAnsi="Arial"/>
          <w:sz w:val="18"/>
          <w:szCs w:val="18"/>
          <w:color w:val="auto"/>
        </w:rPr>
        <w:t>Our business and operations are subject to a number of risks and uncertainties, including those set forth under “Business-Recent Developments” and the following: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the PCS Business</w:t>
      </w:r>
    </w:p>
    <w:p>
      <w:pPr>
        <w:spacing w:after="0" w:line="152" w:lineRule="exact"/>
        <w:rPr>
          <w:sz w:val="20"/>
          <w:szCs w:val="20"/>
          <w:color w:val="auto"/>
        </w:rPr>
      </w:pPr>
    </w:p>
    <w:p>
      <w:pPr>
        <w:jc w:val="both"/>
        <w:ind w:right="2479"/>
        <w:spacing w:after="0" w:line="262" w:lineRule="auto"/>
        <w:rPr>
          <w:sz w:val="20"/>
          <w:szCs w:val="20"/>
          <w:color w:val="auto"/>
        </w:rPr>
      </w:pPr>
      <w:r>
        <w:rPr>
          <w:rFonts w:ascii="Arial" w:cs="Arial" w:eastAsia="Arial" w:hAnsi="Arial"/>
          <w:sz w:val="18"/>
          <w:szCs w:val="18"/>
          <w:b w:val="1"/>
          <w:bCs w:val="1"/>
          <w:color w:val="auto"/>
        </w:rPr>
        <w:t>The performance of Shenandoah Personal Communications Company, our largest operating subsidiary in terms of revenues and assets, may be adversely affected by any interruption in Sprint Nextel’s business.</w:t>
      </w:r>
    </w:p>
    <w:p>
      <w:pPr>
        <w:spacing w:after="0" w:line="125" w:lineRule="exact"/>
        <w:rPr>
          <w:sz w:val="20"/>
          <w:szCs w:val="20"/>
          <w:color w:val="auto"/>
        </w:rPr>
      </w:pPr>
    </w:p>
    <w:p>
      <w:pPr>
        <w:ind w:right="2359"/>
        <w:spacing w:after="0" w:line="306" w:lineRule="auto"/>
        <w:rPr>
          <w:sz w:val="20"/>
          <w:szCs w:val="20"/>
          <w:color w:val="auto"/>
        </w:rPr>
      </w:pPr>
      <w:r>
        <w:rPr>
          <w:rFonts w:ascii="Arial" w:cs="Arial" w:eastAsia="Arial" w:hAnsi="Arial"/>
          <w:sz w:val="16"/>
          <w:szCs w:val="16"/>
          <w:color w:val="auto"/>
        </w:rPr>
        <w:t>We rely on Sprint Nextel’s ongoing operations to continue to offer our PCS subscribers the seamless national services that we currently provide. Any interruption in Sprint Nextel’s business could adversely affect our results of operations, liquidity and financial condition.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suffer as a result of competitive pressures.</w:t>
      </w:r>
    </w:p>
    <w:p>
      <w:pPr>
        <w:spacing w:after="0" w:line="164" w:lineRule="exact"/>
        <w:rPr>
          <w:sz w:val="20"/>
          <w:szCs w:val="20"/>
          <w:color w:val="auto"/>
        </w:rPr>
      </w:pPr>
    </w:p>
    <w:p>
      <w:pPr>
        <w:ind w:right="2139"/>
        <w:spacing w:after="0" w:line="289" w:lineRule="auto"/>
        <w:rPr>
          <w:sz w:val="20"/>
          <w:szCs w:val="20"/>
          <w:color w:val="auto"/>
        </w:rPr>
      </w:pPr>
      <w:r>
        <w:rPr>
          <w:rFonts w:ascii="Arial" w:cs="Arial" w:eastAsia="Arial" w:hAnsi="Arial"/>
          <w:sz w:val="16"/>
          <w:szCs w:val="16"/>
          <w:color w:val="auto"/>
        </w:rPr>
        <w:t>Our revenue growth is primarily dependent on the growth of the subscriber base, average monthly revenues per user, travel and roaming revenue. Competitive pressures may adversely affect our ability to increase our future revenues at anticipated levels. A continuation of competitive pressures in the wireless telecommunications market has caused some major carriers to offer plans with increasingly larger bundles of minutes of use at lower prices that may compete with the Sprint Nextel wireless calling plans we sell. Increased price competition may lead to lower average monthly revenues per user than we anticipate. The current reciprocal travel rate of $0.058 per minute is effective through the end of 2006. We anticipate that the rate will decrease thereafter.</w:t>
      </w:r>
    </w:p>
    <w:p>
      <w:pPr>
        <w:spacing w:after="0" w:line="99" w:lineRule="exact"/>
        <w:rPr>
          <w:sz w:val="20"/>
          <w:szCs w:val="20"/>
          <w:color w:val="auto"/>
        </w:rPr>
      </w:pPr>
    </w:p>
    <w:p>
      <w:pPr>
        <w:ind w:right="2459"/>
        <w:spacing w:after="0" w:line="275" w:lineRule="auto"/>
        <w:rPr>
          <w:sz w:val="20"/>
          <w:szCs w:val="20"/>
          <w:color w:val="auto"/>
        </w:rPr>
      </w:pPr>
      <w:r>
        <w:rPr>
          <w:rFonts w:ascii="Arial" w:cs="Arial" w:eastAsia="Arial" w:hAnsi="Arial"/>
          <w:sz w:val="18"/>
          <w:szCs w:val="18"/>
          <w:b w:val="1"/>
          <w:bCs w:val="1"/>
          <w:color w:val="auto"/>
        </w:rPr>
        <w:t>We may not be able to implement our business plan if our operating costs are higher than we anticipate.</w:t>
      </w:r>
    </w:p>
    <w:p>
      <w:pPr>
        <w:spacing w:after="0" w:line="112" w:lineRule="exact"/>
        <w:rPr>
          <w:sz w:val="20"/>
          <w:szCs w:val="20"/>
          <w:color w:val="auto"/>
        </w:rPr>
      </w:pPr>
    </w:p>
    <w:p>
      <w:pPr>
        <w:ind w:right="2139"/>
        <w:spacing w:after="0" w:line="290" w:lineRule="auto"/>
        <w:rPr>
          <w:sz w:val="20"/>
          <w:szCs w:val="20"/>
          <w:color w:val="auto"/>
        </w:rPr>
      </w:pPr>
      <w:r>
        <w:rPr>
          <w:rFonts w:ascii="Arial" w:cs="Arial" w:eastAsia="Arial" w:hAnsi="Arial"/>
          <w:sz w:val="16"/>
          <w:szCs w:val="16"/>
          <w:color w:val="auto"/>
        </w:rPr>
        <w:t>Increased competition may lead to higher promotional costs, losses on sales of handsets and other costs to acquire subscribers. Further, as described below under “Risks Related to Our Relationship With Sprint Nextel,” a substantial portion of costs of service and roaming are attributable to fees and charges we pay to Sprint Nextel for billing and collection, customer care and other back-office support. Our ability to manage costs charged by Sprint Nextel is limited. If these costs are more than we anticipate, the actual amount of funds available to implement our operating strategy and business plan may fall short of our estimates.</w:t>
      </w:r>
    </w:p>
    <w:p>
      <w:pPr>
        <w:spacing w:after="0" w:line="99" w:lineRule="exact"/>
        <w:rPr>
          <w:sz w:val="20"/>
          <w:szCs w:val="20"/>
          <w:color w:val="auto"/>
        </w:rPr>
      </w:pPr>
    </w:p>
    <w:p>
      <w:pPr>
        <w:ind w:right="2259"/>
        <w:spacing w:after="0" w:line="275" w:lineRule="auto"/>
        <w:rPr>
          <w:sz w:val="20"/>
          <w:szCs w:val="20"/>
          <w:color w:val="auto"/>
        </w:rPr>
      </w:pPr>
      <w:r>
        <w:rPr>
          <w:rFonts w:ascii="Arial" w:cs="Arial" w:eastAsia="Arial" w:hAnsi="Arial"/>
          <w:sz w:val="18"/>
          <w:szCs w:val="18"/>
          <w:b w:val="1"/>
          <w:bCs w:val="1"/>
          <w:color w:val="auto"/>
        </w:rPr>
        <w:t>The dynamic nature of the wireless market may limit management’s ability to correctly identify causes of volatility in key operating performance measures.</w:t>
      </w:r>
    </w:p>
    <w:p>
      <w:pPr>
        <w:spacing w:after="0" w:line="112" w:lineRule="exact"/>
        <w:rPr>
          <w:sz w:val="20"/>
          <w:szCs w:val="20"/>
          <w:color w:val="auto"/>
        </w:rPr>
      </w:pPr>
    </w:p>
    <w:p>
      <w:pPr>
        <w:ind w:right="2159"/>
        <w:spacing w:after="0" w:line="289" w:lineRule="auto"/>
        <w:rPr>
          <w:sz w:val="20"/>
          <w:szCs w:val="20"/>
          <w:color w:val="auto"/>
        </w:rPr>
      </w:pPr>
      <w:r>
        <w:rPr>
          <w:rFonts w:ascii="Arial" w:cs="Arial" w:eastAsia="Arial" w:hAnsi="Arial"/>
          <w:sz w:val="16"/>
          <w:szCs w:val="16"/>
          <w:color w:val="auto"/>
        </w:rPr>
        <w:t>Our business plan and estimated future operating results are based on estimates of key operating performance measures, including subscriber growth, subscriber turnover (commonly known as churn), average monthly revenue per subscriber, losses on sales of handsets and other subscriber acquisition costs and other operating costs. The dynamic nature of the wireless market, economic conditions, increased competition in the wireless telecommunications industry, new service offerings by Sprint Nextel or competitors of increasingly larger bundles of minutes of use at lower prices, and other issues facing the wireless telecommunications industry in general have created a level of uncertainty that may adversely affect our ability to predict these key measures.</w:t>
      </w:r>
    </w:p>
    <w:p>
      <w:pPr>
        <w:spacing w:after="0" w:line="172"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146050</wp:posOffset>
            </wp:positionV>
            <wp:extent cx="5166995" cy="469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9399"/>
          </w:cols>
          <w:pgMar w:left="1060" w:top="382" w:right="1440" w:bottom="1440" w:gutter="0" w:footer="0" w:header="0"/>
        </w:sectPr>
      </w:pPr>
    </w:p>
    <w:bookmarkStart w:id="29" w:name="page30"/>
    <w:bookmarkEnd w:id="29"/>
    <w:p>
      <w:pPr>
        <w:ind w:right="2359"/>
        <w:spacing w:after="0" w:line="275" w:lineRule="auto"/>
        <w:rPr>
          <w:sz w:val="20"/>
          <w:szCs w:val="20"/>
          <w:color w:val="auto"/>
        </w:rPr>
      </w:pPr>
      <w:r>
        <w:rPr>
          <w:rFonts w:ascii="Arial" w:cs="Arial" w:eastAsia="Arial" w:hAnsi="Arial"/>
          <w:sz w:val="18"/>
          <w:szCs w:val="18"/>
          <w:b w:val="1"/>
          <w:bCs w:val="1"/>
          <w:color w:val="auto"/>
        </w:rPr>
        <w:t>We may experience a high rate of subscriber turnover, which could adversely affect our future financial performance.</w:t>
      </w:r>
    </w:p>
    <w:p>
      <w:pPr>
        <w:spacing w:after="0" w:line="112" w:lineRule="exact"/>
        <w:rPr>
          <w:sz w:val="20"/>
          <w:szCs w:val="20"/>
          <w:color w:val="auto"/>
        </w:rPr>
      </w:pPr>
    </w:p>
    <w:p>
      <w:pPr>
        <w:ind w:right="2239"/>
        <w:spacing w:after="0" w:line="290" w:lineRule="auto"/>
        <w:rPr>
          <w:sz w:val="20"/>
          <w:szCs w:val="20"/>
          <w:color w:val="auto"/>
        </w:rPr>
      </w:pPr>
      <w:r>
        <w:rPr>
          <w:rFonts w:ascii="Arial" w:cs="Arial" w:eastAsia="Arial" w:hAnsi="Arial"/>
          <w:sz w:val="16"/>
          <w:szCs w:val="16"/>
          <w:color w:val="auto"/>
        </w:rPr>
        <w:t>The wireless personal communications services industry in general, including the operations of Sprint Nextel and its PCS Affiliates, has experienced a rate of churn higher than industry average rates. We experienced a relatively consistent churn rate in 2004 and 2005. Our 2006 business plan assumes that our churn rate will remain fairly stable under existing operating conditions. Because of significant competition in the industry and general economic conditions, among other factors, this stability may not occur and the future rate of subscriber turnover may be higher than rates in recent periods. Factors that may contribute to higher churn include the following:</w:t>
      </w:r>
    </w:p>
    <w:p>
      <w:pPr>
        <w:spacing w:after="0" w:line="213" w:lineRule="exact"/>
        <w:rPr>
          <w:sz w:val="20"/>
          <w:szCs w:val="20"/>
          <w:color w:val="auto"/>
        </w:rPr>
      </w:pPr>
    </w:p>
    <w:p>
      <w:pPr>
        <w:ind w:left="1220" w:right="2439" w:hanging="411"/>
        <w:spacing w:after="0" w:line="268"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or unwillingness of subscribers to pay, which would result in involuntary deactivations;</w:t>
      </w:r>
    </w:p>
    <w:p>
      <w:pPr>
        <w:spacing w:after="0" w:line="118" w:lineRule="exact"/>
        <w:rPr>
          <w:rFonts w:ascii="Arial" w:cs="Arial" w:eastAsia="Arial" w:hAnsi="Arial"/>
          <w:sz w:val="18"/>
          <w:szCs w:val="18"/>
          <w:color w:val="auto"/>
        </w:rPr>
      </w:pPr>
    </w:p>
    <w:p>
      <w:pPr>
        <w:ind w:left="1220" w:right="2919" w:hanging="411"/>
        <w:spacing w:after="0" w:line="268"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subscriber mix and credit class, particularly an increase in sub-prime credit subscribers;</w:t>
      </w:r>
    </w:p>
    <w:p>
      <w:pPr>
        <w:spacing w:after="0" w:line="118" w:lineRule="exact"/>
        <w:rPr>
          <w:rFonts w:ascii="Arial" w:cs="Arial" w:eastAsia="Arial" w:hAnsi="Arial"/>
          <w:sz w:val="18"/>
          <w:szCs w:val="18"/>
          <w:color w:val="auto"/>
        </w:rPr>
      </w:pPr>
    </w:p>
    <w:p>
      <w:pPr>
        <w:ind w:left="1220" w:hanging="411"/>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of products, services and pricing of other providers;</w:t>
      </w:r>
    </w:p>
    <w:p>
      <w:pPr>
        <w:spacing w:after="0" w:line="157" w:lineRule="exact"/>
        <w:rPr>
          <w:rFonts w:ascii="Arial" w:cs="Arial" w:eastAsia="Arial" w:hAnsi="Arial"/>
          <w:sz w:val="18"/>
          <w:szCs w:val="18"/>
          <w:color w:val="auto"/>
        </w:rPr>
      </w:pPr>
    </w:p>
    <w:p>
      <w:pPr>
        <w:ind w:left="1220" w:right="2959" w:hanging="411"/>
        <w:spacing w:after="0" w:line="268"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inadequate network performance and coverage relative to that provided by competitors in our service area;</w:t>
      </w:r>
    </w:p>
    <w:p>
      <w:pPr>
        <w:spacing w:after="0" w:line="118" w:lineRule="exact"/>
        <w:rPr>
          <w:rFonts w:ascii="Arial" w:cs="Arial" w:eastAsia="Arial" w:hAnsi="Arial"/>
          <w:sz w:val="18"/>
          <w:szCs w:val="18"/>
          <w:color w:val="auto"/>
        </w:rPr>
      </w:pPr>
    </w:p>
    <w:p>
      <w:pPr>
        <w:ind w:left="1220" w:hanging="411"/>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inadequate customer service;</w:t>
      </w:r>
    </w:p>
    <w:p>
      <w:pPr>
        <w:spacing w:after="0" w:line="157" w:lineRule="exact"/>
        <w:rPr>
          <w:rFonts w:ascii="Arial" w:cs="Arial" w:eastAsia="Arial" w:hAnsi="Arial"/>
          <w:sz w:val="18"/>
          <w:szCs w:val="18"/>
          <w:color w:val="auto"/>
        </w:rPr>
      </w:pPr>
    </w:p>
    <w:p>
      <w:pPr>
        <w:ind w:left="1220" w:hanging="411"/>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prices; and,</w:t>
      </w:r>
    </w:p>
    <w:p>
      <w:pPr>
        <w:spacing w:after="0" w:line="157" w:lineRule="exact"/>
        <w:rPr>
          <w:rFonts w:ascii="Arial" w:cs="Arial" w:eastAsia="Arial" w:hAnsi="Arial"/>
          <w:sz w:val="18"/>
          <w:szCs w:val="18"/>
          <w:color w:val="auto"/>
        </w:rPr>
      </w:pPr>
    </w:p>
    <w:p>
      <w:pPr>
        <w:ind w:left="1220" w:right="2479" w:hanging="411"/>
        <w:spacing w:after="0" w:line="268"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future changes by Sprint Nextel or the Company in the products and services offered.</w:t>
      </w:r>
    </w:p>
    <w:p>
      <w:pPr>
        <w:spacing w:after="0" w:line="227" w:lineRule="exact"/>
        <w:rPr>
          <w:sz w:val="20"/>
          <w:szCs w:val="20"/>
          <w:color w:val="auto"/>
        </w:rPr>
      </w:pPr>
    </w:p>
    <w:p>
      <w:pPr>
        <w:jc w:val="both"/>
        <w:ind w:right="2599"/>
        <w:spacing w:after="0" w:line="259" w:lineRule="auto"/>
        <w:rPr>
          <w:sz w:val="20"/>
          <w:szCs w:val="20"/>
          <w:color w:val="auto"/>
        </w:rPr>
      </w:pPr>
      <w:r>
        <w:rPr>
          <w:rFonts w:ascii="Arial" w:cs="Arial" w:eastAsia="Arial" w:hAnsi="Arial"/>
          <w:sz w:val="18"/>
          <w:szCs w:val="18"/>
          <w:color w:val="auto"/>
        </w:rPr>
        <w:t>A high rate of subscriber turnover could increase the costs and losses we incur in obtaining new subscribers, especially because, consistent with industry practice, we subsidize some of the costs related to the purchases of handsets by subscribers.</w:t>
      </w:r>
    </w:p>
    <w:p>
      <w:pPr>
        <w:spacing w:after="0" w:line="121" w:lineRule="exact"/>
        <w:rPr>
          <w:sz w:val="20"/>
          <w:szCs w:val="20"/>
          <w:color w:val="auto"/>
        </w:rPr>
      </w:pPr>
    </w:p>
    <w:p>
      <w:pPr>
        <w:ind w:right="3039"/>
        <w:spacing w:after="0" w:line="275" w:lineRule="auto"/>
        <w:rPr>
          <w:sz w:val="20"/>
          <w:szCs w:val="20"/>
          <w:color w:val="auto"/>
        </w:rPr>
      </w:pPr>
      <w:r>
        <w:rPr>
          <w:rFonts w:ascii="Arial" w:cs="Arial" w:eastAsia="Arial" w:hAnsi="Arial"/>
          <w:sz w:val="18"/>
          <w:szCs w:val="18"/>
          <w:b w:val="1"/>
          <w:bCs w:val="1"/>
          <w:color w:val="auto"/>
        </w:rPr>
        <w:t>The allowance for doubtful accounts is an estimate and may not be sufficient to cover uncollectible accounts.</w:t>
      </w:r>
    </w:p>
    <w:p>
      <w:pPr>
        <w:spacing w:after="0" w:line="112" w:lineRule="exact"/>
        <w:rPr>
          <w:sz w:val="20"/>
          <w:szCs w:val="20"/>
          <w:color w:val="auto"/>
        </w:rPr>
      </w:pPr>
    </w:p>
    <w:p>
      <w:pPr>
        <w:ind w:right="2259"/>
        <w:spacing w:after="0" w:line="306" w:lineRule="auto"/>
        <w:rPr>
          <w:sz w:val="20"/>
          <w:szCs w:val="20"/>
          <w:color w:val="auto"/>
        </w:rPr>
      </w:pPr>
      <w:r>
        <w:rPr>
          <w:rFonts w:ascii="Arial" w:cs="Arial" w:eastAsia="Arial" w:hAnsi="Arial"/>
          <w:sz w:val="16"/>
          <w:szCs w:val="16"/>
          <w:color w:val="auto"/>
        </w:rPr>
        <w:t>On an ongoing basis, we estimate the amount of subscriber receivables that will not be collectible based on historical results and actual write-offs reported by Sprint Nextel. The allowance for doubtful accounts may underestimate actual unpaid receivables for various reasons, including the following:</w:t>
      </w:r>
    </w:p>
    <w:p>
      <w:pPr>
        <w:spacing w:after="0" w:line="201" w:lineRule="exact"/>
        <w:rPr>
          <w:sz w:val="20"/>
          <w:szCs w:val="20"/>
          <w:color w:val="auto"/>
        </w:rPr>
      </w:pPr>
    </w:p>
    <w:p>
      <w:pPr>
        <w:ind w:left="1220" w:hanging="411"/>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churn rate may exceed estimates;</w:t>
      </w:r>
    </w:p>
    <w:p>
      <w:pPr>
        <w:spacing w:after="0" w:line="157" w:lineRule="exact"/>
        <w:rPr>
          <w:rFonts w:ascii="Arial" w:cs="Arial" w:eastAsia="Arial" w:hAnsi="Arial"/>
          <w:sz w:val="18"/>
          <w:szCs w:val="18"/>
          <w:color w:val="auto"/>
        </w:rPr>
      </w:pPr>
    </w:p>
    <w:p>
      <w:pPr>
        <w:ind w:left="1220" w:right="2779" w:hanging="411"/>
        <w:spacing w:after="0" w:line="268"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bad debt as a percentage of service revenues may increase rather than remain consistent with historical trends;</w:t>
      </w:r>
    </w:p>
    <w:p>
      <w:pPr>
        <w:spacing w:after="0" w:line="118" w:lineRule="exact"/>
        <w:rPr>
          <w:rFonts w:ascii="Arial" w:cs="Arial" w:eastAsia="Arial" w:hAnsi="Arial"/>
          <w:sz w:val="18"/>
          <w:szCs w:val="18"/>
          <w:color w:val="auto"/>
        </w:rPr>
      </w:pPr>
    </w:p>
    <w:p>
      <w:pPr>
        <w:ind w:left="1220" w:hanging="411"/>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conditions may worsen; or</w:t>
      </w:r>
    </w:p>
    <w:p>
      <w:pPr>
        <w:spacing w:after="0" w:line="157" w:lineRule="exact"/>
        <w:rPr>
          <w:rFonts w:ascii="Arial" w:cs="Arial" w:eastAsia="Arial" w:hAnsi="Arial"/>
          <w:sz w:val="18"/>
          <w:szCs w:val="18"/>
          <w:color w:val="auto"/>
        </w:rPr>
      </w:pPr>
    </w:p>
    <w:p>
      <w:pPr>
        <w:ind w:left="1220" w:hanging="411"/>
        <w:spacing w:after="0"/>
        <w:tabs>
          <w:tab w:leader="none" w:pos="122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there may be unanticipated changes in Sprint Nextel’s wireless products and services.</w:t>
      </w:r>
    </w:p>
    <w:p>
      <w:pPr>
        <w:spacing w:after="0" w:line="260"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146050</wp:posOffset>
            </wp:positionV>
            <wp:extent cx="5166995" cy="469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9399"/>
          </w:cols>
          <w:pgMar w:left="1060" w:top="382" w:right="1440" w:bottom="1440" w:gutter="0" w:footer="0" w:header="0"/>
        </w:sectPr>
      </w:pPr>
    </w:p>
    <w:bookmarkStart w:id="30" w:name="page31"/>
    <w:bookmarkEnd w:id="30"/>
    <w:p>
      <w:pPr>
        <w:ind w:right="2339"/>
        <w:spacing w:after="0" w:line="268" w:lineRule="auto"/>
        <w:rPr>
          <w:sz w:val="20"/>
          <w:szCs w:val="20"/>
          <w:color w:val="auto"/>
        </w:rPr>
      </w:pPr>
      <w:r>
        <w:rPr>
          <w:rFonts w:ascii="Arial" w:cs="Arial" w:eastAsia="Arial" w:hAnsi="Arial"/>
          <w:sz w:val="18"/>
          <w:szCs w:val="18"/>
          <w:color w:val="auto"/>
        </w:rPr>
        <w:t>If the allowance for doubtful accounts is insufficient to cover losses on receivables, our liquidity and financial condition could be impaired.</w:t>
      </w:r>
    </w:p>
    <w:p>
      <w:pPr>
        <w:spacing w:after="0" w:line="112" w:lineRule="exact"/>
        <w:rPr>
          <w:sz w:val="20"/>
          <w:szCs w:val="20"/>
          <w:color w:val="auto"/>
        </w:rPr>
      </w:pPr>
    </w:p>
    <w:p>
      <w:pPr>
        <w:ind w:right="2179"/>
        <w:spacing w:after="0" w:line="339" w:lineRule="auto"/>
        <w:rPr>
          <w:sz w:val="20"/>
          <w:szCs w:val="20"/>
          <w:color w:val="auto"/>
        </w:rPr>
      </w:pPr>
      <w:r>
        <w:rPr>
          <w:rFonts w:ascii="Arial" w:cs="Arial" w:eastAsia="Arial" w:hAnsi="Arial"/>
          <w:sz w:val="16"/>
          <w:szCs w:val="16"/>
          <w:b w:val="1"/>
          <w:bCs w:val="1"/>
          <w:color w:val="auto"/>
        </w:rPr>
        <w:t>Travel revenue, which is the fee paid to us by Sprint Nextel and the other Sprint Nextel Affiliates when their customers use our network, could be less than we anticipate.</w:t>
      </w:r>
    </w:p>
    <w:p>
      <w:pPr>
        <w:spacing w:after="0" w:line="67" w:lineRule="exact"/>
        <w:rPr>
          <w:sz w:val="20"/>
          <w:szCs w:val="20"/>
          <w:color w:val="auto"/>
        </w:rPr>
      </w:pPr>
    </w:p>
    <w:p>
      <w:pPr>
        <w:ind w:right="2219"/>
        <w:spacing w:after="0" w:line="255" w:lineRule="auto"/>
        <w:rPr>
          <w:sz w:val="20"/>
          <w:szCs w:val="20"/>
          <w:color w:val="auto"/>
        </w:rPr>
      </w:pPr>
      <w:r>
        <w:rPr>
          <w:rFonts w:ascii="Arial" w:cs="Arial" w:eastAsia="Arial" w:hAnsi="Arial"/>
          <w:sz w:val="18"/>
          <w:szCs w:val="18"/>
          <w:color w:val="auto"/>
        </w:rPr>
        <w:t>The net balance of PCS travel revenue and expense could change significantly due to changes in service plan offerings, changes in the travel settlement rate, changes in travel habits by the subscribers in the Company’s market areas or other Sprint Nextel subscribers and numerous other factors beyond the Company’s control. A change in this balance could adversely affect our liquidity, financial condition and results of operations.</w:t>
      </w:r>
    </w:p>
    <w:p>
      <w:pPr>
        <w:spacing w:after="0" w:line="123" w:lineRule="exact"/>
        <w:rPr>
          <w:sz w:val="20"/>
          <w:szCs w:val="20"/>
          <w:color w:val="auto"/>
        </w:rPr>
      </w:pPr>
    </w:p>
    <w:p>
      <w:pPr>
        <w:ind w:right="2259"/>
        <w:spacing w:after="0" w:line="275" w:lineRule="auto"/>
        <w:rPr>
          <w:sz w:val="20"/>
          <w:szCs w:val="20"/>
          <w:color w:val="auto"/>
        </w:rPr>
      </w:pPr>
      <w:r>
        <w:rPr>
          <w:rFonts w:ascii="Arial" w:cs="Arial" w:eastAsia="Arial" w:hAnsi="Arial"/>
          <w:sz w:val="18"/>
          <w:szCs w:val="18"/>
          <w:b w:val="1"/>
          <w:bCs w:val="1"/>
          <w:color w:val="auto"/>
        </w:rPr>
        <w:t>We may incur significantly higher wireless handset subsidy costs than we anticipate for existing subscribers who upgrade to a new handset.</w:t>
      </w:r>
    </w:p>
    <w:p>
      <w:pPr>
        <w:spacing w:after="0" w:line="112" w:lineRule="exact"/>
        <w:rPr>
          <w:sz w:val="20"/>
          <w:szCs w:val="20"/>
          <w:color w:val="auto"/>
        </w:rPr>
      </w:pPr>
    </w:p>
    <w:p>
      <w:pPr>
        <w:ind w:right="2359"/>
        <w:spacing w:after="0" w:line="290" w:lineRule="auto"/>
        <w:rPr>
          <w:sz w:val="20"/>
          <w:szCs w:val="20"/>
          <w:color w:val="auto"/>
        </w:rPr>
      </w:pPr>
      <w:r>
        <w:rPr>
          <w:rFonts w:ascii="Arial" w:cs="Arial" w:eastAsia="Arial" w:hAnsi="Arial"/>
          <w:sz w:val="16"/>
          <w:szCs w:val="16"/>
          <w:color w:val="auto"/>
        </w:rPr>
        <w:t>As our subscriber base matures, and technological innovations occur, we anticipate that existing subscribers will continue to upgrade to new wireless handsets. To discourage customer defections to competitors, we subsidize a portion of the price of wireless handsets and in some cases incur sales commissions for handset upgrades. If more subscribers upgrade to new wireless handsets than we project, our results of operations would be adversely affected. If we do not continue to subsidize the cost of the handsets for handset up-grades, subscribers could choose to deactivate the handsets and move to other carriers.</w:t>
      </w:r>
    </w:p>
    <w:p>
      <w:pPr>
        <w:spacing w:after="0" w:line="99" w:lineRule="exact"/>
        <w:rPr>
          <w:sz w:val="20"/>
          <w:szCs w:val="20"/>
          <w:color w:val="auto"/>
        </w:rPr>
      </w:pPr>
    </w:p>
    <w:p>
      <w:pPr>
        <w:ind w:right="2179"/>
        <w:spacing w:after="0" w:line="262" w:lineRule="auto"/>
        <w:rPr>
          <w:sz w:val="20"/>
          <w:szCs w:val="20"/>
          <w:color w:val="auto"/>
        </w:rPr>
      </w:pPr>
      <w:r>
        <w:rPr>
          <w:rFonts w:ascii="Arial" w:cs="Arial" w:eastAsia="Arial" w:hAnsi="Arial"/>
          <w:sz w:val="18"/>
          <w:szCs w:val="18"/>
          <w:b w:val="1"/>
          <w:bCs w:val="1"/>
          <w:color w:val="auto"/>
        </w:rPr>
        <w:t>If we are unable to secure additional tower sites or leases to install equipment to expand the wireless coverage, or are unable to renew expiring leases, the level of service we provide could be adversely affected.</w:t>
      </w:r>
    </w:p>
    <w:p>
      <w:pPr>
        <w:spacing w:after="0" w:line="125" w:lineRule="exact"/>
        <w:rPr>
          <w:sz w:val="20"/>
          <w:szCs w:val="20"/>
          <w:color w:val="auto"/>
        </w:rPr>
      </w:pPr>
    </w:p>
    <w:p>
      <w:pPr>
        <w:ind w:right="2159"/>
        <w:spacing w:after="0" w:line="294" w:lineRule="auto"/>
        <w:rPr>
          <w:sz w:val="20"/>
          <w:szCs w:val="20"/>
          <w:color w:val="auto"/>
        </w:rPr>
      </w:pPr>
      <w:r>
        <w:rPr>
          <w:rFonts w:ascii="Arial" w:cs="Arial" w:eastAsia="Arial" w:hAnsi="Arial"/>
          <w:sz w:val="16"/>
          <w:szCs w:val="16"/>
          <w:color w:val="auto"/>
        </w:rPr>
        <w:t>Many of our cell sites are co-located on leased tower facilities shared with one or more wireless providers. A large portion of these leased tower sites are owned by a limited number of companies. If economic conditions affect the leasing company, our lease may be affected and the ability to remain on the tower at reasonable rates could be jeopardized, which could leave areas of our service area without service and increase customer turnover.</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the Wireless Industry</w:t>
      </w:r>
    </w:p>
    <w:p>
      <w:pPr>
        <w:spacing w:after="0" w:line="152" w:lineRule="exact"/>
        <w:rPr>
          <w:sz w:val="20"/>
          <w:szCs w:val="20"/>
          <w:color w:val="auto"/>
        </w:rPr>
      </w:pPr>
    </w:p>
    <w:p>
      <w:pPr>
        <w:ind w:right="2339"/>
        <w:spacing w:after="0" w:line="275" w:lineRule="auto"/>
        <w:rPr>
          <w:sz w:val="20"/>
          <w:szCs w:val="20"/>
          <w:color w:val="auto"/>
        </w:rPr>
      </w:pPr>
      <w:r>
        <w:rPr>
          <w:rFonts w:ascii="Arial" w:cs="Arial" w:eastAsia="Arial" w:hAnsi="Arial"/>
          <w:sz w:val="18"/>
          <w:szCs w:val="18"/>
          <w:b w:val="1"/>
          <w:bCs w:val="1"/>
          <w:color w:val="auto"/>
        </w:rPr>
        <w:t>Customer concerns over radio frequency emissions may discourage use of wireless handsets or expose us to potential litigation.</w:t>
      </w:r>
    </w:p>
    <w:p>
      <w:pPr>
        <w:spacing w:after="0" w:line="112" w:lineRule="exact"/>
        <w:rPr>
          <w:sz w:val="20"/>
          <w:szCs w:val="20"/>
          <w:color w:val="auto"/>
        </w:rPr>
      </w:pPr>
    </w:p>
    <w:p>
      <w:pPr>
        <w:ind w:right="2139"/>
        <w:spacing w:after="0" w:line="294" w:lineRule="auto"/>
        <w:rPr>
          <w:sz w:val="20"/>
          <w:szCs w:val="20"/>
          <w:color w:val="auto"/>
        </w:rPr>
      </w:pPr>
      <w:r>
        <w:rPr>
          <w:rFonts w:ascii="Arial" w:cs="Arial" w:eastAsia="Arial" w:hAnsi="Arial"/>
          <w:sz w:val="16"/>
          <w:szCs w:val="16"/>
          <w:color w:val="auto"/>
        </w:rPr>
        <w:t>Media reports have suggested that certain radio frequency emissions from wireless handsets may be linked to various health problems, including cancer, and may interfere with various electronic medical devices, including hearing aids and pacemakers. Any decrease in demand for wireless services, costs of litigation or damage awards resulting from customer concern regarding such emissions could impair our ability to sustain profitable operations.</w:t>
      </w:r>
    </w:p>
    <w:p>
      <w:pPr>
        <w:spacing w:after="0" w:line="102" w:lineRule="exact"/>
        <w:rPr>
          <w:sz w:val="20"/>
          <w:szCs w:val="20"/>
          <w:color w:val="auto"/>
        </w:rPr>
      </w:pPr>
    </w:p>
    <w:p>
      <w:pPr>
        <w:ind w:right="2139"/>
        <w:spacing w:after="0" w:line="259" w:lineRule="auto"/>
        <w:rPr>
          <w:sz w:val="20"/>
          <w:szCs w:val="20"/>
          <w:color w:val="auto"/>
        </w:rPr>
      </w:pPr>
      <w:r>
        <w:rPr>
          <w:rFonts w:ascii="Arial" w:cs="Arial" w:eastAsia="Arial" w:hAnsi="Arial"/>
          <w:sz w:val="18"/>
          <w:szCs w:val="18"/>
          <w:color w:val="auto"/>
        </w:rPr>
        <w:t>Regulation by government or potential litigation relating to the use of wireless phones while driving could adversely affect results of our wireless operations. Some studies have indicated that some aspects of using wireless phones while driving may impair</w:t>
      </w:r>
    </w:p>
    <w:p>
      <w:pPr>
        <w:spacing w:after="0" w:line="194"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146050</wp:posOffset>
            </wp:positionV>
            <wp:extent cx="5166995" cy="469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9399"/>
          </w:cols>
          <w:pgMar w:left="1060" w:top="388" w:right="1440" w:bottom="1440" w:gutter="0" w:footer="0" w:header="0"/>
        </w:sectPr>
      </w:pPr>
    </w:p>
    <w:bookmarkStart w:id="31" w:name="page32"/>
    <w:bookmarkEnd w:id="31"/>
    <w:p>
      <w:pPr>
        <w:ind w:right="2119"/>
        <w:spacing w:after="0" w:line="286" w:lineRule="auto"/>
        <w:rPr>
          <w:sz w:val="20"/>
          <w:szCs w:val="20"/>
          <w:color w:val="auto"/>
        </w:rPr>
      </w:pPr>
      <w:r>
        <w:rPr>
          <w:rFonts w:ascii="Arial" w:cs="Arial" w:eastAsia="Arial" w:hAnsi="Arial"/>
          <w:sz w:val="16"/>
          <w:szCs w:val="16"/>
          <w:color w:val="auto"/>
        </w:rPr>
        <w:t>drivers’ attention in certain circumstances, making accidents more likely. These concerns could lead to litigation relating to accidents, deaths or serious bodily injuries, or to new restrictions or regulations on wireless phone use. A number of U.S. states and local governments are considering or have enacted legislation that would restrict or prohibit the use of a wireless handset while driving a vehicle or, alternatively, require the use of a hands-free telephone. Legislation of this nature, if enacted, may require wireless service providers to supply to their subscribers hands-free enhanced services, such as voice activated dialing and hands-free speaker phones and headsets, so that they can keep generating revenue from their subscribers, who make many of their calls while on the road. If we are unable to provide hands-free services and products to subscribers in a timely and adequate fashion, the volume of wireless phone usage would likely decrease, and the ability of our wireless operations to generate revenues would suffer.</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the Telecommunications Industry</w:t>
      </w:r>
    </w:p>
    <w:p>
      <w:pPr>
        <w:spacing w:after="0" w:line="152" w:lineRule="exact"/>
        <w:rPr>
          <w:sz w:val="20"/>
          <w:szCs w:val="20"/>
          <w:color w:val="auto"/>
        </w:rPr>
      </w:pPr>
    </w:p>
    <w:p>
      <w:pPr>
        <w:ind w:right="2119"/>
        <w:spacing w:after="0" w:line="275" w:lineRule="auto"/>
        <w:rPr>
          <w:sz w:val="20"/>
          <w:szCs w:val="20"/>
          <w:color w:val="auto"/>
        </w:rPr>
      </w:pPr>
      <w:r>
        <w:rPr>
          <w:rFonts w:ascii="Arial" w:cs="Arial" w:eastAsia="Arial" w:hAnsi="Arial"/>
          <w:sz w:val="18"/>
          <w:szCs w:val="18"/>
          <w:b w:val="1"/>
          <w:bCs w:val="1"/>
          <w:color w:val="auto"/>
        </w:rPr>
        <w:t>Intensifying competition in all segments of our business may limit our ability to sustain profitable operations.</w:t>
      </w:r>
    </w:p>
    <w:p>
      <w:pPr>
        <w:spacing w:after="0" w:line="112" w:lineRule="exact"/>
        <w:rPr>
          <w:sz w:val="20"/>
          <w:szCs w:val="20"/>
          <w:color w:val="auto"/>
        </w:rPr>
      </w:pPr>
    </w:p>
    <w:p>
      <w:pPr>
        <w:ind w:right="2159"/>
        <w:spacing w:after="0" w:line="254" w:lineRule="auto"/>
        <w:rPr>
          <w:sz w:val="20"/>
          <w:szCs w:val="20"/>
          <w:color w:val="auto"/>
        </w:rPr>
      </w:pPr>
      <w:r>
        <w:rPr>
          <w:rFonts w:ascii="Arial" w:cs="Arial" w:eastAsia="Arial" w:hAnsi="Arial"/>
          <w:sz w:val="18"/>
          <w:szCs w:val="18"/>
          <w:color w:val="auto"/>
        </w:rPr>
        <w:t>As new technologies are developed and deployed by competitors in our service area, some of our subscribers may select other providers’ offerings based on price, capabilities and personal preferences. Most of our competitors possess greater resources, have more extensive coverage areas, and offer more services than we do. If significant numbers of our subscribers elect to move to other competing providers, or if market saturation limits the rate of new subscriber additions, we may not be able to sustain profitable operations.</w:t>
      </w:r>
    </w:p>
    <w:p>
      <w:pPr>
        <w:spacing w:after="0" w:line="125" w:lineRule="exact"/>
        <w:rPr>
          <w:sz w:val="20"/>
          <w:szCs w:val="20"/>
          <w:color w:val="auto"/>
        </w:rPr>
      </w:pPr>
    </w:p>
    <w:p>
      <w:pPr>
        <w:ind w:right="2199"/>
        <w:spacing w:after="0" w:line="339" w:lineRule="auto"/>
        <w:rPr>
          <w:sz w:val="20"/>
          <w:szCs w:val="20"/>
          <w:color w:val="auto"/>
        </w:rPr>
      </w:pPr>
      <w:r>
        <w:rPr>
          <w:rFonts w:ascii="Arial" w:cs="Arial" w:eastAsia="Arial" w:hAnsi="Arial"/>
          <w:sz w:val="16"/>
          <w:szCs w:val="16"/>
          <w:b w:val="1"/>
          <w:bCs w:val="1"/>
          <w:color w:val="auto"/>
        </w:rPr>
        <w:t>Alternative technologies, changes in the regulatory environment and current uncertainties in the marketplace may reduce future demand for existing telecommunication services.</w:t>
      </w:r>
    </w:p>
    <w:p>
      <w:pPr>
        <w:spacing w:after="0" w:line="67" w:lineRule="exact"/>
        <w:rPr>
          <w:sz w:val="20"/>
          <w:szCs w:val="20"/>
          <w:color w:val="auto"/>
        </w:rPr>
      </w:pPr>
    </w:p>
    <w:p>
      <w:pPr>
        <w:ind w:right="2099"/>
        <w:spacing w:after="0" w:line="291" w:lineRule="auto"/>
        <w:rPr>
          <w:sz w:val="20"/>
          <w:szCs w:val="20"/>
          <w:color w:val="auto"/>
        </w:rPr>
      </w:pPr>
      <w:r>
        <w:rPr>
          <w:rFonts w:ascii="Arial" w:cs="Arial" w:eastAsia="Arial" w:hAnsi="Arial"/>
          <w:sz w:val="16"/>
          <w:szCs w:val="16"/>
          <w:color w:val="auto"/>
        </w:rPr>
        <w:t>The telecommunications industry is experiencing significant technological change, evolving industry standards, ongoing improvements in the capacity and quality of digital technology, shorter development cycles for new products and enhancements and changes in end-user requirements and preferences. Technological advances and industry changes could cause the technology we use to become obsolete. We and our vendors may not be able to respond to such changes and implement new technology on a timely basis, or at an acceptable cost.</w:t>
      </w:r>
    </w:p>
    <w:p>
      <w:pPr>
        <w:spacing w:after="0" w:line="101" w:lineRule="exact"/>
        <w:rPr>
          <w:sz w:val="20"/>
          <w:szCs w:val="20"/>
          <w:color w:val="auto"/>
        </w:rPr>
      </w:pPr>
    </w:p>
    <w:p>
      <w:pPr>
        <w:ind w:right="2459"/>
        <w:spacing w:after="0" w:line="262" w:lineRule="auto"/>
        <w:rPr>
          <w:sz w:val="20"/>
          <w:szCs w:val="20"/>
          <w:color w:val="auto"/>
        </w:rPr>
      </w:pPr>
      <w:r>
        <w:rPr>
          <w:rFonts w:ascii="Arial" w:cs="Arial" w:eastAsia="Arial" w:hAnsi="Arial"/>
          <w:sz w:val="18"/>
          <w:szCs w:val="18"/>
          <w:b w:val="1"/>
          <w:bCs w:val="1"/>
          <w:color w:val="auto"/>
        </w:rPr>
        <w:t>A recession in the United States or adverse economic conditions in our market area involving significantly reduced consumer spending could have a negative impact on our results of operations.</w:t>
      </w:r>
    </w:p>
    <w:p>
      <w:pPr>
        <w:spacing w:after="0" w:line="125" w:lineRule="exact"/>
        <w:rPr>
          <w:sz w:val="20"/>
          <w:szCs w:val="20"/>
          <w:color w:val="auto"/>
        </w:rPr>
      </w:pPr>
    </w:p>
    <w:p>
      <w:pPr>
        <w:jc w:val="both"/>
        <w:ind w:right="2219"/>
        <w:spacing w:after="0" w:line="306" w:lineRule="auto"/>
        <w:rPr>
          <w:sz w:val="20"/>
          <w:szCs w:val="20"/>
          <w:color w:val="auto"/>
        </w:rPr>
      </w:pPr>
      <w:r>
        <w:rPr>
          <w:rFonts w:ascii="Arial" w:cs="Arial" w:eastAsia="Arial" w:hAnsi="Arial"/>
          <w:sz w:val="16"/>
          <w:szCs w:val="16"/>
          <w:color w:val="auto"/>
        </w:rPr>
        <w:t>Our customers are individual consumers and businesses that provide goods and services to others, and are located in a relatively concentrated geographic area. An economic downturn on a national scale or in our market could depress consumer spending and harm our operating performance.</w:t>
      </w:r>
    </w:p>
    <w:p>
      <w:pPr>
        <w:spacing w:after="0" w:line="87" w:lineRule="exact"/>
        <w:rPr>
          <w:sz w:val="20"/>
          <w:szCs w:val="20"/>
          <w:color w:val="auto"/>
        </w:rPr>
      </w:pPr>
    </w:p>
    <w:p>
      <w:pPr>
        <w:ind w:right="2439"/>
        <w:spacing w:after="0" w:line="378" w:lineRule="auto"/>
        <w:rPr>
          <w:sz w:val="20"/>
          <w:szCs w:val="20"/>
          <w:color w:val="auto"/>
        </w:rPr>
      </w:pPr>
      <w:r>
        <w:rPr>
          <w:rFonts w:ascii="Arial" w:cs="Arial" w:eastAsia="Arial" w:hAnsi="Arial"/>
          <w:sz w:val="15"/>
          <w:szCs w:val="15"/>
          <w:b w:val="1"/>
          <w:bCs w:val="1"/>
          <w:color w:val="auto"/>
        </w:rPr>
        <w:t>Regulation by government and taxing agencies may increase our costs of providing service or require changes in services, either of which could impair our financial performance.</w:t>
      </w:r>
    </w:p>
    <w:p>
      <w:pPr>
        <w:spacing w:after="0" w:line="43" w:lineRule="exact"/>
        <w:rPr>
          <w:sz w:val="20"/>
          <w:szCs w:val="20"/>
          <w:color w:val="auto"/>
        </w:rPr>
      </w:pPr>
    </w:p>
    <w:p>
      <w:pPr>
        <w:ind w:right="2239"/>
        <w:spacing w:after="0" w:line="259" w:lineRule="auto"/>
        <w:rPr>
          <w:sz w:val="20"/>
          <w:szCs w:val="20"/>
          <w:color w:val="auto"/>
        </w:rPr>
      </w:pPr>
      <w:r>
        <w:rPr>
          <w:rFonts w:ascii="Arial" w:cs="Arial" w:eastAsia="Arial" w:hAnsi="Arial"/>
          <w:sz w:val="18"/>
          <w:szCs w:val="18"/>
          <w:color w:val="auto"/>
        </w:rPr>
        <w:t>Our operations are subject to varying degrees of regulation by the Federal Communications Commission, the Federal Trade Commission, the Federal Aviation Administration, the Environmental Protection Agency, and the Occupational Safety and</w:t>
      </w:r>
    </w:p>
    <w:p>
      <w:pPr>
        <w:spacing w:after="0" w:line="194"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146050</wp:posOffset>
            </wp:positionV>
            <wp:extent cx="5166995" cy="469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9399"/>
          </w:cols>
          <w:pgMar w:left="1060" w:top="388" w:right="1440" w:bottom="1440" w:gutter="0" w:footer="0" w:header="0"/>
        </w:sectPr>
      </w:pPr>
    </w:p>
    <w:bookmarkStart w:id="32" w:name="page33"/>
    <w:bookmarkEnd w:id="32"/>
    <w:p>
      <w:pPr>
        <w:ind w:right="2199"/>
        <w:spacing w:after="0" w:line="256" w:lineRule="auto"/>
        <w:rPr>
          <w:sz w:val="20"/>
          <w:szCs w:val="20"/>
          <w:color w:val="auto"/>
        </w:rPr>
      </w:pPr>
      <w:r>
        <w:rPr>
          <w:rFonts w:ascii="Arial" w:cs="Arial" w:eastAsia="Arial" w:hAnsi="Arial"/>
          <w:sz w:val="18"/>
          <w:szCs w:val="18"/>
          <w:color w:val="auto"/>
        </w:rPr>
        <w:t>Health Administration, as well as by state and local regulatory agencies. Action by these regulatory bodies could negatively affect our operations and our costs of doing business. For example, changes in tax laws or the interpretation of existing tax laws by state and local authorities could increase income, sales, property or other tax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the Cable Industry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face risks from increasing competition for the provision of cable and related video services.</w:t>
      </w:r>
    </w:p>
    <w:p>
      <w:pPr>
        <w:spacing w:after="0" w:line="187" w:lineRule="exact"/>
        <w:rPr>
          <w:sz w:val="20"/>
          <w:szCs w:val="20"/>
          <w:color w:val="auto"/>
        </w:rPr>
      </w:pPr>
    </w:p>
    <w:p>
      <w:pPr>
        <w:ind w:right="2159"/>
        <w:spacing w:after="0" w:line="288" w:lineRule="auto"/>
        <w:rPr>
          <w:sz w:val="20"/>
          <w:szCs w:val="20"/>
          <w:color w:val="auto"/>
        </w:rPr>
      </w:pPr>
      <w:r>
        <w:rPr>
          <w:rFonts w:ascii="Arial" w:cs="Arial" w:eastAsia="Arial" w:hAnsi="Arial"/>
          <w:sz w:val="16"/>
          <w:szCs w:val="16"/>
          <w:color w:val="auto"/>
        </w:rPr>
        <w:t>Video services historically have been provided by incumbent cable companies and direct broadcast satellite providers. Recently, however, some of the largest providers of wireline telecommunications services such as Verizon and AT&amp;T have begun to upgrade their networks to provide video services in addition to voice and broadband services. Wireless providers also are entering the market for video services by making such services available on handsets. The influx of competitors in this area, together with the development of new technologies to support them, are resulting in significant changes in the business models and regulatory provisions that have applied to the provision of video and other services. These developments may lead to a broad decline in the price and profitability of video and other services.</w:t>
      </w:r>
    </w:p>
    <w:p>
      <w:pPr>
        <w:spacing w:after="0" w:line="100" w:lineRule="exact"/>
        <w:rPr>
          <w:sz w:val="20"/>
          <w:szCs w:val="20"/>
          <w:color w:val="auto"/>
        </w:rPr>
      </w:pPr>
    </w:p>
    <w:p>
      <w:pPr>
        <w:ind w:right="2739"/>
        <w:spacing w:after="0" w:line="339" w:lineRule="auto"/>
        <w:rPr>
          <w:sz w:val="20"/>
          <w:szCs w:val="20"/>
          <w:color w:val="auto"/>
        </w:rPr>
      </w:pPr>
      <w:r>
        <w:rPr>
          <w:rFonts w:ascii="Arial" w:cs="Arial" w:eastAsia="Arial" w:hAnsi="Arial"/>
          <w:sz w:val="16"/>
          <w:szCs w:val="16"/>
          <w:b w:val="1"/>
          <w:bCs w:val="1"/>
          <w:color w:val="auto"/>
        </w:rPr>
        <w:t>Our inability to retain preferred or exclusive access to buildings and developments would negatively affect our ability to serve some of our customers.</w:t>
      </w:r>
    </w:p>
    <w:p>
      <w:pPr>
        <w:spacing w:after="0" w:line="67" w:lineRule="exact"/>
        <w:rPr>
          <w:sz w:val="20"/>
          <w:szCs w:val="20"/>
          <w:color w:val="auto"/>
        </w:rPr>
      </w:pPr>
    </w:p>
    <w:p>
      <w:pPr>
        <w:ind w:right="2139"/>
        <w:spacing w:after="0" w:line="314" w:lineRule="auto"/>
        <w:rPr>
          <w:sz w:val="20"/>
          <w:szCs w:val="20"/>
          <w:color w:val="auto"/>
        </w:rPr>
      </w:pPr>
      <w:r>
        <w:rPr>
          <w:rFonts w:ascii="Arial" w:cs="Arial" w:eastAsia="Arial" w:hAnsi="Arial"/>
          <w:sz w:val="15"/>
          <w:szCs w:val="15"/>
          <w:color w:val="auto"/>
        </w:rPr>
        <w:t>We currently have an advantage in our ability to provide video and other services in some areas because we have entered into preferred or exclusive agreements with property owners to serve those areas. As competition continues to develop in the market for these services, our ability to retain and expand these access agreements may be threatened. If we cannot maintain such access, or if regulations are enacted that proscribe such activity, particularly in areas that we currently serve, our market share in those affected areas may decline and our ability to profit from operating efficiencies may diminish.</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key regulatory requirements can affect our ability to compete.</w:t>
      </w:r>
    </w:p>
    <w:p>
      <w:pPr>
        <w:spacing w:after="0" w:line="164" w:lineRule="exact"/>
        <w:rPr>
          <w:sz w:val="20"/>
          <w:szCs w:val="20"/>
          <w:color w:val="auto"/>
        </w:rPr>
      </w:pPr>
    </w:p>
    <w:p>
      <w:pPr>
        <w:ind w:right="2119"/>
        <w:spacing w:after="0" w:line="253" w:lineRule="auto"/>
        <w:rPr>
          <w:sz w:val="20"/>
          <w:szCs w:val="20"/>
          <w:color w:val="auto"/>
        </w:rPr>
      </w:pPr>
      <w:r>
        <w:rPr>
          <w:rFonts w:ascii="Arial" w:cs="Arial" w:eastAsia="Arial" w:hAnsi="Arial"/>
          <w:sz w:val="18"/>
          <w:szCs w:val="18"/>
          <w:color w:val="auto"/>
        </w:rPr>
        <w:t>Congress, the Federal Communications Commission and various states are considering changes to some key regulatory issues that affect the cost and manner in which we provide cable and other services. These regulatory issues include the manner in which franchises to provide cable service are issued, the jurisdiction of franchising authorities over cable service, and the control and ownership over inside wiring in a subscriber’s location. Changes to the laws and regulations governing these and other matters could prevent us from competing effectively and may improve the ability of our competitors to compete.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Relationship with Sprint Nextel</w:t>
      </w:r>
    </w:p>
    <w:p>
      <w:pPr>
        <w:spacing w:after="0" w:line="152" w:lineRule="exact"/>
        <w:rPr>
          <w:sz w:val="20"/>
          <w:szCs w:val="20"/>
          <w:color w:val="auto"/>
        </w:rPr>
      </w:pPr>
    </w:p>
    <w:p>
      <w:pPr>
        <w:ind w:right="2739"/>
        <w:spacing w:after="0" w:line="275" w:lineRule="auto"/>
        <w:rPr>
          <w:sz w:val="20"/>
          <w:szCs w:val="20"/>
          <w:color w:val="auto"/>
        </w:rPr>
      </w:pPr>
      <w:r>
        <w:rPr>
          <w:rFonts w:ascii="Arial" w:cs="Arial" w:eastAsia="Arial" w:hAnsi="Arial"/>
          <w:sz w:val="18"/>
          <w:szCs w:val="18"/>
          <w:b w:val="1"/>
          <w:bCs w:val="1"/>
          <w:color w:val="auto"/>
        </w:rPr>
        <w:t>The termination of our affiliation with Sprint Nextel would severely restrict our ability to conduct the wireless business.</w:t>
      </w:r>
    </w:p>
    <w:p>
      <w:pPr>
        <w:spacing w:after="0" w:line="112" w:lineRule="exact"/>
        <w:rPr>
          <w:sz w:val="20"/>
          <w:szCs w:val="20"/>
          <w:color w:val="auto"/>
        </w:rPr>
      </w:pPr>
    </w:p>
    <w:p>
      <w:pPr>
        <w:ind w:right="2139"/>
        <w:spacing w:after="0" w:line="294" w:lineRule="auto"/>
        <w:rPr>
          <w:sz w:val="20"/>
          <w:szCs w:val="20"/>
          <w:color w:val="auto"/>
        </w:rPr>
      </w:pPr>
      <w:r>
        <w:rPr>
          <w:rFonts w:ascii="Arial" w:cs="Arial" w:eastAsia="Arial" w:hAnsi="Arial"/>
          <w:sz w:val="16"/>
          <w:szCs w:val="16"/>
          <w:color w:val="auto"/>
        </w:rPr>
        <w:t>We do not own the licenses to operate our PCS network. Our ability to offer Sprint Nextel wireless products and services and operate a PCS network is dependent on continuation of the agreements we have with Sprint Nextel. Our management agreement with Sprint Nextel will be automatically renewed at the expiration of the 20-year initial term, which ends in 2019, for an additional 10-year period and two subsequent 10-year periods unless we are in material default. Either Sprint Nextel or</w:t>
      </w:r>
    </w:p>
    <w:p>
      <w:pPr>
        <w:spacing w:after="0" w:line="170"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146050</wp:posOffset>
            </wp:positionV>
            <wp:extent cx="5166995" cy="469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9399"/>
          </w:cols>
          <w:pgMar w:left="1060" w:top="388" w:right="1440" w:bottom="1440" w:gutter="0" w:footer="0" w:header="0"/>
        </w:sectPr>
      </w:pPr>
    </w:p>
    <w:bookmarkStart w:id="33" w:name="page34"/>
    <w:bookmarkEnd w:id="33"/>
    <w:p>
      <w:pPr>
        <w:ind w:right="2159"/>
        <w:spacing w:after="0" w:line="259" w:lineRule="auto"/>
        <w:rPr>
          <w:sz w:val="20"/>
          <w:szCs w:val="20"/>
          <w:color w:val="auto"/>
        </w:rPr>
      </w:pPr>
      <w:r>
        <w:rPr>
          <w:rFonts w:ascii="Arial" w:cs="Arial" w:eastAsia="Arial" w:hAnsi="Arial"/>
          <w:sz w:val="18"/>
          <w:szCs w:val="18"/>
          <w:color w:val="auto"/>
        </w:rPr>
        <w:t>we may choose not to renew the management agreement at the expiration of any the renewal terms by giving at least two years prior notice. If neither Sprint Nextel nor we exercises this right, the agreement will terminate in 2049.</w:t>
      </w:r>
    </w:p>
    <w:p>
      <w:pPr>
        <w:spacing w:after="0" w:line="127" w:lineRule="exact"/>
        <w:rPr>
          <w:sz w:val="20"/>
          <w:szCs w:val="20"/>
          <w:color w:val="auto"/>
        </w:rPr>
      </w:pPr>
    </w:p>
    <w:p>
      <w:pPr>
        <w:ind w:right="2159"/>
        <w:spacing w:after="0" w:line="290" w:lineRule="auto"/>
        <w:rPr>
          <w:sz w:val="20"/>
          <w:szCs w:val="20"/>
          <w:color w:val="auto"/>
        </w:rPr>
      </w:pPr>
      <w:r>
        <w:rPr>
          <w:rFonts w:ascii="Arial" w:cs="Arial" w:eastAsia="Arial" w:hAnsi="Arial"/>
          <w:sz w:val="16"/>
          <w:szCs w:val="16"/>
          <w:color w:val="auto"/>
        </w:rPr>
        <w:t>Each of our agreements with Sprint Nextel may be terminated by Sprint Nextel for our breach of any material term, including, marketing, build-out and network operational requirements. Many of these requirements are technical and detailed in nature. In addition, many of these requirements may be changed by Sprint Nextel with little notice to us. As a result, we may not always be in compliance with all requirements of the Sprint Nextel agreements. The non-renewal or termination of any of the Sprint Nextel agreements or the failure of Sprint Nextel to perform its obligations under the Sprint Nextel agreements would severely restrict our ability to conduct business.</w:t>
      </w:r>
    </w:p>
    <w:p>
      <w:pPr>
        <w:spacing w:after="0" w:line="99" w:lineRule="exact"/>
        <w:rPr>
          <w:sz w:val="20"/>
          <w:szCs w:val="20"/>
          <w:color w:val="auto"/>
        </w:rPr>
      </w:pPr>
    </w:p>
    <w:p>
      <w:pPr>
        <w:ind w:right="2419"/>
        <w:spacing w:after="0" w:line="262" w:lineRule="auto"/>
        <w:rPr>
          <w:sz w:val="20"/>
          <w:szCs w:val="20"/>
          <w:color w:val="auto"/>
        </w:rPr>
      </w:pPr>
      <w:r>
        <w:rPr>
          <w:rFonts w:ascii="Arial" w:cs="Arial" w:eastAsia="Arial" w:hAnsi="Arial"/>
          <w:sz w:val="18"/>
          <w:szCs w:val="18"/>
          <w:b w:val="1"/>
          <w:bCs w:val="1"/>
          <w:color w:val="auto"/>
        </w:rPr>
        <w:t>Sprint Nextel may make business decisions that are not in our best interests, which may adversely affect our relationships with subscribers in our territory, increase our expenses and decrease our revenues.</w:t>
      </w:r>
    </w:p>
    <w:p>
      <w:pPr>
        <w:spacing w:after="0" w:line="125" w:lineRule="exact"/>
        <w:rPr>
          <w:sz w:val="20"/>
          <w:szCs w:val="20"/>
          <w:color w:val="auto"/>
        </w:rPr>
      </w:pPr>
    </w:p>
    <w:p>
      <w:pPr>
        <w:ind w:right="2139"/>
        <w:spacing w:after="0" w:line="259" w:lineRule="auto"/>
        <w:rPr>
          <w:sz w:val="20"/>
          <w:szCs w:val="20"/>
          <w:color w:val="auto"/>
        </w:rPr>
      </w:pPr>
      <w:r>
        <w:rPr>
          <w:rFonts w:ascii="Arial" w:cs="Arial" w:eastAsia="Arial" w:hAnsi="Arial"/>
          <w:sz w:val="18"/>
          <w:szCs w:val="18"/>
          <w:color w:val="auto"/>
        </w:rPr>
        <w:t>Under its agreements with us, Sprint Nextel has a substantial amount of control over the conduct of our PCS business. Accordingly, Sprint Nextel may make decisions that could adversely affect our PCS business, such as the following:</w:t>
      </w:r>
    </w:p>
    <w:p>
      <w:pPr>
        <w:spacing w:after="0" w:line="235" w:lineRule="exact"/>
        <w:rPr>
          <w:sz w:val="20"/>
          <w:szCs w:val="20"/>
          <w:color w:val="auto"/>
        </w:rPr>
      </w:pPr>
    </w:p>
    <w:p>
      <w:pPr>
        <w:ind w:left="800" w:right="2239" w:hanging="396"/>
        <w:spacing w:after="0" w:line="332"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Sprint Nextel could price its national plans based on its own objectives and could set price levels or other terms that may not be economically advantageous for us;</w:t>
      </w:r>
    </w:p>
    <w:p>
      <w:pPr>
        <w:spacing w:after="0" w:line="71" w:lineRule="exact"/>
        <w:rPr>
          <w:rFonts w:ascii="Arial" w:cs="Arial" w:eastAsia="Arial" w:hAnsi="Arial"/>
          <w:sz w:val="16"/>
          <w:szCs w:val="16"/>
          <w:color w:val="auto"/>
        </w:rPr>
      </w:pPr>
    </w:p>
    <w:p>
      <w:pPr>
        <w:ind w:left="800" w:right="2359" w:hanging="396"/>
        <w:spacing w:after="0" w:line="26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Sprint Nextel could develop products and services, or establish credit policies, that could adversely affect our results of operations;</w:t>
      </w:r>
    </w:p>
    <w:p>
      <w:pPr>
        <w:spacing w:after="0" w:line="118" w:lineRule="exact"/>
        <w:rPr>
          <w:rFonts w:ascii="Arial" w:cs="Arial" w:eastAsia="Arial" w:hAnsi="Arial"/>
          <w:sz w:val="18"/>
          <w:szCs w:val="18"/>
          <w:color w:val="auto"/>
        </w:rPr>
      </w:pPr>
    </w:p>
    <w:p>
      <w:pPr>
        <w:ind w:left="800" w:right="2279" w:hanging="396"/>
        <w:spacing w:after="0" w:line="306"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subject to limitations under our agreements, Sprint Nextel could raise the costs to perform certain services or maintain the costs above those we expect, reduce levels of services, or otherwise seek to increase expenses and other amounts charged;</w:t>
      </w:r>
    </w:p>
    <w:p>
      <w:pPr>
        <w:spacing w:after="0" w:line="93" w:lineRule="exact"/>
        <w:rPr>
          <w:rFonts w:ascii="Arial" w:cs="Arial" w:eastAsia="Arial" w:hAnsi="Arial"/>
          <w:sz w:val="16"/>
          <w:szCs w:val="16"/>
          <w:color w:val="auto"/>
        </w:rPr>
      </w:pPr>
    </w:p>
    <w:p>
      <w:pPr>
        <w:ind w:left="800" w:right="2519" w:hanging="396"/>
        <w:spacing w:after="0" w:line="26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Sprint Nextel may reduce the reciprocal travel rate charged when subscribers of Sprint Nextel or its PCS Affiliates use our network after 2006;</w:t>
      </w:r>
    </w:p>
    <w:p>
      <w:pPr>
        <w:spacing w:after="0" w:line="118" w:lineRule="exact"/>
        <w:rPr>
          <w:rFonts w:ascii="Arial" w:cs="Arial" w:eastAsia="Arial" w:hAnsi="Arial"/>
          <w:sz w:val="18"/>
          <w:szCs w:val="18"/>
          <w:color w:val="auto"/>
        </w:rPr>
      </w:pPr>
    </w:p>
    <w:p>
      <w:pPr>
        <w:ind w:left="800" w:right="2519" w:hanging="396"/>
        <w:spacing w:after="0" w:line="306"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subject to limitations under our agreements, Sprint Nextel could alter its network and technical requirements or request us to build out additional areas within our territories, which could result in increased equipment and build-out costs; or</w:t>
      </w:r>
    </w:p>
    <w:p>
      <w:pPr>
        <w:spacing w:after="0" w:line="93" w:lineRule="exact"/>
        <w:rPr>
          <w:rFonts w:ascii="Arial" w:cs="Arial" w:eastAsia="Arial" w:hAnsi="Arial"/>
          <w:sz w:val="16"/>
          <w:szCs w:val="16"/>
          <w:color w:val="auto"/>
        </w:rPr>
      </w:pPr>
    </w:p>
    <w:p>
      <w:pPr>
        <w:ind w:left="800" w:right="2499" w:hanging="396"/>
        <w:spacing w:after="0" w:line="26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Sprint Nextel could make decisions that could adversely affect the Sprint Nextel brand names, products or services.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dependence on Sprint Nextel for services may limit our ability to forecast operating results.</w:t>
      </w:r>
    </w:p>
    <w:p>
      <w:pPr>
        <w:spacing w:after="0" w:line="198" w:lineRule="exact"/>
        <w:rPr>
          <w:sz w:val="20"/>
          <w:szCs w:val="20"/>
          <w:color w:val="auto"/>
        </w:rPr>
      </w:pPr>
    </w:p>
    <w:p>
      <w:pPr>
        <w:ind w:right="2379"/>
        <w:spacing w:after="0" w:line="254" w:lineRule="auto"/>
        <w:rPr>
          <w:sz w:val="20"/>
          <w:szCs w:val="20"/>
          <w:color w:val="auto"/>
        </w:rPr>
      </w:pPr>
      <w:r>
        <w:rPr>
          <w:rFonts w:ascii="Arial" w:cs="Arial" w:eastAsia="Arial" w:hAnsi="Arial"/>
          <w:sz w:val="18"/>
          <w:szCs w:val="18"/>
          <w:color w:val="auto"/>
        </w:rPr>
        <w:t>Our dependence on Sprint Nextel injects a degree of uncertainty into our business and financial planning. We may, at times, disagree with Sprint Nextel concerning the applicability, calculation approach or accuracy of Sprint Nextel-supplied revenues and expenses. It is our policy to reflect the information supplied by Sprint Nextel in our financial statements for the applicable periods and to make corrections, if any, no earlier than the period in which Sprint Nextel and we agree to the corrections.</w:t>
      </w:r>
    </w:p>
    <w:p>
      <w:pPr>
        <w:spacing w:after="0" w:line="198"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146050</wp:posOffset>
            </wp:positionV>
            <wp:extent cx="5166995" cy="469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9399"/>
          </w:cols>
          <w:pgMar w:left="1060" w:top="388" w:right="1440" w:bottom="1440" w:gutter="0" w:footer="0" w:header="0"/>
        </w:sectPr>
      </w:pPr>
    </w:p>
    <w:bookmarkStart w:id="34" w:name="page35"/>
    <w:bookmarkEnd w:id="34"/>
    <w:p>
      <w:pPr>
        <w:ind w:right="2239"/>
        <w:spacing w:after="0" w:line="378" w:lineRule="auto"/>
        <w:rPr>
          <w:sz w:val="20"/>
          <w:szCs w:val="20"/>
          <w:color w:val="auto"/>
        </w:rPr>
      </w:pPr>
      <w:r>
        <w:rPr>
          <w:rFonts w:ascii="Arial" w:cs="Arial" w:eastAsia="Arial" w:hAnsi="Arial"/>
          <w:sz w:val="15"/>
          <w:szCs w:val="15"/>
          <w:b w:val="1"/>
          <w:bCs w:val="1"/>
          <w:color w:val="auto"/>
        </w:rPr>
        <w:t>Inaccuracies in data provided by Sprint Nextel could overstate or understate our expenses or revenues and result in out-of-period adjustments that may adversely affect our financial results.</w:t>
      </w:r>
    </w:p>
    <w:p>
      <w:pPr>
        <w:spacing w:after="0" w:line="43" w:lineRule="exact"/>
        <w:rPr>
          <w:sz w:val="20"/>
          <w:szCs w:val="20"/>
          <w:color w:val="auto"/>
        </w:rPr>
      </w:pPr>
    </w:p>
    <w:p>
      <w:pPr>
        <w:ind w:right="2139"/>
        <w:spacing w:after="0" w:line="287" w:lineRule="auto"/>
        <w:rPr>
          <w:sz w:val="20"/>
          <w:szCs w:val="20"/>
          <w:color w:val="auto"/>
        </w:rPr>
      </w:pPr>
      <w:r>
        <w:rPr>
          <w:rFonts w:ascii="Arial" w:cs="Arial" w:eastAsia="Arial" w:hAnsi="Arial"/>
          <w:sz w:val="16"/>
          <w:szCs w:val="16"/>
          <w:color w:val="auto"/>
        </w:rPr>
        <w:t>Because Sprint Nextel provides billing and collection services for us, Sprint Nextel remits a significant portion of our total revenues. We rely on Sprint Nextel to provide accurate, timely and sufficient data and information to enable us to record properly revenues, expenses and accounts receivable, which underlie a substantial portion of our financial statements and other financial disclosures. We and Sprint Nextel have previously discovered billing and other errors or inaccuracies, which, while not material to Sprint Nextel, could be material to us. If we are required in the future to make additional adjustments or incur charges as a result of errors or inaccuracies in data provided by Sprint Nextel, such adjustments or charges could materially affect our financial results for the period with respect to which the adjustments are made or charges are incurred. Such adjustments or charges could require restatement of our financial statements.</w:t>
      </w:r>
    </w:p>
    <w:p>
      <w:pPr>
        <w:spacing w:after="0" w:line="103" w:lineRule="exact"/>
        <w:rPr>
          <w:sz w:val="20"/>
          <w:szCs w:val="20"/>
          <w:color w:val="auto"/>
        </w:rPr>
      </w:pPr>
    </w:p>
    <w:p>
      <w:pPr>
        <w:ind w:right="2279"/>
        <w:spacing w:after="0" w:line="275" w:lineRule="auto"/>
        <w:rPr>
          <w:sz w:val="20"/>
          <w:szCs w:val="20"/>
          <w:color w:val="auto"/>
        </w:rPr>
      </w:pPr>
      <w:r>
        <w:rPr>
          <w:rFonts w:ascii="Arial" w:cs="Arial" w:eastAsia="Arial" w:hAnsi="Arial"/>
          <w:sz w:val="18"/>
          <w:szCs w:val="18"/>
          <w:b w:val="1"/>
          <w:bCs w:val="1"/>
          <w:color w:val="auto"/>
        </w:rPr>
        <w:t>We are subject to risks relating to Sprint Nextel’s provision of back office services, and changes in products, services, plans and programs.</w:t>
      </w:r>
    </w:p>
    <w:p>
      <w:pPr>
        <w:spacing w:after="0" w:line="112" w:lineRule="exact"/>
        <w:rPr>
          <w:sz w:val="20"/>
          <w:szCs w:val="20"/>
          <w:color w:val="auto"/>
        </w:rPr>
      </w:pPr>
    </w:p>
    <w:p>
      <w:pPr>
        <w:ind w:right="2359"/>
        <w:spacing w:after="0" w:line="254" w:lineRule="auto"/>
        <w:rPr>
          <w:sz w:val="20"/>
          <w:szCs w:val="20"/>
          <w:color w:val="auto"/>
        </w:rPr>
      </w:pPr>
      <w:r>
        <w:rPr>
          <w:rFonts w:ascii="Arial" w:cs="Arial" w:eastAsia="Arial" w:hAnsi="Arial"/>
          <w:sz w:val="18"/>
          <w:szCs w:val="18"/>
          <w:color w:val="auto"/>
        </w:rPr>
        <w:t>Any failure by Sprint Nextel to provide high-quality back office services could lead to subscriber dissatisfaction, increased churn or otherwise increased costs. We rely on Sprint Nextel’s internal support systems, including customer care, billing and back office support. Our operations could be disrupted if Sprint Nextel is unable to provide and expand its internal support systems while maintaining acceptable service levels, or to efficiently outsource those services and systems through third-party vendors.</w:t>
      </w:r>
    </w:p>
    <w:p>
      <w:pPr>
        <w:spacing w:after="0" w:line="131" w:lineRule="exact"/>
        <w:rPr>
          <w:sz w:val="20"/>
          <w:szCs w:val="20"/>
          <w:color w:val="auto"/>
        </w:rPr>
      </w:pPr>
    </w:p>
    <w:p>
      <w:pPr>
        <w:jc w:val="both"/>
        <w:ind w:right="2579"/>
        <w:spacing w:after="0" w:line="335" w:lineRule="auto"/>
        <w:rPr>
          <w:sz w:val="20"/>
          <w:szCs w:val="20"/>
          <w:color w:val="auto"/>
        </w:rPr>
      </w:pPr>
      <w:r>
        <w:rPr>
          <w:rFonts w:ascii="Arial" w:cs="Arial" w:eastAsia="Arial" w:hAnsi="Arial"/>
          <w:sz w:val="15"/>
          <w:szCs w:val="15"/>
          <w:color w:val="auto"/>
        </w:rPr>
        <w:t>The competitiveness of Sprint Nextel’s PCS products and services is a key factor in our ability to attract and retain subscribers. Changes in Sprint Nextel’s PCS products and services may reduce subscriber additions, increase subscriber turnover and decrease subscriber credit quality.</w:t>
      </w:r>
    </w:p>
    <w:p>
      <w:pPr>
        <w:spacing w:after="0" w:line="69" w:lineRule="exact"/>
        <w:rPr>
          <w:sz w:val="20"/>
          <w:szCs w:val="20"/>
          <w:color w:val="auto"/>
        </w:rPr>
      </w:pPr>
    </w:p>
    <w:p>
      <w:pPr>
        <w:jc w:val="both"/>
        <w:ind w:right="2379"/>
        <w:spacing w:after="0" w:line="339" w:lineRule="auto"/>
        <w:rPr>
          <w:sz w:val="20"/>
          <w:szCs w:val="20"/>
          <w:color w:val="auto"/>
        </w:rPr>
      </w:pPr>
      <w:r>
        <w:rPr>
          <w:rFonts w:ascii="Arial" w:cs="Arial" w:eastAsia="Arial" w:hAnsi="Arial"/>
          <w:sz w:val="15"/>
          <w:szCs w:val="15"/>
          <w:b w:val="1"/>
          <w:bCs w:val="1"/>
          <w:color w:val="auto"/>
        </w:rPr>
        <w:t>Sprint Nextel’s roaming arrangements to provide service outside of the Sprint Nextel National Network may not be competitive with other wireless service providers, which may restrict our ability to attract and retain subscribers and may increase our costs of doing business.</w:t>
      </w:r>
    </w:p>
    <w:p>
      <w:pPr>
        <w:spacing w:after="0" w:line="72" w:lineRule="exact"/>
        <w:rPr>
          <w:sz w:val="20"/>
          <w:szCs w:val="20"/>
          <w:color w:val="auto"/>
        </w:rPr>
      </w:pPr>
    </w:p>
    <w:p>
      <w:pPr>
        <w:ind w:right="2179"/>
        <w:spacing w:after="0" w:line="256" w:lineRule="auto"/>
        <w:rPr>
          <w:sz w:val="20"/>
          <w:szCs w:val="20"/>
          <w:color w:val="auto"/>
        </w:rPr>
      </w:pPr>
      <w:r>
        <w:rPr>
          <w:rFonts w:ascii="Arial" w:cs="Arial" w:eastAsia="Arial" w:hAnsi="Arial"/>
          <w:sz w:val="18"/>
          <w:szCs w:val="18"/>
          <w:color w:val="auto"/>
        </w:rPr>
        <w:t>We rely on Sprint Nextel’s roaming arrangements with other wireless service providers for coverage in some areas where Sprint Nextel service is not yet available. If customers are not able to roam quickly or efficiently onto other wireless networks, we may lose current subscribers and Sprint Nextel wireless services may be less attractive to new subscribers.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risks related to our roaming arrangements include the following:</w:t>
      </w:r>
    </w:p>
    <w:p>
      <w:pPr>
        <w:spacing w:after="0" w:line="266" w:lineRule="exact"/>
        <w:rPr>
          <w:sz w:val="20"/>
          <w:szCs w:val="20"/>
          <w:color w:val="auto"/>
        </w:rPr>
      </w:pPr>
    </w:p>
    <w:p>
      <w:pPr>
        <w:ind w:left="800" w:right="2599" w:hanging="396"/>
        <w:spacing w:after="0" w:line="332" w:lineRule="auto"/>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quality of the service provided by another provider during a roaming call may not approximate the quality of the service provided by the Sprint Nextel PCS network;</w:t>
      </w:r>
    </w:p>
    <w:p>
      <w:pPr>
        <w:spacing w:after="0" w:line="71" w:lineRule="exact"/>
        <w:rPr>
          <w:rFonts w:ascii="Arial" w:cs="Arial" w:eastAsia="Arial" w:hAnsi="Arial"/>
          <w:sz w:val="16"/>
          <w:szCs w:val="16"/>
          <w:color w:val="auto"/>
        </w:rPr>
      </w:pPr>
    </w:p>
    <w:p>
      <w:pPr>
        <w:ind w:left="800" w:right="2139" w:hanging="396"/>
        <w:spacing w:after="0" w:line="268"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price of a roaming call off network may not be competitive with prices of other wireless companies for roaming calls;</w:t>
      </w:r>
    </w:p>
    <w:p>
      <w:pPr>
        <w:spacing w:after="0" w:line="118" w:lineRule="exact"/>
        <w:rPr>
          <w:rFonts w:ascii="Arial" w:cs="Arial" w:eastAsia="Arial" w:hAnsi="Arial"/>
          <w:sz w:val="18"/>
          <w:szCs w:val="18"/>
          <w:color w:val="auto"/>
        </w:rPr>
      </w:pPr>
    </w:p>
    <w:p>
      <w:pPr>
        <w:ind w:left="800" w:right="2579" w:hanging="396"/>
        <w:spacing w:after="0" w:line="268"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subscribers must end a call in progress and initiate a new call when leaving the Sprint Nextel PCS network and entering another wireless network;</w:t>
      </w:r>
    </w:p>
    <w:p>
      <w:pPr>
        <w:spacing w:after="0" w:line="186"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146050</wp:posOffset>
            </wp:positionV>
            <wp:extent cx="5166995" cy="469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9399"/>
          </w:cols>
          <w:pgMar w:left="1060" w:top="382" w:right="1440" w:bottom="1440" w:gutter="0" w:footer="0" w:header="0"/>
        </w:sectPr>
      </w:pPr>
    </w:p>
    <w:bookmarkStart w:id="35" w:name="page36"/>
    <w:bookmarkEnd w:id="35"/>
    <w:p>
      <w:pPr>
        <w:ind w:left="800" w:right="2519" w:hanging="396"/>
        <w:spacing w:after="0" w:line="268"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customers may not be able to use Sprint Nextel’s advanced features, such as voicemail notification, while roaming; and</w:t>
      </w:r>
    </w:p>
    <w:p>
      <w:pPr>
        <w:spacing w:after="0" w:line="118" w:lineRule="exact"/>
        <w:rPr>
          <w:rFonts w:ascii="Arial" w:cs="Arial" w:eastAsia="Arial" w:hAnsi="Arial"/>
          <w:sz w:val="18"/>
          <w:szCs w:val="18"/>
          <w:color w:val="auto"/>
        </w:rPr>
      </w:pPr>
    </w:p>
    <w:p>
      <w:pPr>
        <w:ind w:left="800" w:right="2559" w:hanging="396"/>
        <w:spacing w:after="0" w:line="268"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Sprint Nextel or the carriers providing the service may not be able to provide accurate billing information on a timely basis.</w:t>
      </w:r>
    </w:p>
    <w:p>
      <w:pPr>
        <w:spacing w:after="0" w:line="221" w:lineRule="exact"/>
        <w:rPr>
          <w:sz w:val="20"/>
          <w:szCs w:val="20"/>
          <w:color w:val="auto"/>
        </w:rPr>
      </w:pPr>
    </w:p>
    <w:p>
      <w:pPr>
        <w:ind w:right="2359"/>
        <w:spacing w:after="0" w:line="275" w:lineRule="auto"/>
        <w:rPr>
          <w:sz w:val="20"/>
          <w:szCs w:val="20"/>
          <w:color w:val="auto"/>
        </w:rPr>
      </w:pPr>
      <w:r>
        <w:rPr>
          <w:rFonts w:ascii="Arial" w:cs="Arial" w:eastAsia="Arial" w:hAnsi="Arial"/>
          <w:sz w:val="18"/>
          <w:szCs w:val="18"/>
          <w:b w:val="1"/>
          <w:bCs w:val="1"/>
          <w:color w:val="auto"/>
        </w:rPr>
        <w:t>Some provisions of the Sprint Nextel agreements may diminish the value of our common stock and restrict or diminish the value of our business.</w:t>
      </w:r>
    </w:p>
    <w:p>
      <w:pPr>
        <w:spacing w:after="0" w:line="112" w:lineRule="exact"/>
        <w:rPr>
          <w:sz w:val="20"/>
          <w:szCs w:val="20"/>
          <w:color w:val="auto"/>
        </w:rPr>
      </w:pPr>
    </w:p>
    <w:p>
      <w:pPr>
        <w:ind w:right="2219"/>
        <w:spacing w:after="0" w:line="312" w:lineRule="auto"/>
        <w:rPr>
          <w:sz w:val="20"/>
          <w:szCs w:val="20"/>
          <w:color w:val="auto"/>
        </w:rPr>
      </w:pPr>
      <w:r>
        <w:rPr>
          <w:rFonts w:ascii="Arial" w:cs="Arial" w:eastAsia="Arial" w:hAnsi="Arial"/>
          <w:sz w:val="15"/>
          <w:szCs w:val="15"/>
          <w:color w:val="auto"/>
        </w:rPr>
        <w:t>Under limited contractual circumstances, Sprint Nextel may purchase the operating assets of our PCS operations at a discount. In addition, Sprint Nextel must approve any assignment of the Sprint Nextel agreements by us. Sprint Nextel also has a right of first refusal to purchase our PCS operating assets if we decide to sell those assets to a third party. These restrictions and other restrictions contained in the Sprint Nextel agreements could adversely affect the value of our common stock, may limit our ability to sell the foregoing assets on advantageous terms, may reduce the value a buyer would be willing to pay, and may reduce the “entire business value,” as described in the Sprint Nextel agreements.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difficulty in obtaining an adequate supply of handsets from Sprint Nextel.</w:t>
      </w:r>
    </w:p>
    <w:p>
      <w:pPr>
        <w:spacing w:after="0" w:line="187" w:lineRule="exact"/>
        <w:rPr>
          <w:sz w:val="20"/>
          <w:szCs w:val="20"/>
          <w:color w:val="auto"/>
        </w:rPr>
      </w:pPr>
    </w:p>
    <w:p>
      <w:pPr>
        <w:ind w:right="2279"/>
        <w:spacing w:after="0" w:line="259" w:lineRule="auto"/>
        <w:rPr>
          <w:sz w:val="20"/>
          <w:szCs w:val="20"/>
          <w:color w:val="auto"/>
        </w:rPr>
      </w:pPr>
      <w:r>
        <w:rPr>
          <w:rFonts w:ascii="Arial" w:cs="Arial" w:eastAsia="Arial" w:hAnsi="Arial"/>
          <w:sz w:val="18"/>
          <w:szCs w:val="18"/>
          <w:color w:val="auto"/>
        </w:rPr>
        <w:t>We depend on our relationship with Sprint Nextel to obtain handsets. Sprint Nextel orders handsets from various manufacturers. We could have difficulty obtaining specific types of handsets in a timely manner if:</w:t>
      </w:r>
    </w:p>
    <w:p>
      <w:pPr>
        <w:spacing w:after="0" w:line="235" w:lineRule="exact"/>
        <w:rPr>
          <w:sz w:val="20"/>
          <w:szCs w:val="20"/>
          <w:color w:val="auto"/>
        </w:rPr>
      </w:pPr>
    </w:p>
    <w:p>
      <w:pPr>
        <w:jc w:val="both"/>
        <w:ind w:left="800" w:right="2199" w:hanging="396"/>
        <w:spacing w:after="0" w:line="259"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Sprint Nextel does not adequately project the need for handsets for itself, its PCS Affiliates and its other third-party distribution channels, particularly in connection with the transition to new technologies;</w:t>
      </w:r>
    </w:p>
    <w:p>
      <w:pPr>
        <w:spacing w:after="0" w:line="126" w:lineRule="exact"/>
        <w:rPr>
          <w:rFonts w:ascii="Arial" w:cs="Arial" w:eastAsia="Arial" w:hAnsi="Arial"/>
          <w:sz w:val="18"/>
          <w:szCs w:val="18"/>
          <w:color w:val="auto"/>
        </w:rPr>
      </w:pPr>
    </w:p>
    <w:p>
      <w:pPr>
        <w:ind w:left="800" w:hanging="39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Sprint Nextel gives preference to other distribution channels;</w:t>
      </w:r>
    </w:p>
    <w:p>
      <w:pPr>
        <w:spacing w:after="0" w:line="157" w:lineRule="exact"/>
        <w:rPr>
          <w:rFonts w:ascii="Arial" w:cs="Arial" w:eastAsia="Arial" w:hAnsi="Arial"/>
          <w:sz w:val="18"/>
          <w:szCs w:val="18"/>
          <w:color w:val="auto"/>
        </w:rPr>
      </w:pPr>
    </w:p>
    <w:p>
      <w:pPr>
        <w:ind w:left="800" w:hanging="39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do not adequately project our need for handsets;</w:t>
      </w:r>
    </w:p>
    <w:p>
      <w:pPr>
        <w:spacing w:after="0" w:line="157" w:lineRule="exact"/>
        <w:rPr>
          <w:rFonts w:ascii="Arial" w:cs="Arial" w:eastAsia="Arial" w:hAnsi="Arial"/>
          <w:sz w:val="18"/>
          <w:szCs w:val="18"/>
          <w:color w:val="auto"/>
        </w:rPr>
      </w:pPr>
    </w:p>
    <w:p>
      <w:pPr>
        <w:ind w:left="800" w:right="2339" w:hanging="396"/>
        <w:spacing w:after="0" w:line="268"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Sprint Nextel modifies its handset logistics and delivery plan in a manner that restricts or delays access to handsets; or</w:t>
      </w:r>
    </w:p>
    <w:p>
      <w:pPr>
        <w:spacing w:after="0" w:line="118" w:lineRule="exact"/>
        <w:rPr>
          <w:rFonts w:ascii="Arial" w:cs="Arial" w:eastAsia="Arial" w:hAnsi="Arial"/>
          <w:sz w:val="18"/>
          <w:szCs w:val="18"/>
          <w:color w:val="auto"/>
        </w:rPr>
      </w:pPr>
    </w:p>
    <w:p>
      <w:pPr>
        <w:ind w:left="800" w:right="2219" w:hanging="396"/>
        <w:spacing w:after="0" w:line="268"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is an adverse development in the relationship between Sprint Nextel and its suppliers or vendors.</w:t>
      </w:r>
    </w:p>
    <w:p>
      <w:pPr>
        <w:spacing w:after="0" w:line="227" w:lineRule="exact"/>
        <w:rPr>
          <w:sz w:val="20"/>
          <w:szCs w:val="20"/>
          <w:color w:val="auto"/>
        </w:rPr>
      </w:pPr>
    </w:p>
    <w:p>
      <w:pPr>
        <w:ind w:right="2219"/>
        <w:spacing w:after="0" w:line="268" w:lineRule="auto"/>
        <w:rPr>
          <w:sz w:val="20"/>
          <w:szCs w:val="20"/>
          <w:color w:val="auto"/>
        </w:rPr>
      </w:pPr>
      <w:r>
        <w:rPr>
          <w:rFonts w:ascii="Arial" w:cs="Arial" w:eastAsia="Arial" w:hAnsi="Arial"/>
          <w:sz w:val="18"/>
          <w:szCs w:val="18"/>
          <w:color w:val="auto"/>
        </w:rPr>
        <w:t>The occurrence of any of the foregoing could disrupt subscribers’ service or result in a decrease in our subscribers.</w:t>
      </w:r>
    </w:p>
    <w:p>
      <w:pPr>
        <w:spacing w:after="0" w:line="112" w:lineRule="exact"/>
        <w:rPr>
          <w:sz w:val="20"/>
          <w:szCs w:val="20"/>
          <w:color w:val="auto"/>
        </w:rPr>
      </w:pPr>
    </w:p>
    <w:p>
      <w:pPr>
        <w:ind w:right="2159"/>
        <w:spacing w:after="0" w:line="275" w:lineRule="auto"/>
        <w:rPr>
          <w:sz w:val="20"/>
          <w:szCs w:val="20"/>
          <w:color w:val="auto"/>
        </w:rPr>
      </w:pPr>
      <w:r>
        <w:rPr>
          <w:rFonts w:ascii="Arial" w:cs="Arial" w:eastAsia="Arial" w:hAnsi="Arial"/>
          <w:sz w:val="18"/>
          <w:szCs w:val="18"/>
          <w:b w:val="1"/>
          <w:bCs w:val="1"/>
          <w:color w:val="auto"/>
        </w:rPr>
        <w:t>If Sprint Nextel does not continue to enhance its nationwide digital wireless network, we may not be able to attract and retain subscribers.</w:t>
      </w:r>
    </w:p>
    <w:p>
      <w:pPr>
        <w:spacing w:after="0" w:line="112" w:lineRule="exact"/>
        <w:rPr>
          <w:sz w:val="20"/>
          <w:szCs w:val="20"/>
          <w:color w:val="auto"/>
        </w:rPr>
      </w:pPr>
    </w:p>
    <w:p>
      <w:pPr>
        <w:ind w:right="2139"/>
        <w:spacing w:after="0" w:line="291" w:lineRule="auto"/>
        <w:rPr>
          <w:sz w:val="20"/>
          <w:szCs w:val="20"/>
          <w:color w:val="auto"/>
        </w:rPr>
      </w:pPr>
      <w:r>
        <w:rPr>
          <w:rFonts w:ascii="Arial" w:cs="Arial" w:eastAsia="Arial" w:hAnsi="Arial"/>
          <w:sz w:val="16"/>
          <w:szCs w:val="16"/>
          <w:color w:val="auto"/>
        </w:rPr>
        <w:t>Our PCS operations are dependent on Sprint Nextel’s national network and on the networks of Sprint Nextel’s other Affiliates. Sprint Nextel’s digital wireless network may not provide nationwide coverage to the same extent as the networks of its competitors, which could adversely affect our ability to attract and retain subscribers. Sprint Nextel currently intends to cover a significant portion of the population of the United States, Puerto Rico and the U.S. Virgin Islands by creating a nationwide network through its own construction efforts and those of its PCS Affiliates. Sprint Nextel is</w:t>
      </w:r>
    </w:p>
    <w:p>
      <w:pPr>
        <w:spacing w:after="0" w:line="174"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146050</wp:posOffset>
            </wp:positionV>
            <wp:extent cx="5166995" cy="469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9399"/>
          </w:cols>
          <w:pgMar w:left="1060" w:top="388" w:right="1440" w:bottom="1440" w:gutter="0" w:footer="0" w:header="0"/>
        </w:sectPr>
      </w:pPr>
    </w:p>
    <w:bookmarkStart w:id="36" w:name="page37"/>
    <w:bookmarkEnd w:id="36"/>
    <w:p>
      <w:pPr>
        <w:ind w:left="820" w:right="2219"/>
        <w:spacing w:after="0" w:line="256" w:lineRule="auto"/>
        <w:rPr>
          <w:sz w:val="20"/>
          <w:szCs w:val="20"/>
          <w:color w:val="auto"/>
        </w:rPr>
      </w:pPr>
      <w:r>
        <w:rPr>
          <w:rFonts w:ascii="Arial" w:cs="Arial" w:eastAsia="Arial" w:hAnsi="Arial"/>
          <w:sz w:val="18"/>
          <w:szCs w:val="18"/>
          <w:color w:val="auto"/>
        </w:rPr>
        <w:t>still constructing its nationwide network and does not offer PCS services, either on its own network or through its roaming agreements, in every part of the United States. Sprint Nextel has entered into management agreements similar to its agreement with us with companies in other markets under its nationwide digital wireless build-out strategy.</w:t>
      </w:r>
    </w:p>
    <w:p>
      <w:pPr>
        <w:spacing w:after="0" w:line="232" w:lineRule="exact"/>
        <w:rPr>
          <w:sz w:val="20"/>
          <w:szCs w:val="20"/>
          <w:color w:val="auto"/>
        </w:rPr>
      </w:pPr>
    </w:p>
    <w:p>
      <w:pPr>
        <w:ind w:left="820" w:right="2239"/>
        <w:spacing w:after="0" w:line="378" w:lineRule="auto"/>
        <w:rPr>
          <w:sz w:val="20"/>
          <w:szCs w:val="20"/>
          <w:color w:val="auto"/>
        </w:rPr>
      </w:pPr>
      <w:r>
        <w:rPr>
          <w:rFonts w:ascii="Arial" w:cs="Arial" w:eastAsia="Arial" w:hAnsi="Arial"/>
          <w:sz w:val="15"/>
          <w:szCs w:val="15"/>
          <w:b w:val="1"/>
          <w:bCs w:val="1"/>
          <w:color w:val="auto"/>
        </w:rPr>
        <w:t>If other PCS Affiliates of Sprint Nextel have financial difficulties or cease operating, or if Sprint Nextel’s PCS licenses are not renewed or are revoked, our PCS business would be harmed.</w:t>
      </w:r>
    </w:p>
    <w:p>
      <w:pPr>
        <w:spacing w:after="0" w:line="43" w:lineRule="exact"/>
        <w:rPr>
          <w:sz w:val="20"/>
          <w:szCs w:val="20"/>
          <w:color w:val="auto"/>
        </w:rPr>
      </w:pPr>
    </w:p>
    <w:p>
      <w:pPr>
        <w:ind w:left="820" w:right="2119"/>
        <w:spacing w:after="0" w:line="286" w:lineRule="auto"/>
        <w:rPr>
          <w:sz w:val="20"/>
          <w:szCs w:val="20"/>
          <w:color w:val="auto"/>
        </w:rPr>
      </w:pPr>
      <w:r>
        <w:rPr>
          <w:rFonts w:ascii="Arial" w:cs="Arial" w:eastAsia="Arial" w:hAnsi="Arial"/>
          <w:sz w:val="16"/>
          <w:szCs w:val="16"/>
          <w:color w:val="auto"/>
        </w:rPr>
        <w:t>Sprint Nextel’s national digital wireless network involves a combination of networks. The networks serving large metropolitan areas are owned and operated by Sprint Nextel, while those serving connecting areas are generally owned and operated by Sprint Nextel PCS Affiliates, all of which are independent companies. Although the total number of PCS Affiliates has been declining in the aggregate due to acquisitions by Sprint Nextel, Sprint Nextel’s digital wireless network could be disrupted if any of the remaining PCS Affiliates experiences financial difficulties. Although Sprint Nextel may have the right to operate the network in the affected territory, there can be no assurance that the transition from the applicable PCS Affiliate would occur in a timely and effective manner. In addition, we do not have the ability to require other PCS Affiliates to pay amounts due for travel in our market areas by subscribers of such other PCS Affiliates. We rely on Sprint Nextel to enforce the payment obligations of such PCS Affiliates.</w:t>
      </w:r>
    </w:p>
    <w:p>
      <w:pPr>
        <w:spacing w:after="0" w:line="114" w:lineRule="exact"/>
        <w:rPr>
          <w:sz w:val="20"/>
          <w:szCs w:val="20"/>
          <w:color w:val="auto"/>
        </w:rPr>
      </w:pPr>
    </w:p>
    <w:p>
      <w:pPr>
        <w:ind w:left="820" w:right="2159"/>
        <w:spacing w:after="0" w:line="254" w:lineRule="auto"/>
        <w:rPr>
          <w:sz w:val="20"/>
          <w:szCs w:val="20"/>
          <w:color w:val="auto"/>
        </w:rPr>
      </w:pPr>
      <w:r>
        <w:rPr>
          <w:rFonts w:ascii="Arial" w:cs="Arial" w:eastAsia="Arial" w:hAnsi="Arial"/>
          <w:sz w:val="18"/>
          <w:szCs w:val="18"/>
          <w:color w:val="auto"/>
        </w:rPr>
        <w:t>Non-renewal or revocation by the FCC of Sprint Nextel’s PCS licenses would significantly harm us. Wireless spectrum licenses are subject to renewal and revocation by the FCC. There may be opposition to renewal of Sprint Nextel’s PCS licenses upon their expiration, and Sprint Nextel’s PCS licenses may not be renewed. The FCC has adopted specific standards to apply to PCS license renewals. Any failure by Sprint Nextel to comply with these standards could cause revocation or forfeiture of Sprint Nextel’s PCS licenses.</w:t>
      </w:r>
    </w:p>
    <w:p>
      <w:pPr>
        <w:spacing w:after="0" w:line="131" w:lineRule="exact"/>
        <w:rPr>
          <w:sz w:val="20"/>
          <w:szCs w:val="20"/>
          <w:color w:val="auto"/>
        </w:rPr>
      </w:pPr>
    </w:p>
    <w:p>
      <w:pPr>
        <w:jc w:val="both"/>
        <w:ind w:left="820" w:right="2439"/>
        <w:spacing w:after="0" w:line="370" w:lineRule="auto"/>
        <w:rPr>
          <w:sz w:val="20"/>
          <w:szCs w:val="20"/>
          <w:color w:val="auto"/>
        </w:rPr>
      </w:pPr>
      <w:r>
        <w:rPr>
          <w:rFonts w:ascii="Arial" w:cs="Arial" w:eastAsia="Arial" w:hAnsi="Arial"/>
          <w:sz w:val="15"/>
          <w:szCs w:val="15"/>
          <w:color w:val="auto"/>
        </w:rPr>
        <w:t>If Sprint Nextel does not maintain control over its licensed spectrum, our Sprint Nextel agreements may be terminated, which would render us unable to continue providing service to our subscribers.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1B. </w:t>
      </w:r>
      <w:r>
        <w:rPr>
          <w:rFonts w:ascii="Arial" w:cs="Arial" w:eastAsia="Arial" w:hAnsi="Arial"/>
          <w:sz w:val="18"/>
          <w:szCs w:val="18"/>
          <w:b w:val="1"/>
          <w:bCs w:val="1"/>
          <w:color w:val="auto"/>
        </w:rPr>
        <w:t>UNRESOLVED STAFF COMMENTS</w:t>
      </w:r>
    </w:p>
    <w:p>
      <w:pPr>
        <w:spacing w:after="0" w:line="16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b w:val="1"/>
          <w:bCs w:val="1"/>
          <w:color w:val="auto"/>
        </w:rPr>
        <w:t>PROPERTIES</w:t>
      </w:r>
    </w:p>
    <w:p>
      <w:pPr>
        <w:spacing w:after="0" w:line="164" w:lineRule="exact"/>
        <w:rPr>
          <w:sz w:val="20"/>
          <w:szCs w:val="20"/>
          <w:color w:val="auto"/>
        </w:rPr>
      </w:pPr>
    </w:p>
    <w:p>
      <w:pPr>
        <w:ind w:left="820" w:right="2159"/>
        <w:spacing w:after="0" w:line="291" w:lineRule="auto"/>
        <w:rPr>
          <w:sz w:val="20"/>
          <w:szCs w:val="20"/>
          <w:color w:val="auto"/>
        </w:rPr>
      </w:pPr>
      <w:r>
        <w:rPr>
          <w:rFonts w:ascii="Arial" w:cs="Arial" w:eastAsia="Arial" w:hAnsi="Arial"/>
          <w:sz w:val="16"/>
          <w:szCs w:val="16"/>
          <w:color w:val="auto"/>
        </w:rPr>
        <w:t>The Company owns its corporate headquarters, which occupies a 60,000-square foot building in Edinburg, Virginia. The Company also owns a 25,500-square foot building in Edinburg that houses the Company’s main switching center and technical staff, a 10,000-square foot building in Edinburg used for customer services and retail sales, a 6,000-square foot service building outside of the town limits of Edinburg and a 10,000-square foot building in Winchester, Virginia used for both the Company’s retail sales and office space and rental space to a non-affiliated tenant.</w:t>
      </w:r>
    </w:p>
    <w:p>
      <w:pPr>
        <w:spacing w:after="0" w:line="107" w:lineRule="exact"/>
        <w:rPr>
          <w:sz w:val="20"/>
          <w:szCs w:val="20"/>
          <w:color w:val="auto"/>
        </w:rPr>
      </w:pPr>
    </w:p>
    <w:p>
      <w:pPr>
        <w:ind w:left="820" w:right="2279"/>
        <w:spacing w:after="0" w:line="255" w:lineRule="auto"/>
        <w:rPr>
          <w:sz w:val="20"/>
          <w:szCs w:val="20"/>
          <w:color w:val="auto"/>
        </w:rPr>
      </w:pPr>
      <w:r>
        <w:rPr>
          <w:rFonts w:ascii="Arial" w:cs="Arial" w:eastAsia="Arial" w:hAnsi="Arial"/>
          <w:sz w:val="18"/>
          <w:szCs w:val="18"/>
          <w:color w:val="auto"/>
        </w:rPr>
        <w:t>The Company owns eight telephone exchange buildings that are located in the major towns and some of the rural communities that are served by the regulated telecommunications operations. These buildings contain switching and fiber optic equipment and associated local exchange telecommunications equipment. The Company has fiber optic hubs or points of presence in Hagerstown, Maryland; Ashburn,</w:t>
      </w:r>
    </w:p>
    <w:p>
      <w:pPr>
        <w:spacing w:after="0" w:line="19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388" w:right="1440" w:bottom="1440" w:gutter="0" w:footer="0" w:header="0"/>
        </w:sectPr>
      </w:pPr>
    </w:p>
    <w:bookmarkStart w:id="37" w:name="page38"/>
    <w:bookmarkEnd w:id="37"/>
    <w:p>
      <w:pPr>
        <w:ind w:left="820" w:right="2379"/>
        <w:spacing w:after="0" w:line="268" w:lineRule="auto"/>
        <w:rPr>
          <w:sz w:val="20"/>
          <w:szCs w:val="20"/>
          <w:color w:val="auto"/>
        </w:rPr>
      </w:pPr>
      <w:r>
        <w:rPr>
          <w:rFonts w:ascii="Arial" w:cs="Arial" w:eastAsia="Arial" w:hAnsi="Arial"/>
          <w:sz w:val="18"/>
          <w:szCs w:val="18"/>
          <w:color w:val="auto"/>
        </w:rPr>
        <w:t>Berryville, Edinburg, Front Royal, Harrisonburg, Herndon, Leesburg, Stephens City, Warrenton and Winchester, Virginia; and Martinsburg, West Virginia.</w:t>
      </w:r>
    </w:p>
    <w:p>
      <w:pPr>
        <w:spacing w:after="0" w:line="118" w:lineRule="exact"/>
        <w:rPr>
          <w:sz w:val="20"/>
          <w:szCs w:val="20"/>
          <w:color w:val="auto"/>
        </w:rPr>
      </w:pPr>
    </w:p>
    <w:p>
      <w:pPr>
        <w:ind w:left="820" w:right="2119"/>
        <w:spacing w:after="0" w:line="288" w:lineRule="auto"/>
        <w:rPr>
          <w:sz w:val="20"/>
          <w:szCs w:val="20"/>
          <w:color w:val="auto"/>
        </w:rPr>
      </w:pPr>
      <w:r>
        <w:rPr>
          <w:rFonts w:ascii="Arial" w:cs="Arial" w:eastAsia="Arial" w:hAnsi="Arial"/>
          <w:sz w:val="16"/>
          <w:szCs w:val="16"/>
          <w:color w:val="auto"/>
        </w:rPr>
        <w:t>The Company leases a warehouse, office space and an operations area in Pennsylvania to support the network and sales efforts in the central Pennsylvania market. The Company also leases office space in Harrisonburg and Blacksburg, Virginia, and retail space in Harrisonburg and Front Royal, Virginia, Hagerstown, Maryland, Martinsburg, West Virginia and Harrisburg, Mechanicsburg, and York, Pennsylvania. The Company leases land, buildings and tower space in support of its PCS operations. As of December 31, 2005, the Company had 311 sites, including sites on property owned by the Company. The leases for the foregoing land, buildings and tower space expire on various dates between 2006 and 2043. For information about these leases, see Note 14 to the consolidated financial statements appearing elsewhere in this report.</w:t>
      </w:r>
    </w:p>
    <w:p>
      <w:pPr>
        <w:spacing w:after="0" w:line="106" w:lineRule="exact"/>
        <w:rPr>
          <w:sz w:val="20"/>
          <w:szCs w:val="20"/>
          <w:color w:val="auto"/>
        </w:rPr>
      </w:pPr>
    </w:p>
    <w:p>
      <w:pPr>
        <w:ind w:left="820" w:right="2679"/>
        <w:spacing w:after="0" w:line="268" w:lineRule="auto"/>
        <w:rPr>
          <w:sz w:val="20"/>
          <w:szCs w:val="20"/>
          <w:color w:val="auto"/>
        </w:rPr>
      </w:pPr>
      <w:r>
        <w:rPr>
          <w:rFonts w:ascii="Arial" w:cs="Arial" w:eastAsia="Arial" w:hAnsi="Arial"/>
          <w:sz w:val="18"/>
          <w:szCs w:val="18"/>
          <w:color w:val="auto"/>
        </w:rPr>
        <w:t>The Company plans to lease additional land, equipment space, and retail space in support of the ongoing PCS, NTC and Converged Services expansion.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b w:val="1"/>
          <w:bCs w:val="1"/>
          <w:color w:val="auto"/>
        </w:rPr>
        <w:t>LEGAL PROCEEDINGS</w:t>
      </w:r>
    </w:p>
    <w:p>
      <w:pPr>
        <w:spacing w:after="0" w:line="16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b w:val="1"/>
          <w:bCs w:val="1"/>
          <w:color w:val="auto"/>
        </w:rPr>
        <w:t>SUBMISSION OF MATTERS TO A VOTE OF SECURITY HOLDERS</w:t>
      </w:r>
    </w:p>
    <w:p>
      <w:pPr>
        <w:spacing w:after="0" w:line="164" w:lineRule="exact"/>
        <w:rPr>
          <w:sz w:val="20"/>
          <w:szCs w:val="20"/>
          <w:color w:val="auto"/>
        </w:rPr>
      </w:pPr>
    </w:p>
    <w:p>
      <w:pPr>
        <w:ind w:left="820" w:right="2299"/>
        <w:spacing w:after="0" w:line="268" w:lineRule="auto"/>
        <w:rPr>
          <w:sz w:val="20"/>
          <w:szCs w:val="20"/>
          <w:color w:val="auto"/>
        </w:rPr>
      </w:pPr>
      <w:r>
        <w:rPr>
          <w:rFonts w:ascii="Arial" w:cs="Arial" w:eastAsia="Arial" w:hAnsi="Arial"/>
          <w:sz w:val="18"/>
          <w:szCs w:val="18"/>
          <w:color w:val="auto"/>
        </w:rPr>
        <w:t>No matters were submitted to a vote of security holders during the three months ended December 31, 2005.</w:t>
      </w:r>
    </w:p>
    <w:p>
      <w:pPr>
        <w:spacing w:after="0" w:line="18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388" w:right="1440"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PART II</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5. </w:t>
      </w:r>
      <w:r>
        <w:rPr>
          <w:rFonts w:ascii="Arial" w:cs="Arial" w:eastAsia="Arial" w:hAnsi="Arial"/>
          <w:sz w:val="18"/>
          <w:szCs w:val="18"/>
          <w:b w:val="1"/>
          <w:bCs w:val="1"/>
          <w:color w:val="auto"/>
        </w:rPr>
        <w:t>MARKET FOR THE REGISTRANT’S COMMON EQUITY, RELATED STOCKHOLDER</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MATTERS AND ISSUER PURCHASES OF EQUITY SECURITIES</w:t>
      </w:r>
    </w:p>
    <w:p>
      <w:pPr>
        <w:spacing w:after="0" w:line="219" w:lineRule="exact"/>
        <w:rPr>
          <w:sz w:val="20"/>
          <w:szCs w:val="20"/>
          <w:color w:val="auto"/>
        </w:rPr>
      </w:pPr>
    </w:p>
    <w:p>
      <w:pPr>
        <w:jc w:val="both"/>
        <w:ind w:right="2399"/>
        <w:spacing w:after="0" w:line="259" w:lineRule="auto"/>
        <w:rPr>
          <w:sz w:val="20"/>
          <w:szCs w:val="20"/>
          <w:color w:val="auto"/>
        </w:rPr>
      </w:pPr>
      <w:r>
        <w:rPr>
          <w:rFonts w:ascii="Arial" w:cs="Arial" w:eastAsia="Arial" w:hAnsi="Arial"/>
          <w:sz w:val="18"/>
          <w:szCs w:val="18"/>
          <w:color w:val="auto"/>
        </w:rPr>
        <w:t>The Company’s stock is traded on the Nasdaq National Market under the symbol “SHEN.” The following table shows the high and low sales prices per share of common stock as reported by the Nasdaq National Market for each quarter during the last two years:</w:t>
      </w:r>
    </w:p>
    <w:p>
      <w:pPr>
        <w:spacing w:after="0" w:line="203" w:lineRule="exact"/>
        <w:rPr>
          <w:sz w:val="20"/>
          <w:szCs w:val="20"/>
          <w:color w:val="auto"/>
        </w:rPr>
      </w:pPr>
    </w:p>
    <w:p>
      <w:pPr>
        <w:ind w:left="1160"/>
        <w:spacing w:after="0"/>
        <w:tabs>
          <w:tab w:leader="none" w:pos="6620" w:val="left"/>
          <w:tab w:leader="none" w:pos="7520" w:val="left"/>
        </w:tabs>
        <w:rPr>
          <w:sz w:val="20"/>
          <w:szCs w:val="20"/>
          <w:color w:val="auto"/>
        </w:rPr>
      </w:pPr>
      <w:r>
        <w:rPr>
          <w:rFonts w:ascii="Arial" w:cs="Arial" w:eastAsia="Arial" w:hAnsi="Arial"/>
          <w:sz w:val="14"/>
          <w:szCs w:val="14"/>
          <w:b w:val="1"/>
          <w:bCs w:val="1"/>
          <w:color w:val="auto"/>
        </w:rPr>
        <w:t>2005</w:t>
      </w:r>
      <w:r>
        <w:rPr>
          <w:sz w:val="20"/>
          <w:szCs w:val="20"/>
          <w:color w:val="auto"/>
        </w:rPr>
        <w:tab/>
      </w:r>
      <w:r>
        <w:rPr>
          <w:rFonts w:ascii="Arial" w:cs="Arial" w:eastAsia="Arial" w:hAnsi="Arial"/>
          <w:sz w:val="14"/>
          <w:szCs w:val="14"/>
          <w:b w:val="1"/>
          <w:bCs w:val="1"/>
          <w:color w:val="auto"/>
        </w:rPr>
        <w:t>High</w:t>
      </w:r>
      <w:r>
        <w:rPr>
          <w:sz w:val="20"/>
          <w:szCs w:val="20"/>
          <w:color w:val="auto"/>
        </w:rPr>
        <w:tab/>
      </w:r>
      <w:r>
        <w:rPr>
          <w:rFonts w:ascii="Arial" w:cs="Arial" w:eastAsia="Arial" w:hAnsi="Arial"/>
          <w:sz w:val="12"/>
          <w:szCs w:val="12"/>
          <w:b w:val="1"/>
          <w:bCs w:val="1"/>
          <w:color w:val="auto"/>
        </w:rPr>
        <w:t>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68580</wp:posOffset>
            </wp:positionV>
            <wp:extent cx="1714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68580</wp:posOffset>
            </wp:positionV>
            <wp:extent cx="9861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10"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Fourth Quarter</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7"/>
              </w:rPr>
              <w:t>46.60</w:t>
            </w:r>
          </w:p>
        </w:tc>
        <w:tc>
          <w:tcPr>
            <w:tcW w:w="3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37.02</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52.66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EAF9E8"/>
          </w:tcPr>
          <w:p>
            <w:pPr>
              <w:spacing w:after="0"/>
              <w:rPr>
                <w:sz w:val="18"/>
                <w:szCs w:val="18"/>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7"/>
              </w:rPr>
              <w:t>40.00</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28.05</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31.00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280" w:type="dxa"/>
            <w:vAlign w:val="bottom"/>
            <w:gridSpan w:val="2"/>
          </w:tcPr>
          <w:p>
            <w:pPr>
              <w:spacing w:after="0"/>
              <w:rPr>
                <w:sz w:val="20"/>
                <w:szCs w:val="20"/>
                <w:color w:val="auto"/>
              </w:rPr>
            </w:pPr>
            <w:r>
              <w:rPr>
                <w:rFonts w:ascii="Arial" w:cs="Arial" w:eastAsia="Arial" w:hAnsi="Arial"/>
                <w:sz w:val="14"/>
                <w:szCs w:val="14"/>
                <w:b w:val="1"/>
                <w:bCs w:val="1"/>
                <w:color w:val="auto"/>
                <w:w w:val="83"/>
              </w:rPr>
              <w:t>2004</w:t>
            </w:r>
          </w:p>
        </w:tc>
        <w:tc>
          <w:tcPr>
            <w:tcW w:w="5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High</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95"/>
        </w:trPr>
        <w:tc>
          <w:tcPr>
            <w:tcW w:w="280" w:type="dxa"/>
            <w:vAlign w:val="bottom"/>
            <w:tcBorders>
              <w:bottom w:val="single" w:sz="8" w:color="808080"/>
            </w:tcBorders>
            <w:gridSpan w:val="2"/>
          </w:tcPr>
          <w:p>
            <w:pPr>
              <w:spacing w:after="0"/>
              <w:rPr>
                <w:sz w:val="8"/>
                <w:szCs w:val="8"/>
                <w:color w:val="auto"/>
              </w:rPr>
            </w:pPr>
          </w:p>
        </w:tc>
        <w:tc>
          <w:tcPr>
            <w:tcW w:w="50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Fourth Quarter</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7"/>
              </w:rPr>
              <w:t>34.69</w:t>
            </w:r>
          </w:p>
        </w:tc>
        <w:tc>
          <w:tcPr>
            <w:tcW w:w="3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23.99</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27.27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EAF9E8"/>
          </w:tcPr>
          <w:p>
            <w:pPr>
              <w:spacing w:after="0"/>
              <w:rPr>
                <w:sz w:val="18"/>
                <w:szCs w:val="18"/>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7"/>
              </w:rPr>
              <w:t>30.71</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22.37</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27.36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All share and per share figures reflect the 2-for-1 stock split effected February 23, 2004.</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23, 2006, there were approximately 4,165 holders of record of the Company’s common stock.</w:t>
      </w:r>
    </w:p>
    <w:p>
      <w:pPr>
        <w:spacing w:after="0" w:line="248" w:lineRule="exact"/>
        <w:rPr>
          <w:sz w:val="20"/>
          <w:szCs w:val="20"/>
          <w:color w:val="auto"/>
        </w:rPr>
      </w:pPr>
    </w:p>
    <w:p>
      <w:pPr>
        <w:ind w:right="2139"/>
        <w:spacing w:after="0" w:line="289" w:lineRule="auto"/>
        <w:rPr>
          <w:sz w:val="20"/>
          <w:szCs w:val="20"/>
          <w:color w:val="auto"/>
        </w:rPr>
      </w:pPr>
      <w:r>
        <w:rPr>
          <w:rFonts w:ascii="Arial" w:cs="Arial" w:eastAsia="Arial" w:hAnsi="Arial"/>
          <w:sz w:val="16"/>
          <w:szCs w:val="16"/>
          <w:color w:val="auto"/>
        </w:rPr>
        <w:t>Shenandoah Telecommunications Company historically has paid annual cash dividends on or about December 1 of each year. The cash dividend was $0.46 per share in 2005 and $0.43 per share in 2004. Dividends are paid to Shenandoah Telecommunications Company shareholders from dividends paid to it by its operating subsidiaries. The terms of a loan agreement between Shenandoah Telephone Company and Rural Utility Service require the subsidiary to maintain defined amounts of equity and working capital after payment of dividends to the holding company. Approximately $6.5 million of the subsidiary’s retained earnings were available for payment of dividends at December 31, 2005. The foregoing loan agreement is not expected to limit dividends for 2006 in amounts that Shenandoah Telecommunications Company historically has paid to its shareholders.</w:t>
      </w:r>
    </w:p>
    <w:p>
      <w:pPr>
        <w:spacing w:after="0" w:line="172"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b w:val="1"/>
          <w:bCs w:val="1"/>
          <w:color w:val="auto"/>
        </w:rPr>
        <w:t>SELECTED FINANCIAL DATA</w:t>
      </w:r>
    </w:p>
    <w:p>
      <w:pPr>
        <w:spacing w:after="0" w:line="231" w:lineRule="exact"/>
        <w:rPr>
          <w:sz w:val="20"/>
          <w:szCs w:val="20"/>
          <w:color w:val="auto"/>
        </w:rPr>
      </w:pPr>
    </w:p>
    <w:p>
      <w:pPr>
        <w:ind w:right="2159"/>
        <w:spacing w:after="0" w:line="290" w:lineRule="auto"/>
        <w:rPr>
          <w:sz w:val="20"/>
          <w:szCs w:val="20"/>
          <w:color w:val="auto"/>
        </w:rPr>
      </w:pPr>
      <w:r>
        <w:rPr>
          <w:rFonts w:ascii="Arial" w:cs="Arial" w:eastAsia="Arial" w:hAnsi="Arial"/>
          <w:sz w:val="16"/>
          <w:szCs w:val="16"/>
          <w:color w:val="auto"/>
        </w:rPr>
        <w:t>The following table presents selected financial data as of December 31, 2005, 2004, 2003, 2002 and 2001 and for each of the years in the five-year period ended December 31, 2005. The selected financial data as of December 31, 2004, 2003, 2002 and 2001 and for each of the years in the four-year period ended December 31, 2004 have been restated to reflect adjustments to the Company’s consolidated financial statements and other financial information contained in the Company’s Annual Report on Form 10-K for the year ended December 31, 2004, which was filed with the SEC on March 22, 2005. For additional information about the restatement, see Note 2 to the Company’s consolidated financial statements appearing elsewhere in this report.</w:t>
      </w:r>
    </w:p>
    <w:p>
      <w:pPr>
        <w:spacing w:after="0" w:line="172" w:lineRule="exact"/>
        <w:rPr>
          <w:sz w:val="20"/>
          <w:szCs w:val="20"/>
          <w:color w:val="auto"/>
        </w:rPr>
      </w:pPr>
    </w:p>
    <w:p>
      <w:pPr>
        <w:ind w:right="2159"/>
        <w:spacing w:after="0" w:line="255" w:lineRule="auto"/>
        <w:rPr>
          <w:sz w:val="20"/>
          <w:szCs w:val="20"/>
          <w:color w:val="auto"/>
        </w:rPr>
      </w:pPr>
      <w:r>
        <w:rPr>
          <w:rFonts w:ascii="Arial" w:cs="Arial" w:eastAsia="Arial" w:hAnsi="Arial"/>
          <w:sz w:val="18"/>
          <w:szCs w:val="18"/>
          <w:color w:val="auto"/>
        </w:rPr>
        <w:t>The selected financial data as of December 31, 2005, 2004 and 2003 and for each of the years in the three-year period ended December 31, 2005 are derived from the Company’s audited consolidated financial statements appearing elsewhere in this report. The selected financial data as of December 31, 2002 and 2001 and for the years ended December 31, 2002 and 2001 are derived from the Company’s financial statements which have been restated.</w:t>
      </w:r>
    </w:p>
    <w:p>
      <w:pPr>
        <w:spacing w:after="0" w:line="197" w:lineRule="exact"/>
        <w:rPr>
          <w:sz w:val="20"/>
          <w:szCs w:val="20"/>
          <w:color w:val="auto"/>
        </w:rPr>
      </w:pPr>
    </w:p>
    <w:p>
      <w:pPr>
        <w:ind w:right="2159"/>
        <w:spacing w:after="0" w:line="259" w:lineRule="auto"/>
        <w:rPr>
          <w:sz w:val="20"/>
          <w:szCs w:val="20"/>
          <w:color w:val="auto"/>
        </w:rPr>
      </w:pPr>
      <w:r>
        <w:rPr>
          <w:rFonts w:ascii="Arial" w:cs="Arial" w:eastAsia="Arial" w:hAnsi="Arial"/>
          <w:sz w:val="18"/>
          <w:szCs w:val="18"/>
          <w:color w:val="auto"/>
        </w:rPr>
        <w:t>The selected financial data should be read in conjunction with “Management’s Discussion and Analysis of Financial Condition and Results of Operations” and our consolidated financial statements and related notes thereto appearing elsewhere in this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 thousands, except share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2005</w:t>
            </w:r>
          </w:p>
        </w:tc>
        <w:tc>
          <w:tcPr>
            <w:tcW w:w="1080" w:type="dxa"/>
            <w:vAlign w:val="bottom"/>
            <w:gridSpan w:val="2"/>
          </w:tcPr>
          <w:p>
            <w:pPr>
              <w:jc w:val="right"/>
              <w:ind w:right="113"/>
              <w:spacing w:after="0"/>
              <w:rPr>
                <w:sz w:val="20"/>
                <w:szCs w:val="20"/>
                <w:color w:val="auto"/>
              </w:rPr>
            </w:pPr>
            <w:r>
              <w:rPr>
                <w:rFonts w:ascii="Arial" w:cs="Arial" w:eastAsia="Arial" w:hAnsi="Arial"/>
                <w:sz w:val="14"/>
                <w:szCs w:val="14"/>
                <w:b w:val="1"/>
                <w:bCs w:val="1"/>
                <w:color w:val="auto"/>
              </w:rPr>
              <w:t>2004 (a), (c)</w:t>
            </w:r>
          </w:p>
        </w:tc>
        <w:tc>
          <w:tcPr>
            <w:tcW w:w="220" w:type="dxa"/>
            <w:vAlign w:val="bottom"/>
          </w:tcPr>
          <w:p>
            <w:pPr>
              <w:spacing w:after="0"/>
              <w:rPr>
                <w:sz w:val="15"/>
                <w:szCs w:val="15"/>
                <w:color w:val="auto"/>
              </w:rPr>
            </w:pPr>
          </w:p>
        </w:tc>
        <w:tc>
          <w:tcPr>
            <w:tcW w:w="920" w:type="dxa"/>
            <w:vAlign w:val="bottom"/>
          </w:tcPr>
          <w:p>
            <w:pPr>
              <w:jc w:val="right"/>
              <w:ind w:right="154"/>
              <w:spacing w:after="0"/>
              <w:rPr>
                <w:sz w:val="20"/>
                <w:szCs w:val="20"/>
                <w:color w:val="auto"/>
              </w:rPr>
            </w:pPr>
            <w:r>
              <w:rPr>
                <w:rFonts w:ascii="Arial" w:cs="Arial" w:eastAsia="Arial" w:hAnsi="Arial"/>
                <w:sz w:val="14"/>
                <w:szCs w:val="14"/>
                <w:b w:val="1"/>
                <w:bCs w:val="1"/>
                <w:color w:val="auto"/>
                <w:w w:val="85"/>
              </w:rPr>
              <w:t>2003 (a), (c)</w:t>
            </w:r>
          </w:p>
        </w:tc>
        <w:tc>
          <w:tcPr>
            <w:tcW w:w="200" w:type="dxa"/>
            <w:vAlign w:val="bottom"/>
          </w:tcPr>
          <w:p>
            <w:pPr>
              <w:spacing w:after="0"/>
              <w:rPr>
                <w:sz w:val="15"/>
                <w:szCs w:val="15"/>
                <w:color w:val="auto"/>
              </w:rPr>
            </w:pPr>
          </w:p>
        </w:tc>
        <w:tc>
          <w:tcPr>
            <w:tcW w:w="920" w:type="dxa"/>
            <w:vAlign w:val="bottom"/>
          </w:tcPr>
          <w:p>
            <w:pPr>
              <w:jc w:val="right"/>
              <w:ind w:right="154"/>
              <w:spacing w:after="0"/>
              <w:rPr>
                <w:sz w:val="20"/>
                <w:szCs w:val="20"/>
                <w:color w:val="auto"/>
              </w:rPr>
            </w:pPr>
            <w:r>
              <w:rPr>
                <w:rFonts w:ascii="Arial" w:cs="Arial" w:eastAsia="Arial" w:hAnsi="Arial"/>
                <w:sz w:val="14"/>
                <w:szCs w:val="14"/>
                <w:b w:val="1"/>
                <w:bCs w:val="1"/>
                <w:color w:val="auto"/>
                <w:w w:val="84"/>
              </w:rPr>
              <w:t>2002 (b), (c)</w:t>
            </w:r>
          </w:p>
        </w:tc>
        <w:tc>
          <w:tcPr>
            <w:tcW w:w="20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2001 (b), (c)</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53"/>
              <w:spacing w:after="0"/>
              <w:rPr>
                <w:sz w:val="20"/>
                <w:szCs w:val="20"/>
                <w:color w:val="auto"/>
              </w:rPr>
            </w:pPr>
            <w:r>
              <w:rPr>
                <w:rFonts w:ascii="Arial" w:cs="Arial" w:eastAsia="Arial" w:hAnsi="Arial"/>
                <w:sz w:val="14"/>
                <w:szCs w:val="14"/>
                <w:b w:val="1"/>
                <w:bCs w:val="1"/>
                <w:color w:val="auto"/>
                <w:w w:val="87"/>
              </w:rPr>
              <w:t>(Restated)</w:t>
            </w:r>
          </w:p>
        </w:tc>
        <w:tc>
          <w:tcPr>
            <w:tcW w:w="220" w:type="dxa"/>
            <w:vAlign w:val="bottom"/>
          </w:tcPr>
          <w:p>
            <w:pPr>
              <w:spacing w:after="0"/>
              <w:rPr>
                <w:sz w:val="21"/>
                <w:szCs w:val="21"/>
                <w:color w:val="auto"/>
              </w:rPr>
            </w:pPr>
          </w:p>
        </w:tc>
        <w:tc>
          <w:tcPr>
            <w:tcW w:w="920" w:type="dxa"/>
            <w:vAlign w:val="bottom"/>
          </w:tcPr>
          <w:p>
            <w:pPr>
              <w:jc w:val="right"/>
              <w:ind w:right="194"/>
              <w:spacing w:after="0"/>
              <w:rPr>
                <w:sz w:val="20"/>
                <w:szCs w:val="20"/>
                <w:color w:val="auto"/>
              </w:rPr>
            </w:pPr>
            <w:r>
              <w:rPr>
                <w:rFonts w:ascii="Arial" w:cs="Arial" w:eastAsia="Arial" w:hAnsi="Arial"/>
                <w:sz w:val="14"/>
                <w:szCs w:val="14"/>
                <w:b w:val="1"/>
                <w:bCs w:val="1"/>
                <w:color w:val="auto"/>
                <w:w w:val="90"/>
              </w:rPr>
              <w:t>(Restated)</w:t>
            </w:r>
          </w:p>
        </w:tc>
        <w:tc>
          <w:tcPr>
            <w:tcW w:w="200" w:type="dxa"/>
            <w:vAlign w:val="bottom"/>
          </w:tcPr>
          <w:p>
            <w:pPr>
              <w:spacing w:after="0"/>
              <w:rPr>
                <w:sz w:val="21"/>
                <w:szCs w:val="21"/>
                <w:color w:val="auto"/>
              </w:rPr>
            </w:pPr>
          </w:p>
        </w:tc>
        <w:tc>
          <w:tcPr>
            <w:tcW w:w="920" w:type="dxa"/>
            <w:vAlign w:val="bottom"/>
          </w:tcPr>
          <w:p>
            <w:pPr>
              <w:jc w:val="right"/>
              <w:ind w:right="194"/>
              <w:spacing w:after="0"/>
              <w:rPr>
                <w:sz w:val="20"/>
                <w:szCs w:val="20"/>
                <w:color w:val="auto"/>
              </w:rPr>
            </w:pPr>
            <w:r>
              <w:rPr>
                <w:rFonts w:ascii="Arial" w:cs="Arial" w:eastAsia="Arial" w:hAnsi="Arial"/>
                <w:sz w:val="14"/>
                <w:szCs w:val="14"/>
                <w:b w:val="1"/>
                <w:bCs w:val="1"/>
                <w:color w:val="auto"/>
                <w:w w:val="90"/>
              </w:rPr>
              <w:t>(Restated)</w:t>
            </w:r>
          </w:p>
        </w:tc>
        <w:tc>
          <w:tcPr>
            <w:tcW w:w="200" w:type="dxa"/>
            <w:vAlign w:val="bottom"/>
          </w:tcPr>
          <w:p>
            <w:pPr>
              <w:spacing w:after="0"/>
              <w:rPr>
                <w:sz w:val="21"/>
                <w:szCs w:val="21"/>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EAF9E8"/>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146,391</w:t>
            </w:r>
          </w:p>
        </w:tc>
        <w:tc>
          <w:tcPr>
            <w:tcW w:w="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120,994</w:t>
            </w:r>
          </w:p>
        </w:tc>
        <w:tc>
          <w:tcPr>
            <w:tcW w:w="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105,661</w:t>
            </w:r>
          </w:p>
        </w:tc>
        <w:tc>
          <w:tcPr>
            <w:tcW w:w="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92,764</w:t>
            </w:r>
          </w:p>
        </w:tc>
        <w:tc>
          <w:tcPr>
            <w:tcW w:w="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68,778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127,015</w:t>
            </w:r>
          </w:p>
        </w:tc>
        <w:tc>
          <w:tcPr>
            <w:tcW w:w="22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102,983</w:t>
            </w:r>
          </w:p>
        </w:tc>
        <w:tc>
          <w:tcPr>
            <w:tcW w:w="220" w:type="dxa"/>
            <w:vAlign w:val="bottom"/>
          </w:tcPr>
          <w:p>
            <w:pPr>
              <w:spacing w:after="0"/>
              <w:rPr>
                <w:sz w:val="18"/>
                <w:szCs w:val="18"/>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87,740</w:t>
            </w:r>
          </w:p>
        </w:tc>
        <w:tc>
          <w:tcPr>
            <w:tcW w:w="200" w:type="dxa"/>
            <w:vAlign w:val="bottom"/>
          </w:tcPr>
          <w:p>
            <w:pPr>
              <w:spacing w:after="0"/>
              <w:rPr>
                <w:sz w:val="18"/>
                <w:szCs w:val="18"/>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83,878</w:t>
            </w:r>
          </w:p>
        </w:tc>
        <w:tc>
          <w:tcPr>
            <w:tcW w:w="200" w:type="dxa"/>
            <w:vAlign w:val="bottom"/>
          </w:tcPr>
          <w:p>
            <w:pPr>
              <w:spacing w:after="0"/>
              <w:rPr>
                <w:sz w:val="18"/>
                <w:szCs w:val="18"/>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62,609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EAF9E8"/>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3,076</w:t>
            </w:r>
          </w:p>
        </w:tc>
        <w:tc>
          <w:tcPr>
            <w:tcW w:w="22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3,129</w:t>
            </w: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3,510</w:t>
            </w: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4,195</w:t>
            </w:r>
          </w:p>
        </w:tc>
        <w:tc>
          <w:tcPr>
            <w:tcW w:w="200" w:type="dxa"/>
            <w:vAlign w:val="bottom"/>
            <w:shd w:val="clear" w:color="auto" w:fill="EAF9E8"/>
          </w:tcPr>
          <w:p>
            <w:pPr>
              <w:spacing w:after="0"/>
              <w:rPr>
                <w:sz w:val="18"/>
                <w:szCs w:val="18"/>
                <w:color w:val="auto"/>
              </w:rPr>
            </w:pPr>
          </w:p>
        </w:tc>
        <w:tc>
          <w:tcPr>
            <w:tcW w:w="90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4,127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Income taxes (benefit)</w:t>
            </w:r>
          </w:p>
        </w:tc>
        <w:tc>
          <w:tcPr>
            <w:tcW w:w="10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6,716</w:t>
            </w:r>
          </w:p>
        </w:tc>
        <w:tc>
          <w:tcPr>
            <w:tcW w:w="22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5,921</w:t>
            </w:r>
          </w:p>
        </w:tc>
        <w:tc>
          <w:tcPr>
            <w:tcW w:w="220" w:type="dxa"/>
            <w:vAlign w:val="bottom"/>
          </w:tcPr>
          <w:p>
            <w:pPr>
              <w:spacing w:after="0"/>
              <w:rPr>
                <w:sz w:val="19"/>
                <w:szCs w:val="19"/>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5,166</w:t>
            </w:r>
          </w:p>
        </w:tc>
        <w:tc>
          <w:tcPr>
            <w:tcW w:w="20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(2,223)</w:t>
            </w:r>
          </w:p>
        </w:tc>
        <w:tc>
          <w:tcPr>
            <w:tcW w:w="200" w:type="dxa"/>
            <w:vAlign w:val="bottom"/>
          </w:tcPr>
          <w:p>
            <w:pPr>
              <w:spacing w:after="0"/>
              <w:rPr>
                <w:sz w:val="19"/>
                <w:szCs w:val="19"/>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5,723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00" w:type="dxa"/>
            <w:vAlign w:val="bottom"/>
            <w:shd w:val="clear" w:color="auto" w:fill="EAF9E8"/>
          </w:tcPr>
          <w:p>
            <w:pPr>
              <w:spacing w:after="0"/>
              <w:rPr>
                <w:sz w:val="20"/>
                <w:szCs w:val="20"/>
                <w:color w:val="auto"/>
              </w:rPr>
            </w:pPr>
            <w:r>
              <w:rPr>
                <w:rFonts w:ascii="Arial" w:cs="Arial" w:eastAsia="Arial" w:hAnsi="Arial"/>
                <w:sz w:val="18"/>
                <w:szCs w:val="18"/>
                <w:color w:val="auto"/>
              </w:rPr>
              <w:t>Income (loss) from continuing</w:t>
            </w:r>
          </w:p>
        </w:tc>
        <w:tc>
          <w:tcPr>
            <w:tcW w:w="10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10,735</w:t>
            </w:r>
          </w:p>
        </w:tc>
        <w:tc>
          <w:tcPr>
            <w:tcW w:w="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10,038</w:t>
            </w:r>
          </w:p>
        </w:tc>
        <w:tc>
          <w:tcPr>
            <w:tcW w:w="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9,539</w:t>
            </w:r>
          </w:p>
        </w:tc>
        <w:tc>
          <w:tcPr>
            <w:tcW w:w="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(3,150)</w:t>
            </w:r>
          </w:p>
        </w:tc>
        <w:tc>
          <w:tcPr>
            <w:tcW w:w="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9,534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2720" w:type="dxa"/>
            <w:vAlign w:val="bottom"/>
            <w:gridSpan w:val="2"/>
          </w:tcPr>
          <w:p>
            <w:pPr>
              <w:spacing w:after="0"/>
              <w:rPr>
                <w:sz w:val="20"/>
                <w:szCs w:val="20"/>
                <w:color w:val="auto"/>
              </w:rPr>
            </w:pPr>
            <w:r>
              <w:rPr>
                <w:rFonts w:ascii="Arial" w:cs="Arial" w:eastAsia="Arial" w:hAnsi="Arial"/>
                <w:sz w:val="18"/>
                <w:szCs w:val="18"/>
                <w:color w:val="auto"/>
                <w:w w:val="97"/>
              </w:rPr>
              <w:t>Discontinued operations, net of tax</w:t>
            </w:r>
          </w:p>
        </w:tc>
        <w:tc>
          <w:tcPr>
            <w:tcW w:w="100" w:type="dxa"/>
            <w:vAlign w:val="bottom"/>
          </w:tcPr>
          <w:p>
            <w:pPr>
              <w:spacing w:after="0"/>
              <w:rPr>
                <w:sz w:val="24"/>
                <w:szCs w:val="24"/>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22,389</w:t>
            </w:r>
          </w:p>
        </w:tc>
        <w:tc>
          <w:tcPr>
            <w:tcW w:w="200" w:type="dxa"/>
            <w:vAlign w:val="bottom"/>
          </w:tcPr>
          <w:p>
            <w:pPr>
              <w:spacing w:after="0"/>
              <w:rPr>
                <w:sz w:val="24"/>
                <w:szCs w:val="24"/>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7,412</w:t>
            </w:r>
          </w:p>
        </w:tc>
        <w:tc>
          <w:tcPr>
            <w:tcW w:w="200" w:type="dxa"/>
            <w:vAlign w:val="bottom"/>
          </w:tcPr>
          <w:p>
            <w:pPr>
              <w:spacing w:after="0"/>
              <w:rPr>
                <w:sz w:val="24"/>
                <w:szCs w:val="24"/>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6,678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shd w:val="clear" w:color="auto" w:fill="EAF9E8"/>
          </w:tcPr>
          <w:p>
            <w:pPr>
              <w:spacing w:after="0"/>
              <w:rPr>
                <w:sz w:val="20"/>
                <w:szCs w:val="20"/>
                <w:color w:val="auto"/>
              </w:rPr>
            </w:pPr>
            <w:r>
              <w:rPr>
                <w:rFonts w:ascii="Arial" w:cs="Arial" w:eastAsia="Arial" w:hAnsi="Arial"/>
                <w:sz w:val="18"/>
                <w:szCs w:val="18"/>
                <w:color w:val="auto"/>
              </w:rPr>
              <w:t>Cumulative effect of a change in</w:t>
            </w:r>
          </w:p>
        </w:tc>
        <w:tc>
          <w:tcPr>
            <w:tcW w:w="10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Accounting, net of tax</w:t>
            </w:r>
          </w:p>
        </w:tc>
        <w:tc>
          <w:tcPr>
            <w:tcW w:w="100" w:type="dxa"/>
            <w:vAlign w:val="bottom"/>
            <w:shd w:val="clear" w:color="auto" w:fill="EAF9E8"/>
          </w:tcPr>
          <w:p>
            <w:pPr>
              <w:spacing w:after="0"/>
              <w:rPr>
                <w:sz w:val="19"/>
                <w:szCs w:val="19"/>
                <w:color w:val="auto"/>
              </w:rPr>
            </w:pPr>
          </w:p>
        </w:tc>
        <w:tc>
          <w:tcPr>
            <w:tcW w:w="86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9"/>
                <w:szCs w:val="19"/>
                <w:color w:val="auto"/>
              </w:rPr>
            </w:pPr>
          </w:p>
        </w:tc>
        <w:tc>
          <w:tcPr>
            <w:tcW w:w="86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9"/>
                <w:szCs w:val="19"/>
                <w:color w:val="auto"/>
              </w:rPr>
            </w:pPr>
          </w:p>
        </w:tc>
        <w:tc>
          <w:tcPr>
            <w:tcW w:w="92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(76)</w:t>
            </w:r>
          </w:p>
        </w:tc>
        <w:tc>
          <w:tcPr>
            <w:tcW w:w="200" w:type="dxa"/>
            <w:vAlign w:val="bottom"/>
            <w:shd w:val="clear" w:color="auto" w:fill="EAF9E8"/>
          </w:tcPr>
          <w:p>
            <w:pPr>
              <w:spacing w:after="0"/>
              <w:rPr>
                <w:sz w:val="19"/>
                <w:szCs w:val="19"/>
                <w:color w:val="auto"/>
              </w:rPr>
            </w:pPr>
          </w:p>
        </w:tc>
        <w:tc>
          <w:tcPr>
            <w:tcW w:w="92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9"/>
                <w:szCs w:val="19"/>
                <w:color w:val="auto"/>
              </w:rPr>
            </w:pPr>
          </w:p>
        </w:tc>
        <w:tc>
          <w:tcPr>
            <w:tcW w:w="90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10,735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10,038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31,852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4,262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16,212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EAF9E8"/>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204,921</w:t>
            </w:r>
          </w:p>
        </w:tc>
        <w:tc>
          <w:tcPr>
            <w:tcW w:w="22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211,421</w:t>
            </w: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185,520</w:t>
            </w: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163,927</w:t>
            </w:r>
          </w:p>
        </w:tc>
        <w:tc>
          <w:tcPr>
            <w:tcW w:w="200" w:type="dxa"/>
            <w:vAlign w:val="bottom"/>
            <w:shd w:val="clear" w:color="auto" w:fill="EAF9E8"/>
          </w:tcPr>
          <w:p>
            <w:pPr>
              <w:spacing w:after="0"/>
              <w:rPr>
                <w:sz w:val="18"/>
                <w:szCs w:val="18"/>
                <w:color w:val="auto"/>
              </w:rPr>
            </w:pPr>
          </w:p>
        </w:tc>
        <w:tc>
          <w:tcPr>
            <w:tcW w:w="90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166,026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Total debt – including current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00" w:type="dxa"/>
            <w:vAlign w:val="bottom"/>
          </w:tcPr>
          <w:p>
            <w:pPr>
              <w:ind w:left="140"/>
              <w:spacing w:after="0"/>
              <w:rPr>
                <w:sz w:val="20"/>
                <w:szCs w:val="20"/>
                <w:color w:val="auto"/>
              </w:rPr>
            </w:pPr>
            <w:r>
              <w:rPr>
                <w:rFonts w:ascii="Arial" w:cs="Arial" w:eastAsia="Arial" w:hAnsi="Arial"/>
                <w:sz w:val="18"/>
                <w:szCs w:val="18"/>
                <w:color w:val="auto"/>
              </w:rPr>
              <w:t>maturities</w:t>
            </w:r>
          </w:p>
        </w:tc>
        <w:tc>
          <w:tcPr>
            <w:tcW w:w="10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35,918</w:t>
            </w:r>
          </w:p>
        </w:tc>
        <w:tc>
          <w:tcPr>
            <w:tcW w:w="22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52,291</w:t>
            </w:r>
          </w:p>
        </w:tc>
        <w:tc>
          <w:tcPr>
            <w:tcW w:w="220" w:type="dxa"/>
            <w:vAlign w:val="bottom"/>
          </w:tcPr>
          <w:p>
            <w:pPr>
              <w:spacing w:after="0"/>
              <w:rPr>
                <w:sz w:val="19"/>
                <w:szCs w:val="19"/>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43,346</w:t>
            </w:r>
          </w:p>
        </w:tc>
        <w:tc>
          <w:tcPr>
            <w:tcW w:w="200" w:type="dxa"/>
            <w:vAlign w:val="bottom"/>
          </w:tcPr>
          <w:p>
            <w:pPr>
              <w:spacing w:after="0"/>
              <w:rPr>
                <w:sz w:val="19"/>
                <w:szCs w:val="19"/>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52,043</w:t>
            </w:r>
          </w:p>
        </w:tc>
        <w:tc>
          <w:tcPr>
            <w:tcW w:w="200" w:type="dxa"/>
            <w:vAlign w:val="bottom"/>
          </w:tcPr>
          <w:p>
            <w:pPr>
              <w:spacing w:after="0"/>
              <w:rPr>
                <w:sz w:val="19"/>
                <w:szCs w:val="19"/>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56,436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2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00" w:type="dxa"/>
            <w:vAlign w:val="bottom"/>
            <w:shd w:val="clear" w:color="auto" w:fill="EAF9E8"/>
          </w:tcPr>
          <w:p>
            <w:pPr>
              <w:spacing w:after="0"/>
              <w:rPr>
                <w:sz w:val="20"/>
                <w:szCs w:val="20"/>
                <w:color w:val="auto"/>
              </w:rPr>
            </w:pPr>
            <w:r>
              <w:rPr>
                <w:rFonts w:ascii="Arial" w:cs="Arial" w:eastAsia="Arial" w:hAnsi="Arial"/>
                <w:sz w:val="18"/>
                <w:szCs w:val="18"/>
                <w:color w:val="auto"/>
              </w:rPr>
              <w:t>Shareholder Information Shares</w:t>
            </w:r>
          </w:p>
        </w:tc>
        <w:tc>
          <w:tcPr>
            <w:tcW w:w="10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EAF9E8"/>
          </w:tcPr>
          <w:p>
            <w:pPr>
              <w:spacing w:after="0"/>
              <w:rPr>
                <w:sz w:val="19"/>
                <w:szCs w:val="19"/>
                <w:color w:val="auto"/>
              </w:rPr>
            </w:pPr>
          </w:p>
        </w:tc>
        <w:tc>
          <w:tcPr>
            <w:tcW w:w="86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w w:val="87"/>
              </w:rPr>
              <w:t>7,687,045</w:t>
            </w:r>
          </w:p>
        </w:tc>
        <w:tc>
          <w:tcPr>
            <w:tcW w:w="220" w:type="dxa"/>
            <w:vAlign w:val="bottom"/>
            <w:shd w:val="clear" w:color="auto" w:fill="EAF9E8"/>
          </w:tcPr>
          <w:p>
            <w:pPr>
              <w:spacing w:after="0"/>
              <w:rPr>
                <w:sz w:val="19"/>
                <w:szCs w:val="19"/>
                <w:color w:val="auto"/>
              </w:rPr>
            </w:pPr>
          </w:p>
        </w:tc>
        <w:tc>
          <w:tcPr>
            <w:tcW w:w="86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w w:val="87"/>
              </w:rPr>
              <w:t>7,629,810</w:t>
            </w:r>
          </w:p>
        </w:tc>
        <w:tc>
          <w:tcPr>
            <w:tcW w:w="220" w:type="dxa"/>
            <w:vAlign w:val="bottom"/>
            <w:shd w:val="clear" w:color="auto" w:fill="EAF9E8"/>
          </w:tcPr>
          <w:p>
            <w:pPr>
              <w:spacing w:after="0"/>
              <w:rPr>
                <w:sz w:val="19"/>
                <w:szCs w:val="19"/>
                <w:color w:val="auto"/>
              </w:rPr>
            </w:pPr>
          </w:p>
        </w:tc>
        <w:tc>
          <w:tcPr>
            <w:tcW w:w="92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w w:val="92"/>
              </w:rPr>
              <w:t>7,592,768</w:t>
            </w:r>
          </w:p>
        </w:tc>
        <w:tc>
          <w:tcPr>
            <w:tcW w:w="200" w:type="dxa"/>
            <w:vAlign w:val="bottom"/>
            <w:shd w:val="clear" w:color="auto" w:fill="EAF9E8"/>
          </w:tcPr>
          <w:p>
            <w:pPr>
              <w:spacing w:after="0"/>
              <w:rPr>
                <w:sz w:val="19"/>
                <w:szCs w:val="19"/>
                <w:color w:val="auto"/>
              </w:rPr>
            </w:pPr>
          </w:p>
        </w:tc>
        <w:tc>
          <w:tcPr>
            <w:tcW w:w="92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w w:val="92"/>
              </w:rPr>
              <w:t>7,551,818</w:t>
            </w:r>
          </w:p>
        </w:tc>
        <w:tc>
          <w:tcPr>
            <w:tcW w:w="200" w:type="dxa"/>
            <w:vAlign w:val="bottom"/>
            <w:shd w:val="clear" w:color="auto" w:fill="EAF9E8"/>
          </w:tcPr>
          <w:p>
            <w:pPr>
              <w:spacing w:after="0"/>
              <w:rPr>
                <w:sz w:val="19"/>
                <w:szCs w:val="19"/>
                <w:color w:val="auto"/>
              </w:rPr>
            </w:pPr>
          </w:p>
        </w:tc>
        <w:tc>
          <w:tcPr>
            <w:tcW w:w="90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w w:val="97"/>
              </w:rPr>
              <w:t>7,530,956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Income (loss) per share from</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00" w:type="dxa"/>
            <w:vAlign w:val="bottom"/>
          </w:tcPr>
          <w:p>
            <w:pPr>
              <w:ind w:left="140"/>
              <w:spacing w:after="0"/>
              <w:rPr>
                <w:sz w:val="20"/>
                <w:szCs w:val="20"/>
                <w:color w:val="auto"/>
              </w:rPr>
            </w:pPr>
            <w:r>
              <w:rPr>
                <w:rFonts w:ascii="Arial" w:cs="Arial" w:eastAsia="Arial" w:hAnsi="Arial"/>
                <w:sz w:val="18"/>
                <w:szCs w:val="18"/>
                <w:color w:val="auto"/>
              </w:rPr>
              <w:t>continuing operations-diluted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1.39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1.31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1.25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(0.42)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shd w:val="clear" w:color="auto" w:fill="EAF9E8"/>
          </w:tcPr>
          <w:p>
            <w:pPr>
              <w:spacing w:after="0"/>
              <w:rPr>
                <w:sz w:val="20"/>
                <w:szCs w:val="20"/>
                <w:color w:val="auto"/>
              </w:rPr>
            </w:pPr>
            <w:r>
              <w:rPr>
                <w:rFonts w:ascii="Arial" w:cs="Arial" w:eastAsia="Arial" w:hAnsi="Arial"/>
                <w:sz w:val="18"/>
                <w:szCs w:val="18"/>
                <w:color w:val="auto"/>
              </w:rPr>
              <w:t>Income per share from</w:t>
            </w:r>
          </w:p>
        </w:tc>
        <w:tc>
          <w:tcPr>
            <w:tcW w:w="10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discontinued operations-diluted</w:t>
            </w:r>
          </w:p>
        </w:tc>
        <w:tc>
          <w:tcPr>
            <w:tcW w:w="100" w:type="dxa"/>
            <w:vAlign w:val="bottom"/>
            <w:shd w:val="clear" w:color="auto" w:fill="EAF9E8"/>
          </w:tcPr>
          <w:p>
            <w:pPr>
              <w:spacing w:after="0"/>
              <w:rPr>
                <w:sz w:val="19"/>
                <w:szCs w:val="19"/>
                <w:color w:val="auto"/>
              </w:rPr>
            </w:pPr>
          </w:p>
        </w:tc>
        <w:tc>
          <w:tcPr>
            <w:tcW w:w="86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9"/>
                <w:szCs w:val="19"/>
                <w:color w:val="auto"/>
              </w:rPr>
            </w:pPr>
          </w:p>
        </w:tc>
        <w:tc>
          <w:tcPr>
            <w:tcW w:w="86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9"/>
                <w:szCs w:val="19"/>
                <w:color w:val="auto"/>
              </w:rPr>
            </w:pPr>
          </w:p>
        </w:tc>
        <w:tc>
          <w:tcPr>
            <w:tcW w:w="92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2.94</w:t>
            </w:r>
          </w:p>
        </w:tc>
        <w:tc>
          <w:tcPr>
            <w:tcW w:w="200" w:type="dxa"/>
            <w:vAlign w:val="bottom"/>
            <w:shd w:val="clear" w:color="auto" w:fill="EAF9E8"/>
          </w:tcPr>
          <w:p>
            <w:pPr>
              <w:spacing w:after="0"/>
              <w:rPr>
                <w:sz w:val="19"/>
                <w:szCs w:val="19"/>
                <w:color w:val="auto"/>
              </w:rPr>
            </w:pPr>
          </w:p>
        </w:tc>
        <w:tc>
          <w:tcPr>
            <w:tcW w:w="92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0.98</w:t>
            </w:r>
          </w:p>
        </w:tc>
        <w:tc>
          <w:tcPr>
            <w:tcW w:w="200" w:type="dxa"/>
            <w:vAlign w:val="bottom"/>
            <w:shd w:val="clear" w:color="auto" w:fill="EAF9E8"/>
          </w:tcPr>
          <w:p>
            <w:pPr>
              <w:spacing w:after="0"/>
              <w:rPr>
                <w:sz w:val="19"/>
                <w:szCs w:val="19"/>
                <w:color w:val="auto"/>
              </w:rPr>
            </w:pPr>
          </w:p>
        </w:tc>
        <w:tc>
          <w:tcPr>
            <w:tcW w:w="90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0.88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Loss per share from cumulative</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00" w:type="dxa"/>
            <w:vAlign w:val="bottom"/>
          </w:tcPr>
          <w:p>
            <w:pPr>
              <w:ind w:left="140"/>
              <w:spacing w:after="0"/>
              <w:rPr>
                <w:sz w:val="20"/>
                <w:szCs w:val="20"/>
                <w:color w:val="auto"/>
              </w:rPr>
            </w:pPr>
            <w:r>
              <w:rPr>
                <w:rFonts w:ascii="Arial" w:cs="Arial" w:eastAsia="Arial" w:hAnsi="Arial"/>
                <w:sz w:val="18"/>
                <w:szCs w:val="18"/>
                <w:color w:val="auto"/>
                <w:w w:val="99"/>
              </w:rPr>
              <w:t>effect of A change in accounting</w:t>
            </w:r>
          </w:p>
        </w:tc>
        <w:tc>
          <w:tcPr>
            <w:tcW w:w="10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19"/>
                <w:szCs w:val="19"/>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00" w:type="dxa"/>
            <w:vAlign w:val="bottom"/>
            <w:shd w:val="clear" w:color="auto" w:fill="EAF9E8"/>
          </w:tcPr>
          <w:p>
            <w:pPr>
              <w:spacing w:after="0"/>
              <w:rPr>
                <w:sz w:val="20"/>
                <w:szCs w:val="20"/>
                <w:color w:val="auto"/>
              </w:rPr>
            </w:pPr>
            <w:r>
              <w:rPr>
                <w:rFonts w:ascii="Arial" w:cs="Arial" w:eastAsia="Arial" w:hAnsi="Arial"/>
                <w:sz w:val="18"/>
                <w:szCs w:val="18"/>
                <w:color w:val="auto"/>
              </w:rPr>
              <w:t>Net income per share-diluted</w:t>
            </w:r>
          </w:p>
        </w:tc>
        <w:tc>
          <w:tcPr>
            <w:tcW w:w="10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4.18</w:t>
            </w: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0.56</w:t>
            </w:r>
          </w:p>
        </w:tc>
        <w:tc>
          <w:tcPr>
            <w:tcW w:w="200" w:type="dxa"/>
            <w:vAlign w:val="bottom"/>
            <w:shd w:val="clear" w:color="auto" w:fill="EAF9E8"/>
          </w:tcPr>
          <w:p>
            <w:pPr>
              <w:spacing w:after="0"/>
              <w:rPr>
                <w:sz w:val="18"/>
                <w:szCs w:val="18"/>
                <w:color w:val="auto"/>
              </w:rPr>
            </w:pPr>
          </w:p>
        </w:tc>
        <w:tc>
          <w:tcPr>
            <w:tcW w:w="90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Cash dividends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0.46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0.43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0.39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0.37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0.35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All share and per share figures reflect the 2-for-1 stock split effected February 23, 2004.</w:t>
      </w:r>
    </w:p>
    <w:p>
      <w:pPr>
        <w:spacing w:after="0" w:line="239" w:lineRule="exact"/>
        <w:rPr>
          <w:sz w:val="20"/>
          <w:szCs w:val="20"/>
          <w:color w:val="auto"/>
        </w:rPr>
      </w:pPr>
    </w:p>
    <w:p>
      <w:pPr>
        <w:ind w:left="420" w:right="2439" w:hanging="412"/>
        <w:spacing w:after="0" w:line="259"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These selected financial data have been derived from the Company’s consolidated financial statements which, as described in Note 2 to the consolidated financial statements appearing elsewhere in this report, have been restated.</w:t>
      </w:r>
    </w:p>
    <w:p>
      <w:pPr>
        <w:spacing w:after="0" w:line="19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382" w:right="1440" w:bottom="1440" w:gutter="0" w:footer="0" w:header="0"/>
        </w:sectPr>
      </w:pPr>
    </w:p>
    <w:bookmarkStart w:id="40" w:name="page41"/>
    <w:bookmarkEnd w:id="40"/>
    <w:p>
      <w:pPr>
        <w:ind w:left="412" w:right="2599" w:hanging="412"/>
        <w:spacing w:after="0" w:line="268" w:lineRule="auto"/>
        <w:tabs>
          <w:tab w:leader="none" w:pos="4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These selected financial data have been restated for the matters described in Note 2 to the consolidated financial statements appearing elsewhere in this report.</w:t>
      </w:r>
    </w:p>
    <w:p>
      <w:pPr>
        <w:spacing w:after="0" w:line="226" w:lineRule="exact"/>
        <w:rPr>
          <w:rFonts w:ascii="Arial" w:cs="Arial" w:eastAsia="Arial" w:hAnsi="Arial"/>
          <w:sz w:val="18"/>
          <w:szCs w:val="18"/>
          <w:color w:val="auto"/>
        </w:rPr>
      </w:pPr>
    </w:p>
    <w:p>
      <w:pPr>
        <w:ind w:left="412" w:right="2799" w:hanging="412"/>
        <w:spacing w:after="0" w:line="268" w:lineRule="auto"/>
        <w:tabs>
          <w:tab w:leader="none" w:pos="4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These selected financial data have reclassifications described in Note 1 to the consolidated financial statements appearing elsewhere in this report.</w:t>
      </w:r>
    </w:p>
    <w:p>
      <w:pPr>
        <w:spacing w:after="0" w:line="186" w:lineRule="exact"/>
        <w:rPr>
          <w:sz w:val="20"/>
          <w:szCs w:val="20"/>
          <w:color w:val="auto"/>
        </w:rPr>
      </w:pPr>
    </w:p>
    <w:p>
      <w:pPr>
        <w:ind w:left="3972"/>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5166995" cy="469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1"/>
          </w:cols>
          <w:pgMar w:left="248" w:top="388" w:right="1440"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 xml:space="preserve">ITEM 7. </w:t>
      </w:r>
      <w:r>
        <w:rPr>
          <w:rFonts w:ascii="Arial" w:cs="Arial" w:eastAsia="Arial" w:hAnsi="Arial"/>
          <w:sz w:val="18"/>
          <w:szCs w:val="18"/>
          <w:b w:val="1"/>
          <w:bCs w:val="1"/>
          <w:color w:val="auto"/>
        </w:rPr>
        <w:t>MANAGEMENT’S DISCUSSION AND ANALYSIS OF FINANCIAL CONDITION AND</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RESULTS OF OPERATIONS</w:t>
      </w:r>
    </w:p>
    <w:p>
      <w:pPr>
        <w:spacing w:after="0" w:line="219" w:lineRule="exact"/>
        <w:rPr>
          <w:sz w:val="20"/>
          <w:szCs w:val="20"/>
          <w:color w:val="auto"/>
        </w:rPr>
      </w:pPr>
    </w:p>
    <w:p>
      <w:pPr>
        <w:ind w:right="2119"/>
        <w:spacing w:after="0" w:line="290" w:lineRule="auto"/>
        <w:rPr>
          <w:sz w:val="20"/>
          <w:szCs w:val="20"/>
          <w:color w:val="auto"/>
        </w:rPr>
      </w:pPr>
      <w:r>
        <w:rPr>
          <w:rFonts w:ascii="Arial" w:cs="Arial" w:eastAsia="Arial" w:hAnsi="Arial"/>
          <w:sz w:val="16"/>
          <w:szCs w:val="16"/>
          <w:color w:val="auto"/>
        </w:rPr>
        <w:t>This annual report contains forward-looking statements within the meaning of Section 27A of the Securities Act of 1933 and Section 21E of the Securities Exchange Act of 1934, including statements regarding our expectations, hopes, intentions, or strategies regarding the future. These statements are subject to certain risks and uncertainties that could cause actual results to differ materially from those anticipated in the forward-looking statements. Factors that might cause such a difference include those discussed in this report under “Business-Recent Developments” and “Risk Factors.” The Company undertakes no obligation to publicly revise these forward-looking statements to reflect subsequent events or circumstances, except as required by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2159"/>
        <w:spacing w:after="0" w:line="253"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Shenandoah Telecommunications Company is a diversified telecommunications company providing</w:t>
      </w:r>
      <w:r>
        <w:rPr>
          <w:rFonts w:ascii="Arial" w:cs="Arial" w:eastAsia="Arial" w:hAnsi="Arial"/>
          <w:sz w:val="18"/>
          <w:szCs w:val="18"/>
          <w:i w:val="1"/>
          <w:iCs w:val="1"/>
          <w:color w:val="auto"/>
        </w:rPr>
        <w:t xml:space="preserve"> </w:t>
      </w:r>
      <w:r>
        <w:rPr>
          <w:rFonts w:ascii="Arial" w:cs="Arial" w:eastAsia="Arial" w:hAnsi="Arial"/>
          <w:sz w:val="18"/>
          <w:szCs w:val="18"/>
          <w:color w:val="auto"/>
        </w:rPr>
        <w:t>both regulated and unregulated telecommunications services through its wholly owned subsidiaries. These subsidiaries provide local exchange telephone services and wireless personal communications services (as a Sprint Nextel PCS affiliate), as well as cable television, video, Internet and data services, long distance, sale of telecommunications equipment, fiber optics facilities, paging and leased tower facilities. The Company has the following six reporting segments, which it operates and manages as strategic business units organized geographically and by line of business:</w:t>
      </w:r>
    </w:p>
    <w:p>
      <w:pPr>
        <w:spacing w:after="0" w:line="215" w:lineRule="exact"/>
        <w:rPr>
          <w:sz w:val="20"/>
          <w:szCs w:val="20"/>
          <w:color w:val="auto"/>
        </w:rPr>
      </w:pPr>
    </w:p>
    <w:p>
      <w:pPr>
        <w:ind w:left="660" w:right="2119" w:hanging="247"/>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wireless personal communications services, or PCS, as a Sprint Nextel PCS affiliate, through Shenandoah Personal Communications Company;</w:t>
      </w:r>
    </w:p>
    <w:p>
      <w:pPr>
        <w:spacing w:after="0" w:line="118" w:lineRule="exact"/>
        <w:rPr>
          <w:rFonts w:ascii="Arial" w:cs="Arial" w:eastAsia="Arial" w:hAnsi="Arial"/>
          <w:sz w:val="18"/>
          <w:szCs w:val="18"/>
          <w:color w:val="auto"/>
        </w:rPr>
      </w:pPr>
    </w:p>
    <w:p>
      <w:pPr>
        <w:ind w:left="660" w:right="2579" w:hanging="247"/>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telephone, which involves the provision of regulated and non-regulated telephone services, through Shenandoah Telephone Company;</w:t>
      </w:r>
    </w:p>
    <w:p>
      <w:pPr>
        <w:spacing w:after="0" w:line="118" w:lineRule="exact"/>
        <w:rPr>
          <w:rFonts w:ascii="Arial" w:cs="Arial" w:eastAsia="Arial" w:hAnsi="Arial"/>
          <w:sz w:val="18"/>
          <w:szCs w:val="18"/>
          <w:color w:val="auto"/>
        </w:rPr>
      </w:pPr>
    </w:p>
    <w:p>
      <w:pPr>
        <w:ind w:left="660" w:right="2699" w:hanging="247"/>
        <w:spacing w:after="0" w:line="33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converged services, which involves the provision of data, video, voice and long-distance services, through Shentel Converged Services, Inc. and NTC Communications, LLC.;</w:t>
      </w:r>
    </w:p>
    <w:p>
      <w:pPr>
        <w:spacing w:after="0" w:line="71" w:lineRule="exact"/>
        <w:rPr>
          <w:rFonts w:ascii="Arial" w:cs="Arial" w:eastAsia="Arial" w:hAnsi="Arial"/>
          <w:sz w:val="16"/>
          <w:szCs w:val="16"/>
          <w:color w:val="auto"/>
        </w:rPr>
      </w:pPr>
    </w:p>
    <w:p>
      <w:pPr>
        <w:ind w:left="660" w:right="2339" w:hanging="247"/>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mobile, which involves the provision of tower leases and paging services, through Shenandoah Mobile Company;</w:t>
      </w:r>
    </w:p>
    <w:p>
      <w:pPr>
        <w:spacing w:after="0" w:line="118" w:lineRule="exact"/>
        <w:rPr>
          <w:rFonts w:ascii="Arial" w:cs="Arial" w:eastAsia="Arial" w:hAnsi="Arial"/>
          <w:sz w:val="18"/>
          <w:szCs w:val="18"/>
          <w:color w:val="auto"/>
        </w:rPr>
      </w:pPr>
    </w:p>
    <w:p>
      <w:pPr>
        <w:ind w:left="660" w:right="2679" w:hanging="247"/>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holding, which involves the provision of investments and management services to its subsidiaries, through Shenandoah Telecommunications Company; and</w:t>
      </w:r>
    </w:p>
    <w:p>
      <w:pPr>
        <w:spacing w:after="0" w:line="118" w:lineRule="exact"/>
        <w:rPr>
          <w:rFonts w:ascii="Arial" w:cs="Arial" w:eastAsia="Arial" w:hAnsi="Arial"/>
          <w:sz w:val="18"/>
          <w:szCs w:val="18"/>
          <w:color w:val="auto"/>
        </w:rPr>
      </w:pPr>
    </w:p>
    <w:p>
      <w:pPr>
        <w:ind w:left="660" w:right="2299" w:hanging="247"/>
        <w:spacing w:after="0" w:line="298"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which involves the provision of Internet, cable television, network facility leasing, long-distance, CLEC, and wireless broadband services, through ShenTel Service Company, Shenandoah Cable Television, Shenandoah Network Company, Shenandoah Long Distance Company, ShenTel Communications Company and Shentel Wireless Company.</w:t>
      </w:r>
    </w:p>
    <w:p>
      <w:pPr>
        <w:spacing w:after="0" w:line="167" w:lineRule="exact"/>
        <w:rPr>
          <w:sz w:val="20"/>
          <w:szCs w:val="20"/>
          <w:color w:val="auto"/>
        </w:rPr>
      </w:pPr>
    </w:p>
    <w:p>
      <w:pPr>
        <w:ind w:right="2519"/>
        <w:spacing w:after="0" w:line="332" w:lineRule="auto"/>
        <w:rPr>
          <w:sz w:val="20"/>
          <w:szCs w:val="20"/>
          <w:color w:val="auto"/>
        </w:rPr>
      </w:pPr>
      <w:r>
        <w:rPr>
          <w:rFonts w:ascii="Arial" w:cs="Arial" w:eastAsia="Arial" w:hAnsi="Arial"/>
          <w:sz w:val="16"/>
          <w:szCs w:val="16"/>
          <w:color w:val="auto"/>
        </w:rPr>
        <w:t>During the third quarter of 2005, Shenandoah Valley Leasing Company changed its name to Shentel Wireless Company to record the activities associated with the Company’s Wireless Broadband Group.</w:t>
      </w:r>
    </w:p>
    <w:p>
      <w:pPr>
        <w:spacing w:after="0" w:line="139" w:lineRule="exact"/>
        <w:rPr>
          <w:sz w:val="20"/>
          <w:szCs w:val="20"/>
          <w:color w:val="auto"/>
        </w:rPr>
      </w:pPr>
    </w:p>
    <w:p>
      <w:pPr>
        <w:ind w:right="2119"/>
        <w:spacing w:after="0" w:line="286" w:lineRule="auto"/>
        <w:rPr>
          <w:sz w:val="20"/>
          <w:szCs w:val="20"/>
          <w:color w:val="auto"/>
        </w:rPr>
      </w:pPr>
      <w:r>
        <w:rPr>
          <w:rFonts w:ascii="Arial" w:cs="Arial" w:eastAsia="Arial" w:hAnsi="Arial"/>
          <w:sz w:val="16"/>
          <w:szCs w:val="16"/>
          <w:color w:val="auto"/>
        </w:rPr>
        <w:t>The Company is the exclusive provider of wireless mobility communications network products and services on the 1900 MHz band under the Sprint brand from Harrisonburg, Virginia to Harrisburg, York and Altoona, Pennsylvania. The Company refers to the Chambersburg, Pennsylvania; Hagerstown, Maryland; Martinsburg, West Virginia; and Harrisonburg and Winchester, Virginia markets as its Quad States markets. The Company refers to the Altoona, Harrisburg, and York, Pennsylvania markets as its Central Penn markets. The Company’s primary service area for the telephone, cable television and long-distance business is Shenandoah County, Virginia. The county is a rural area in northwestern Virginia, with a population of approximately 38,000 inhabitants, which has increased by approximately 3,000 since 2000. While a number of new housing developments are being planned for Shenandoah County, the Company believes that the potential for significant numbers of additional wireline customers in the Shenandoah County operating area is limited. In 2002, the Company established a competitive local exchange carrier in Virginia to provide services on a limited basis.</w:t>
      </w:r>
    </w:p>
    <w:p>
      <w:pPr>
        <w:spacing w:after="0" w:line="181" w:lineRule="exact"/>
        <w:rPr>
          <w:sz w:val="20"/>
          <w:szCs w:val="20"/>
          <w:color w:val="auto"/>
        </w:rPr>
      </w:pPr>
    </w:p>
    <w:p>
      <w:pPr>
        <w:ind w:right="2199"/>
        <w:spacing w:after="0" w:line="259" w:lineRule="auto"/>
        <w:rPr>
          <w:sz w:val="20"/>
          <w:szCs w:val="20"/>
          <w:color w:val="auto"/>
        </w:rPr>
      </w:pPr>
      <w:r>
        <w:rPr>
          <w:rFonts w:ascii="Arial" w:cs="Arial" w:eastAsia="Arial" w:hAnsi="Arial"/>
          <w:sz w:val="18"/>
          <w:szCs w:val="18"/>
          <w:color w:val="auto"/>
        </w:rPr>
        <w:t>As a result of the November 30, 2004 acquisition of the 83.9% of NTC Communications, L.L.C. (“NTC”) that the Company did not already own, the Company, through its subsidiary Shentel Converged Services, provides local and long</w:t>
      </w:r>
    </w:p>
    <w:p>
      <w:pPr>
        <w:spacing w:after="0" w:line="19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382" w:right="1440" w:bottom="1440" w:gutter="0" w:footer="0" w:header="0"/>
        </w:sectPr>
      </w:pPr>
    </w:p>
    <w:bookmarkStart w:id="42" w:name="page43"/>
    <w:bookmarkEnd w:id="42"/>
    <w:p>
      <w:pPr>
        <w:ind w:right="2139"/>
        <w:spacing w:after="0" w:line="291" w:lineRule="auto"/>
        <w:rPr>
          <w:sz w:val="20"/>
          <w:szCs w:val="20"/>
          <w:color w:val="auto"/>
        </w:rPr>
      </w:pPr>
      <w:r>
        <w:rPr>
          <w:rFonts w:ascii="Arial" w:cs="Arial" w:eastAsia="Arial" w:hAnsi="Arial"/>
          <w:sz w:val="16"/>
          <w:szCs w:val="16"/>
          <w:color w:val="auto"/>
        </w:rPr>
        <w:t>distance voice, video, and Internet services on an exclusive and non-exclusive basis to MDU communities, consisting primarily of off-campus college student housing throughout the southeastern United States including Virginia, North Carolina, Maryland, South Carolina, Georgia, Florida, Tennessee and Mississippi. In September 2005, the Company began an initiative to market wireless broadband products and services. The Company plans to extend this initiative to build networks and market wireless broadband to customers in selected markets in the mid-atlantic and southeastern United States.</w:t>
      </w:r>
    </w:p>
    <w:p>
      <w:pPr>
        <w:spacing w:after="0" w:line="174" w:lineRule="exact"/>
        <w:rPr>
          <w:sz w:val="20"/>
          <w:szCs w:val="20"/>
          <w:color w:val="auto"/>
        </w:rPr>
      </w:pPr>
    </w:p>
    <w:p>
      <w:pPr>
        <w:ind w:right="2219"/>
        <w:spacing w:after="0" w:line="259" w:lineRule="auto"/>
        <w:rPr>
          <w:sz w:val="20"/>
          <w:szCs w:val="20"/>
          <w:color w:val="auto"/>
        </w:rPr>
      </w:pPr>
      <w:r>
        <w:rPr>
          <w:rFonts w:ascii="Arial" w:cs="Arial" w:eastAsia="Arial" w:hAnsi="Arial"/>
          <w:sz w:val="18"/>
          <w:szCs w:val="18"/>
          <w:color w:val="auto"/>
        </w:rPr>
        <w:t>The Company sells and leases equipment , mainly related to the services it provides. The Company participates in emerging services and technologies by investment in technology venture funds and direct investment in non-affiliated companies.</w:t>
      </w:r>
    </w:p>
    <w:p>
      <w:pPr>
        <w:spacing w:after="0" w:line="194" w:lineRule="exact"/>
        <w:rPr>
          <w:sz w:val="20"/>
          <w:szCs w:val="20"/>
          <w:color w:val="auto"/>
        </w:rPr>
      </w:pPr>
    </w:p>
    <w:p>
      <w:pPr>
        <w:ind w:right="2139"/>
        <w:spacing w:after="0" w:line="291" w:lineRule="auto"/>
        <w:rPr>
          <w:sz w:val="20"/>
          <w:szCs w:val="20"/>
          <w:color w:val="auto"/>
        </w:rPr>
      </w:pPr>
      <w:r>
        <w:rPr>
          <w:rFonts w:ascii="Arial" w:cs="Arial" w:eastAsia="Arial" w:hAnsi="Arial"/>
          <w:sz w:val="16"/>
          <w:szCs w:val="16"/>
          <w:i w:val="1"/>
          <w:iCs w:val="1"/>
          <w:color w:val="auto"/>
        </w:rPr>
        <w:t xml:space="preserve">Restatement of Financial Results: </w:t>
      </w:r>
      <w:r>
        <w:rPr>
          <w:rFonts w:ascii="Arial" w:cs="Arial" w:eastAsia="Arial" w:hAnsi="Arial"/>
          <w:sz w:val="16"/>
          <w:szCs w:val="16"/>
          <w:color w:val="auto"/>
        </w:rPr>
        <w:t>The Company’s financial statements as of and for the years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2004 and 2003, including the beginning retained earnings for the year ended December 31, 2003, all quarters in 2004 and the first three quarters of the year ended December 31, 2005, have been restated to correct errors relating to the Company’s accounting for operating leases. While management believes that the impact of this error is not material to any previously issued financial statements, it determined that the cumulative adjustment required to correct this error was too large to record in 2005.</w:t>
      </w:r>
    </w:p>
    <w:p>
      <w:pPr>
        <w:spacing w:after="0" w:line="174" w:lineRule="exact"/>
        <w:rPr>
          <w:sz w:val="20"/>
          <w:szCs w:val="20"/>
          <w:color w:val="auto"/>
        </w:rPr>
      </w:pPr>
    </w:p>
    <w:p>
      <w:pPr>
        <w:ind w:right="2119"/>
        <w:spacing w:after="0" w:line="286" w:lineRule="auto"/>
        <w:rPr>
          <w:sz w:val="20"/>
          <w:szCs w:val="20"/>
          <w:color w:val="auto"/>
        </w:rPr>
      </w:pPr>
      <w:r>
        <w:rPr>
          <w:rFonts w:ascii="Arial" w:cs="Arial" w:eastAsia="Arial" w:hAnsi="Arial"/>
          <w:sz w:val="16"/>
          <w:szCs w:val="16"/>
          <w:color w:val="auto"/>
        </w:rPr>
        <w:t>The Company’s method of accounting for operating leases did not comply with the requirements of SFAS No. 13, “Accounting for Leases” and FASB Technical Bulletin No. 85-3, “Accounting for Operating Leases with Scheduled Rent Increases”. Historically, the Company has not assumed the exercise of available renewal options in accounting for operating leases. The Company has operating leases, primarily for cell sites owned by third parties, land leases for towers owned by the Company and leases with third parties for space on the Company’s towers that have escalating rentals during the initial lease term and during succeeding optional renewal periods. In light of the Company’s investment in each site, including acquisition costs and leasehold improvements, the Company determined that the exercise of certain renewal options was reasonably assured at the inception of the leases. Accordingly, the Company will correct its accounting to recognize rent expense on a straight-line basis over the initial lease term and renewal periods that are reasonably assured. Where the Company is the lessor, it will recognize revenue on a straight-line basis over the current term of the lease.</w:t>
      </w:r>
    </w:p>
    <w:p>
      <w:pPr>
        <w:spacing w:after="0" w:line="181" w:lineRule="exact"/>
        <w:rPr>
          <w:sz w:val="20"/>
          <w:szCs w:val="20"/>
          <w:color w:val="auto"/>
        </w:rPr>
      </w:pPr>
    </w:p>
    <w:p>
      <w:pPr>
        <w:ind w:right="2119"/>
        <w:spacing w:after="0" w:line="287" w:lineRule="auto"/>
        <w:rPr>
          <w:sz w:val="20"/>
          <w:szCs w:val="20"/>
          <w:color w:val="auto"/>
        </w:rPr>
      </w:pPr>
      <w:r>
        <w:rPr>
          <w:rFonts w:ascii="Arial" w:cs="Arial" w:eastAsia="Arial" w:hAnsi="Arial"/>
          <w:sz w:val="16"/>
          <w:szCs w:val="16"/>
          <w:color w:val="auto"/>
        </w:rPr>
        <w:t>The impact of these restatements to the Company’s statements of income for the years ended December 31, 2004 and December 31, 2003 was a decrease to net income of $0.2 million for both years. The impact associated with correcting the Company’s accounting for operating leases was an increase to lease expense of $0.4 million reflected in “Cost of goods and services” for both years. The restatements also impacted the consolidated balance sheet lines for “Deferred charges and other assets, net,” “Deferred income taxes,” “Deferred lease payable” and “Retained earnings.” For the years ended December 31, 2004 and 2003, the Company’s consolidated statements of shareholders’ equity and comprehensive income were impacted by the restatement adjustments by a decrease in net income of $0.2 million for both years, as well as a decrease to retained earnings of $0.6 million as of December 31, 2002. The adjustments do not affect historical net cash flows from operating, investing or financing activities, future cash flows or the timing of payments under related leases.</w:t>
      </w:r>
    </w:p>
    <w:p>
      <w:pPr>
        <w:spacing w:after="0" w:line="177" w:lineRule="exact"/>
        <w:rPr>
          <w:sz w:val="20"/>
          <w:szCs w:val="20"/>
          <w:color w:val="auto"/>
        </w:rPr>
      </w:pPr>
    </w:p>
    <w:p>
      <w:pPr>
        <w:ind w:right="2359"/>
        <w:spacing w:after="0" w:line="268" w:lineRule="auto"/>
        <w:rPr>
          <w:sz w:val="20"/>
          <w:szCs w:val="20"/>
          <w:color w:val="auto"/>
        </w:rPr>
      </w:pPr>
      <w:r>
        <w:rPr>
          <w:rFonts w:ascii="Arial" w:cs="Arial" w:eastAsia="Arial" w:hAnsi="Arial"/>
          <w:sz w:val="18"/>
          <w:szCs w:val="18"/>
          <w:color w:val="auto"/>
        </w:rPr>
        <w:t>See Note 2 to the Company’s consolidated financial statements appearing elsewhere in this report for additional information.</w:t>
      </w:r>
    </w:p>
    <w:p>
      <w:pPr>
        <w:spacing w:after="0" w:line="186" w:lineRule="exact"/>
        <w:rPr>
          <w:sz w:val="20"/>
          <w:szCs w:val="20"/>
          <w:color w:val="auto"/>
        </w:rPr>
      </w:pPr>
    </w:p>
    <w:p>
      <w:pPr>
        <w:ind w:right="2259"/>
        <w:spacing w:after="0" w:line="268" w:lineRule="auto"/>
        <w:rPr>
          <w:sz w:val="20"/>
          <w:szCs w:val="20"/>
          <w:color w:val="auto"/>
        </w:rPr>
      </w:pPr>
      <w:r>
        <w:rPr>
          <w:rFonts w:ascii="Arial" w:cs="Arial" w:eastAsia="Arial" w:hAnsi="Arial"/>
          <w:sz w:val="18"/>
          <w:szCs w:val="18"/>
          <w:color w:val="auto"/>
        </w:rPr>
        <w:t>The following management’s discussion and analysis for the years ending December 31, 2004 and 2003 has been revised to reflect the effects of the restatements.</w:t>
      </w:r>
    </w:p>
    <w:p>
      <w:pPr>
        <w:spacing w:after="0" w:line="186" w:lineRule="exact"/>
        <w:rPr>
          <w:sz w:val="20"/>
          <w:szCs w:val="20"/>
          <w:color w:val="auto"/>
        </w:rPr>
      </w:pPr>
    </w:p>
    <w:p>
      <w:pPr>
        <w:ind w:right="2219"/>
        <w:spacing w:after="0" w:line="290" w:lineRule="auto"/>
        <w:rPr>
          <w:sz w:val="20"/>
          <w:szCs w:val="20"/>
          <w:color w:val="auto"/>
        </w:rPr>
      </w:pPr>
      <w:r>
        <w:rPr>
          <w:rFonts w:ascii="Arial" w:cs="Arial" w:eastAsia="Arial" w:hAnsi="Arial"/>
          <w:sz w:val="16"/>
          <w:szCs w:val="16"/>
          <w:i w:val="1"/>
          <w:iCs w:val="1"/>
          <w:color w:val="auto"/>
        </w:rPr>
        <w:t xml:space="preserve">Allocations. </w:t>
      </w:r>
      <w:r>
        <w:rPr>
          <w:rFonts w:ascii="Arial" w:cs="Arial" w:eastAsia="Arial" w:hAnsi="Arial"/>
          <w:sz w:val="16"/>
          <w:szCs w:val="16"/>
          <w:color w:val="auto"/>
        </w:rPr>
        <w:t>In connection with the adoption of a new affiliates agreement which was approved by the VSCC</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January 1, 2005, and pursuant to assignment and assumption agreements between Shentel Management Company and Shenandoah Telephone Company, and the Company’s other subsidiaries, effective January 1, 2005, all employees and certain assets and liabilities of these subsidiaries were transferred to Shentel Management Company which is now the entity through which all shared services and shared assets are provided to all existing and future affiliates of the Company. The new affiliate’s agreement had no impact on the consolidated financial statements.</w:t>
      </w:r>
    </w:p>
    <w:p>
      <w:pPr>
        <w:spacing w:after="0" w:line="172"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90" w:right="1440"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Additional Information About the Company’s Business</w:t>
      </w:r>
    </w:p>
    <w:p>
      <w:pPr>
        <w:spacing w:after="0" w:line="231" w:lineRule="exact"/>
        <w:rPr>
          <w:sz w:val="20"/>
          <w:szCs w:val="20"/>
          <w:color w:val="auto"/>
        </w:rPr>
      </w:pPr>
    </w:p>
    <w:p>
      <w:pPr>
        <w:ind w:right="2159"/>
        <w:spacing w:after="0" w:line="332" w:lineRule="auto"/>
        <w:rPr>
          <w:sz w:val="20"/>
          <w:szCs w:val="20"/>
          <w:color w:val="auto"/>
        </w:rPr>
      </w:pPr>
      <w:r>
        <w:rPr>
          <w:rFonts w:ascii="Arial" w:cs="Arial" w:eastAsia="Arial" w:hAnsi="Arial"/>
          <w:sz w:val="16"/>
          <w:szCs w:val="16"/>
          <w:color w:val="auto"/>
        </w:rPr>
        <w:t>The following table shows selected operating statistics of the Company for the most recent five quarters. The table does not include information related to NTC Communications acquired on November 30, 2004.</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294"/>
              <w:spacing w:after="0"/>
              <w:rPr>
                <w:sz w:val="20"/>
                <w:szCs w:val="20"/>
                <w:color w:val="auto"/>
              </w:rPr>
            </w:pPr>
            <w:r>
              <w:rPr>
                <w:rFonts w:ascii="Arial" w:cs="Arial" w:eastAsia="Arial" w:hAnsi="Arial"/>
                <w:sz w:val="14"/>
                <w:szCs w:val="14"/>
                <w:b w:val="1"/>
                <w:bCs w:val="1"/>
                <w:color w:val="auto"/>
                <w:w w:val="86"/>
              </w:rPr>
              <w:t>Dec. 31,</w:t>
            </w:r>
          </w:p>
        </w:tc>
        <w:tc>
          <w:tcPr>
            <w:tcW w:w="980" w:type="dxa"/>
            <w:vAlign w:val="bottom"/>
          </w:tcPr>
          <w:p>
            <w:pPr>
              <w:jc w:val="right"/>
              <w:ind w:right="294"/>
              <w:spacing w:after="0"/>
              <w:rPr>
                <w:sz w:val="20"/>
                <w:szCs w:val="20"/>
                <w:color w:val="auto"/>
              </w:rPr>
            </w:pPr>
            <w:r>
              <w:rPr>
                <w:rFonts w:ascii="Arial" w:cs="Arial" w:eastAsia="Arial" w:hAnsi="Arial"/>
                <w:sz w:val="14"/>
                <w:szCs w:val="14"/>
                <w:b w:val="1"/>
                <w:bCs w:val="1"/>
                <w:color w:val="auto"/>
              </w:rPr>
              <w:t>Sept. 30,</w:t>
            </w:r>
          </w:p>
        </w:tc>
        <w:tc>
          <w:tcPr>
            <w:tcW w:w="880" w:type="dxa"/>
            <w:vAlign w:val="bottom"/>
          </w:tcPr>
          <w:p>
            <w:pPr>
              <w:jc w:val="right"/>
              <w:ind w:right="275"/>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Mar. 31,</w:t>
            </w: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394"/>
              <w:spacing w:after="0"/>
              <w:rPr>
                <w:sz w:val="20"/>
                <w:szCs w:val="20"/>
                <w:color w:val="auto"/>
              </w:rPr>
            </w:pPr>
            <w:r>
              <w:rPr>
                <w:rFonts w:ascii="Arial" w:cs="Arial" w:eastAsia="Arial" w:hAnsi="Arial"/>
                <w:sz w:val="14"/>
                <w:szCs w:val="14"/>
                <w:b w:val="1"/>
                <w:bCs w:val="1"/>
                <w:color w:val="auto"/>
              </w:rPr>
              <w:t>2005</w:t>
            </w:r>
          </w:p>
        </w:tc>
        <w:tc>
          <w:tcPr>
            <w:tcW w:w="980" w:type="dxa"/>
            <w:vAlign w:val="bottom"/>
          </w:tcPr>
          <w:p>
            <w:pPr>
              <w:jc w:val="right"/>
              <w:ind w:right="414"/>
              <w:spacing w:after="0"/>
              <w:rPr>
                <w:sz w:val="20"/>
                <w:szCs w:val="20"/>
                <w:color w:val="auto"/>
              </w:rPr>
            </w:pPr>
            <w:r>
              <w:rPr>
                <w:rFonts w:ascii="Arial" w:cs="Arial" w:eastAsia="Arial" w:hAnsi="Arial"/>
                <w:sz w:val="14"/>
                <w:szCs w:val="14"/>
                <w:b w:val="1"/>
                <w:bCs w:val="1"/>
                <w:color w:val="auto"/>
              </w:rPr>
              <w:t>2005</w:t>
            </w:r>
          </w:p>
        </w:tc>
        <w:tc>
          <w:tcPr>
            <w:tcW w:w="880" w:type="dxa"/>
            <w:vAlign w:val="bottom"/>
          </w:tcPr>
          <w:p>
            <w:pPr>
              <w:jc w:val="right"/>
              <w:ind w:right="375"/>
              <w:spacing w:after="0"/>
              <w:rPr>
                <w:sz w:val="20"/>
                <w:szCs w:val="20"/>
                <w:color w:val="auto"/>
              </w:rPr>
            </w:pPr>
            <w:r>
              <w:rPr>
                <w:rFonts w:ascii="Arial" w:cs="Arial" w:eastAsia="Arial" w:hAnsi="Arial"/>
                <w:sz w:val="14"/>
                <w:szCs w:val="14"/>
                <w:b w:val="1"/>
                <w:bCs w:val="1"/>
                <w:color w:val="auto"/>
              </w:rPr>
              <w:t>2005</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9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40" w:type="dxa"/>
            <w:vAlign w:val="bottom"/>
          </w:tcPr>
          <w:p>
            <w:pPr>
              <w:spacing w:after="0"/>
              <w:rPr>
                <w:sz w:val="8"/>
                <w:szCs w:val="8"/>
                <w:color w:val="auto"/>
              </w:rPr>
            </w:pPr>
          </w:p>
        </w:tc>
        <w:tc>
          <w:tcPr>
            <w:tcW w:w="1920" w:type="dxa"/>
            <w:vAlign w:val="bottom"/>
            <w:gridSpan w:val="2"/>
          </w:tcPr>
          <w:p>
            <w:pPr>
              <w:spacing w:after="0"/>
              <w:rPr>
                <w:sz w:val="8"/>
                <w:szCs w:val="8"/>
                <w:color w:val="auto"/>
              </w:rPr>
            </w:pPr>
          </w:p>
        </w:tc>
        <w:tc>
          <w:tcPr>
            <w:tcW w:w="8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Telephone Access Lines</w:t>
            </w:r>
          </w:p>
        </w:tc>
        <w:tc>
          <w:tcPr>
            <w:tcW w:w="860" w:type="dxa"/>
            <w:vAlign w:val="bottom"/>
            <w:shd w:val="clear" w:color="auto" w:fill="EAF9E8"/>
          </w:tcPr>
          <w:p>
            <w:pPr>
              <w:jc w:val="right"/>
              <w:ind w:right="154"/>
              <w:spacing w:after="0"/>
              <w:rPr>
                <w:sz w:val="20"/>
                <w:szCs w:val="20"/>
                <w:color w:val="auto"/>
              </w:rPr>
            </w:pPr>
            <w:r>
              <w:rPr>
                <w:rFonts w:ascii="Arial" w:cs="Arial" w:eastAsia="Arial" w:hAnsi="Arial"/>
                <w:sz w:val="18"/>
                <w:szCs w:val="18"/>
                <w:color w:val="auto"/>
              </w:rPr>
              <w:t>24,740</w:t>
            </w:r>
          </w:p>
        </w:tc>
        <w:tc>
          <w:tcPr>
            <w:tcW w:w="980" w:type="dxa"/>
            <w:vAlign w:val="bottom"/>
            <w:shd w:val="clear" w:color="auto" w:fill="EAF9E8"/>
          </w:tcPr>
          <w:p>
            <w:pPr>
              <w:jc w:val="right"/>
              <w:ind w:right="214"/>
              <w:spacing w:after="0"/>
              <w:rPr>
                <w:sz w:val="20"/>
                <w:szCs w:val="20"/>
                <w:color w:val="auto"/>
              </w:rPr>
            </w:pPr>
            <w:r>
              <w:rPr>
                <w:rFonts w:ascii="Arial" w:cs="Arial" w:eastAsia="Arial" w:hAnsi="Arial"/>
                <w:sz w:val="18"/>
                <w:szCs w:val="18"/>
                <w:color w:val="auto"/>
              </w:rPr>
              <w:t>24,811</w:t>
            </w:r>
          </w:p>
        </w:tc>
        <w:tc>
          <w:tcPr>
            <w:tcW w:w="880" w:type="dxa"/>
            <w:vAlign w:val="bottom"/>
            <w:shd w:val="clear" w:color="auto" w:fill="EAF9E8"/>
          </w:tcPr>
          <w:p>
            <w:pPr>
              <w:jc w:val="right"/>
              <w:ind w:right="175"/>
              <w:spacing w:after="0"/>
              <w:rPr>
                <w:sz w:val="20"/>
                <w:szCs w:val="20"/>
                <w:color w:val="auto"/>
              </w:rPr>
            </w:pPr>
            <w:r>
              <w:rPr>
                <w:rFonts w:ascii="Arial" w:cs="Arial" w:eastAsia="Arial" w:hAnsi="Arial"/>
                <w:sz w:val="18"/>
                <w:szCs w:val="18"/>
                <w:color w:val="auto"/>
              </w:rPr>
              <w:t>24,877</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24,802</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94"/>
              <w:spacing w:after="0"/>
              <w:rPr>
                <w:sz w:val="20"/>
                <w:szCs w:val="20"/>
                <w:color w:val="auto"/>
              </w:rPr>
            </w:pPr>
            <w:r>
              <w:rPr>
                <w:rFonts w:ascii="Arial" w:cs="Arial" w:eastAsia="Arial" w:hAnsi="Arial"/>
                <w:sz w:val="18"/>
                <w:szCs w:val="18"/>
                <w:color w:val="auto"/>
              </w:rPr>
              <w:t>24,691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3"/>
          </w:tcPr>
          <w:p>
            <w:pPr>
              <w:spacing w:after="0"/>
              <w:rPr>
                <w:sz w:val="20"/>
                <w:szCs w:val="20"/>
                <w:color w:val="auto"/>
              </w:rPr>
            </w:pPr>
            <w:r>
              <w:rPr>
                <w:rFonts w:ascii="Arial" w:cs="Arial" w:eastAsia="Arial" w:hAnsi="Arial"/>
                <w:sz w:val="18"/>
                <w:szCs w:val="18"/>
                <w:color w:val="auto"/>
              </w:rPr>
              <w:t>Cable Television Subscribers</w:t>
            </w:r>
          </w:p>
        </w:tc>
        <w:tc>
          <w:tcPr>
            <w:tcW w:w="860" w:type="dxa"/>
            <w:vAlign w:val="bottom"/>
          </w:tcPr>
          <w:p>
            <w:pPr>
              <w:jc w:val="right"/>
              <w:ind w:right="154"/>
              <w:spacing w:after="0"/>
              <w:rPr>
                <w:sz w:val="20"/>
                <w:szCs w:val="20"/>
                <w:color w:val="auto"/>
              </w:rPr>
            </w:pPr>
            <w:r>
              <w:rPr>
                <w:rFonts w:ascii="Arial" w:cs="Arial" w:eastAsia="Arial" w:hAnsi="Arial"/>
                <w:sz w:val="18"/>
                <w:szCs w:val="18"/>
                <w:color w:val="auto"/>
              </w:rPr>
              <w:t>8,684</w:t>
            </w:r>
          </w:p>
        </w:tc>
        <w:tc>
          <w:tcPr>
            <w:tcW w:w="980" w:type="dxa"/>
            <w:vAlign w:val="bottom"/>
          </w:tcPr>
          <w:p>
            <w:pPr>
              <w:jc w:val="right"/>
              <w:ind w:right="214"/>
              <w:spacing w:after="0"/>
              <w:rPr>
                <w:sz w:val="20"/>
                <w:szCs w:val="20"/>
                <w:color w:val="auto"/>
              </w:rPr>
            </w:pPr>
            <w:r>
              <w:rPr>
                <w:rFonts w:ascii="Arial" w:cs="Arial" w:eastAsia="Arial" w:hAnsi="Arial"/>
                <w:sz w:val="18"/>
                <w:szCs w:val="18"/>
                <w:color w:val="auto"/>
              </w:rPr>
              <w:t>8,677</w:t>
            </w:r>
          </w:p>
        </w:tc>
        <w:tc>
          <w:tcPr>
            <w:tcW w:w="880" w:type="dxa"/>
            <w:vAlign w:val="bottom"/>
          </w:tcPr>
          <w:p>
            <w:pPr>
              <w:jc w:val="right"/>
              <w:ind w:right="175"/>
              <w:spacing w:after="0"/>
              <w:rPr>
                <w:sz w:val="20"/>
                <w:szCs w:val="20"/>
                <w:color w:val="auto"/>
              </w:rPr>
            </w:pPr>
            <w:r>
              <w:rPr>
                <w:rFonts w:ascii="Arial" w:cs="Arial" w:eastAsia="Arial" w:hAnsi="Arial"/>
                <w:sz w:val="18"/>
                <w:szCs w:val="18"/>
                <w:color w:val="auto"/>
              </w:rPr>
              <w:t>8,627</w:t>
            </w:r>
          </w:p>
        </w:tc>
        <w:tc>
          <w:tcPr>
            <w:tcW w:w="760" w:type="dxa"/>
            <w:vAlign w:val="bottom"/>
          </w:tcPr>
          <w:p>
            <w:pPr>
              <w:jc w:val="right"/>
              <w:spacing w:after="0"/>
              <w:rPr>
                <w:sz w:val="20"/>
                <w:szCs w:val="20"/>
                <w:color w:val="auto"/>
              </w:rPr>
            </w:pPr>
            <w:r>
              <w:rPr>
                <w:rFonts w:ascii="Arial" w:cs="Arial" w:eastAsia="Arial" w:hAnsi="Arial"/>
                <w:sz w:val="18"/>
                <w:szCs w:val="18"/>
                <w:color w:val="auto"/>
              </w:rPr>
              <w:t>8,607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8,631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Dial-up Internet Subscribers</w:t>
            </w:r>
          </w:p>
        </w:tc>
        <w:tc>
          <w:tcPr>
            <w:tcW w:w="860" w:type="dxa"/>
            <w:vAlign w:val="bottom"/>
            <w:shd w:val="clear" w:color="auto" w:fill="EAF9E8"/>
          </w:tcPr>
          <w:p>
            <w:pPr>
              <w:jc w:val="right"/>
              <w:ind w:right="154"/>
              <w:spacing w:after="0"/>
              <w:rPr>
                <w:sz w:val="20"/>
                <w:szCs w:val="20"/>
                <w:color w:val="auto"/>
              </w:rPr>
            </w:pPr>
            <w:r>
              <w:rPr>
                <w:rFonts w:ascii="Arial" w:cs="Arial" w:eastAsia="Arial" w:hAnsi="Arial"/>
                <w:sz w:val="18"/>
                <w:szCs w:val="18"/>
                <w:color w:val="auto"/>
              </w:rPr>
              <w:t>12,514</w:t>
            </w:r>
          </w:p>
        </w:tc>
        <w:tc>
          <w:tcPr>
            <w:tcW w:w="980" w:type="dxa"/>
            <w:vAlign w:val="bottom"/>
            <w:shd w:val="clear" w:color="auto" w:fill="EAF9E8"/>
          </w:tcPr>
          <w:p>
            <w:pPr>
              <w:jc w:val="right"/>
              <w:ind w:right="214"/>
              <w:spacing w:after="0"/>
              <w:rPr>
                <w:sz w:val="20"/>
                <w:szCs w:val="20"/>
                <w:color w:val="auto"/>
              </w:rPr>
            </w:pPr>
            <w:r>
              <w:rPr>
                <w:rFonts w:ascii="Arial" w:cs="Arial" w:eastAsia="Arial" w:hAnsi="Arial"/>
                <w:sz w:val="18"/>
                <w:szCs w:val="18"/>
                <w:color w:val="auto"/>
              </w:rPr>
              <w:t>13,273</w:t>
            </w:r>
          </w:p>
        </w:tc>
        <w:tc>
          <w:tcPr>
            <w:tcW w:w="880" w:type="dxa"/>
            <w:vAlign w:val="bottom"/>
            <w:shd w:val="clear" w:color="auto" w:fill="EAF9E8"/>
          </w:tcPr>
          <w:p>
            <w:pPr>
              <w:jc w:val="right"/>
              <w:ind w:right="175"/>
              <w:spacing w:after="0"/>
              <w:rPr>
                <w:sz w:val="20"/>
                <w:szCs w:val="20"/>
                <w:color w:val="auto"/>
              </w:rPr>
            </w:pPr>
            <w:r>
              <w:rPr>
                <w:rFonts w:ascii="Arial" w:cs="Arial" w:eastAsia="Arial" w:hAnsi="Arial"/>
                <w:sz w:val="18"/>
                <w:szCs w:val="18"/>
                <w:color w:val="auto"/>
              </w:rPr>
              <w:t>14,052</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14,829</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94"/>
              <w:spacing w:after="0"/>
              <w:rPr>
                <w:sz w:val="20"/>
                <w:szCs w:val="20"/>
                <w:color w:val="auto"/>
              </w:rPr>
            </w:pPr>
            <w:r>
              <w:rPr>
                <w:rFonts w:ascii="Arial" w:cs="Arial" w:eastAsia="Arial" w:hAnsi="Arial"/>
                <w:sz w:val="18"/>
                <w:szCs w:val="18"/>
                <w:color w:val="auto"/>
              </w:rPr>
              <w:t>15,051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3"/>
          </w:tcPr>
          <w:p>
            <w:pPr>
              <w:spacing w:after="0"/>
              <w:rPr>
                <w:sz w:val="20"/>
                <w:szCs w:val="20"/>
                <w:color w:val="auto"/>
              </w:rPr>
            </w:pPr>
            <w:r>
              <w:rPr>
                <w:rFonts w:ascii="Arial" w:cs="Arial" w:eastAsia="Arial" w:hAnsi="Arial"/>
                <w:sz w:val="18"/>
                <w:szCs w:val="18"/>
                <w:color w:val="auto"/>
              </w:rPr>
              <w:t>DSL Subscribers</w:t>
            </w:r>
          </w:p>
        </w:tc>
        <w:tc>
          <w:tcPr>
            <w:tcW w:w="860" w:type="dxa"/>
            <w:vAlign w:val="bottom"/>
          </w:tcPr>
          <w:p>
            <w:pPr>
              <w:jc w:val="right"/>
              <w:ind w:right="154"/>
              <w:spacing w:after="0"/>
              <w:rPr>
                <w:sz w:val="20"/>
                <w:szCs w:val="20"/>
                <w:color w:val="auto"/>
              </w:rPr>
            </w:pPr>
            <w:r>
              <w:rPr>
                <w:rFonts w:ascii="Arial" w:cs="Arial" w:eastAsia="Arial" w:hAnsi="Arial"/>
                <w:sz w:val="18"/>
                <w:szCs w:val="18"/>
                <w:color w:val="auto"/>
              </w:rPr>
              <w:t>4,748</w:t>
            </w:r>
          </w:p>
        </w:tc>
        <w:tc>
          <w:tcPr>
            <w:tcW w:w="980" w:type="dxa"/>
            <w:vAlign w:val="bottom"/>
          </w:tcPr>
          <w:p>
            <w:pPr>
              <w:jc w:val="right"/>
              <w:ind w:right="214"/>
              <w:spacing w:after="0"/>
              <w:rPr>
                <w:sz w:val="20"/>
                <w:szCs w:val="20"/>
                <w:color w:val="auto"/>
              </w:rPr>
            </w:pPr>
            <w:r>
              <w:rPr>
                <w:rFonts w:ascii="Arial" w:cs="Arial" w:eastAsia="Arial" w:hAnsi="Arial"/>
                <w:sz w:val="18"/>
                <w:szCs w:val="18"/>
                <w:color w:val="auto"/>
              </w:rPr>
              <w:t>4,062</w:t>
            </w:r>
          </w:p>
        </w:tc>
        <w:tc>
          <w:tcPr>
            <w:tcW w:w="880" w:type="dxa"/>
            <w:vAlign w:val="bottom"/>
          </w:tcPr>
          <w:p>
            <w:pPr>
              <w:jc w:val="right"/>
              <w:ind w:right="175"/>
              <w:spacing w:after="0"/>
              <w:rPr>
                <w:sz w:val="20"/>
                <w:szCs w:val="20"/>
                <w:color w:val="auto"/>
              </w:rPr>
            </w:pPr>
            <w:r>
              <w:rPr>
                <w:rFonts w:ascii="Arial" w:cs="Arial" w:eastAsia="Arial" w:hAnsi="Arial"/>
                <w:sz w:val="18"/>
                <w:szCs w:val="18"/>
                <w:color w:val="auto"/>
              </w:rPr>
              <w:t>3,427</w:t>
            </w:r>
          </w:p>
        </w:tc>
        <w:tc>
          <w:tcPr>
            <w:tcW w:w="760" w:type="dxa"/>
            <w:vAlign w:val="bottom"/>
          </w:tcPr>
          <w:p>
            <w:pPr>
              <w:jc w:val="right"/>
              <w:spacing w:after="0"/>
              <w:rPr>
                <w:sz w:val="20"/>
                <w:szCs w:val="20"/>
                <w:color w:val="auto"/>
              </w:rPr>
            </w:pPr>
            <w:r>
              <w:rPr>
                <w:rFonts w:ascii="Arial" w:cs="Arial" w:eastAsia="Arial" w:hAnsi="Arial"/>
                <w:sz w:val="18"/>
                <w:szCs w:val="18"/>
                <w:color w:val="auto"/>
              </w:rPr>
              <w:t>2,923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2,646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Retail PCS Subscribers</w:t>
            </w:r>
          </w:p>
        </w:tc>
        <w:tc>
          <w:tcPr>
            <w:tcW w:w="860" w:type="dxa"/>
            <w:vAlign w:val="bottom"/>
            <w:shd w:val="clear" w:color="auto" w:fill="EAF9E8"/>
          </w:tcPr>
          <w:p>
            <w:pPr>
              <w:jc w:val="right"/>
              <w:ind w:right="154"/>
              <w:spacing w:after="0"/>
              <w:rPr>
                <w:sz w:val="20"/>
                <w:szCs w:val="20"/>
                <w:color w:val="auto"/>
              </w:rPr>
            </w:pPr>
            <w:r>
              <w:rPr>
                <w:rFonts w:ascii="Arial" w:cs="Arial" w:eastAsia="Arial" w:hAnsi="Arial"/>
                <w:sz w:val="18"/>
                <w:szCs w:val="18"/>
                <w:color w:val="auto"/>
                <w:w w:val="92"/>
              </w:rPr>
              <w:t>122,975</w:t>
            </w:r>
          </w:p>
        </w:tc>
        <w:tc>
          <w:tcPr>
            <w:tcW w:w="980" w:type="dxa"/>
            <w:vAlign w:val="bottom"/>
            <w:shd w:val="clear" w:color="auto" w:fill="EAF9E8"/>
          </w:tcPr>
          <w:p>
            <w:pPr>
              <w:jc w:val="right"/>
              <w:ind w:right="214"/>
              <w:spacing w:after="0"/>
              <w:rPr>
                <w:sz w:val="20"/>
                <w:szCs w:val="20"/>
                <w:color w:val="auto"/>
              </w:rPr>
            </w:pPr>
            <w:r>
              <w:rPr>
                <w:rFonts w:ascii="Arial" w:cs="Arial" w:eastAsia="Arial" w:hAnsi="Arial"/>
                <w:sz w:val="18"/>
                <w:szCs w:val="18"/>
                <w:color w:val="auto"/>
              </w:rPr>
              <w:t>116,460</w:t>
            </w:r>
          </w:p>
        </w:tc>
        <w:tc>
          <w:tcPr>
            <w:tcW w:w="880" w:type="dxa"/>
            <w:vAlign w:val="bottom"/>
            <w:shd w:val="clear" w:color="auto" w:fill="EAF9E8"/>
          </w:tcPr>
          <w:p>
            <w:pPr>
              <w:jc w:val="right"/>
              <w:ind w:right="175"/>
              <w:spacing w:after="0"/>
              <w:rPr>
                <w:sz w:val="20"/>
                <w:szCs w:val="20"/>
                <w:color w:val="auto"/>
              </w:rPr>
            </w:pPr>
            <w:r>
              <w:rPr>
                <w:rFonts w:ascii="Arial" w:cs="Arial" w:eastAsia="Arial" w:hAnsi="Arial"/>
                <w:sz w:val="18"/>
                <w:szCs w:val="18"/>
                <w:color w:val="auto"/>
                <w:w w:val="92"/>
              </w:rPr>
              <w:t>112,090</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106,924</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94"/>
              <w:spacing w:after="0"/>
              <w:rPr>
                <w:sz w:val="20"/>
                <w:szCs w:val="20"/>
                <w:color w:val="auto"/>
              </w:rPr>
            </w:pPr>
            <w:r>
              <w:rPr>
                <w:rFonts w:ascii="Arial" w:cs="Arial" w:eastAsia="Arial" w:hAnsi="Arial"/>
                <w:sz w:val="18"/>
                <w:szCs w:val="18"/>
                <w:color w:val="auto"/>
              </w:rPr>
              <w:t>102,613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3"/>
          </w:tcPr>
          <w:p>
            <w:pPr>
              <w:spacing w:after="0"/>
              <w:rPr>
                <w:sz w:val="20"/>
                <w:szCs w:val="20"/>
                <w:color w:val="auto"/>
              </w:rPr>
            </w:pPr>
            <w:r>
              <w:rPr>
                <w:rFonts w:ascii="Arial" w:cs="Arial" w:eastAsia="Arial" w:hAnsi="Arial"/>
                <w:sz w:val="18"/>
                <w:szCs w:val="18"/>
                <w:color w:val="auto"/>
              </w:rPr>
              <w:t>Wholesale PCS Users (1)</w:t>
            </w:r>
          </w:p>
        </w:tc>
        <w:tc>
          <w:tcPr>
            <w:tcW w:w="860" w:type="dxa"/>
            <w:vAlign w:val="bottom"/>
          </w:tcPr>
          <w:p>
            <w:pPr>
              <w:jc w:val="right"/>
              <w:ind w:right="154"/>
              <w:spacing w:after="0"/>
              <w:rPr>
                <w:sz w:val="20"/>
                <w:szCs w:val="20"/>
                <w:color w:val="auto"/>
              </w:rPr>
            </w:pPr>
            <w:r>
              <w:rPr>
                <w:rFonts w:ascii="Arial" w:cs="Arial" w:eastAsia="Arial" w:hAnsi="Arial"/>
                <w:sz w:val="18"/>
                <w:szCs w:val="18"/>
                <w:color w:val="auto"/>
              </w:rPr>
              <w:t>38,726</w:t>
            </w:r>
          </w:p>
        </w:tc>
        <w:tc>
          <w:tcPr>
            <w:tcW w:w="980" w:type="dxa"/>
            <w:vAlign w:val="bottom"/>
          </w:tcPr>
          <w:p>
            <w:pPr>
              <w:jc w:val="right"/>
              <w:ind w:right="214"/>
              <w:spacing w:after="0"/>
              <w:rPr>
                <w:sz w:val="20"/>
                <w:szCs w:val="20"/>
                <w:color w:val="auto"/>
              </w:rPr>
            </w:pPr>
            <w:r>
              <w:rPr>
                <w:rFonts w:ascii="Arial" w:cs="Arial" w:eastAsia="Arial" w:hAnsi="Arial"/>
                <w:sz w:val="18"/>
                <w:szCs w:val="18"/>
                <w:color w:val="auto"/>
              </w:rPr>
              <w:t>33,848</w:t>
            </w:r>
          </w:p>
        </w:tc>
        <w:tc>
          <w:tcPr>
            <w:tcW w:w="880" w:type="dxa"/>
            <w:vAlign w:val="bottom"/>
          </w:tcPr>
          <w:p>
            <w:pPr>
              <w:jc w:val="right"/>
              <w:ind w:right="175"/>
              <w:spacing w:after="0"/>
              <w:rPr>
                <w:sz w:val="20"/>
                <w:szCs w:val="20"/>
                <w:color w:val="auto"/>
              </w:rPr>
            </w:pPr>
            <w:r>
              <w:rPr>
                <w:rFonts w:ascii="Arial" w:cs="Arial" w:eastAsia="Arial" w:hAnsi="Arial"/>
                <w:sz w:val="18"/>
                <w:szCs w:val="18"/>
                <w:color w:val="auto"/>
              </w:rPr>
              <w:t>32,733</w:t>
            </w:r>
          </w:p>
        </w:tc>
        <w:tc>
          <w:tcPr>
            <w:tcW w:w="760" w:type="dxa"/>
            <w:vAlign w:val="bottom"/>
          </w:tcPr>
          <w:p>
            <w:pPr>
              <w:jc w:val="right"/>
              <w:spacing w:after="0"/>
              <w:rPr>
                <w:sz w:val="20"/>
                <w:szCs w:val="20"/>
                <w:color w:val="auto"/>
              </w:rPr>
            </w:pPr>
            <w:r>
              <w:rPr>
                <w:rFonts w:ascii="Arial" w:cs="Arial" w:eastAsia="Arial" w:hAnsi="Arial"/>
                <w:sz w:val="18"/>
                <w:szCs w:val="18"/>
                <w:color w:val="auto"/>
              </w:rPr>
              <w:t>31,504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27,337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Long Distance Subscribers</w:t>
            </w:r>
          </w:p>
        </w:tc>
        <w:tc>
          <w:tcPr>
            <w:tcW w:w="860" w:type="dxa"/>
            <w:vAlign w:val="bottom"/>
            <w:shd w:val="clear" w:color="auto" w:fill="EAF9E8"/>
          </w:tcPr>
          <w:p>
            <w:pPr>
              <w:jc w:val="right"/>
              <w:ind w:right="154"/>
              <w:spacing w:after="0"/>
              <w:rPr>
                <w:sz w:val="20"/>
                <w:szCs w:val="20"/>
                <w:color w:val="auto"/>
              </w:rPr>
            </w:pPr>
            <w:r>
              <w:rPr>
                <w:rFonts w:ascii="Arial" w:cs="Arial" w:eastAsia="Arial" w:hAnsi="Arial"/>
                <w:sz w:val="18"/>
                <w:szCs w:val="18"/>
                <w:color w:val="auto"/>
              </w:rPr>
              <w:t>10,418</w:t>
            </w:r>
          </w:p>
        </w:tc>
        <w:tc>
          <w:tcPr>
            <w:tcW w:w="980" w:type="dxa"/>
            <w:vAlign w:val="bottom"/>
            <w:shd w:val="clear" w:color="auto" w:fill="EAF9E8"/>
          </w:tcPr>
          <w:p>
            <w:pPr>
              <w:jc w:val="right"/>
              <w:ind w:right="214"/>
              <w:spacing w:after="0"/>
              <w:rPr>
                <w:sz w:val="20"/>
                <w:szCs w:val="20"/>
                <w:color w:val="auto"/>
              </w:rPr>
            </w:pPr>
            <w:r>
              <w:rPr>
                <w:rFonts w:ascii="Arial" w:cs="Arial" w:eastAsia="Arial" w:hAnsi="Arial"/>
                <w:sz w:val="18"/>
                <w:szCs w:val="18"/>
                <w:color w:val="auto"/>
              </w:rPr>
              <w:t>10,318</w:t>
            </w:r>
          </w:p>
        </w:tc>
        <w:tc>
          <w:tcPr>
            <w:tcW w:w="880" w:type="dxa"/>
            <w:vAlign w:val="bottom"/>
            <w:shd w:val="clear" w:color="auto" w:fill="EAF9E8"/>
          </w:tcPr>
          <w:p>
            <w:pPr>
              <w:jc w:val="right"/>
              <w:ind w:right="175"/>
              <w:spacing w:after="0"/>
              <w:rPr>
                <w:sz w:val="20"/>
                <w:szCs w:val="20"/>
                <w:color w:val="auto"/>
              </w:rPr>
            </w:pPr>
            <w:r>
              <w:rPr>
                <w:rFonts w:ascii="Arial" w:cs="Arial" w:eastAsia="Arial" w:hAnsi="Arial"/>
                <w:sz w:val="18"/>
                <w:szCs w:val="18"/>
                <w:color w:val="auto"/>
              </w:rPr>
              <w:t>10,258</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10,055</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94"/>
              <w:spacing w:after="0"/>
              <w:rPr>
                <w:sz w:val="20"/>
                <w:szCs w:val="20"/>
                <w:color w:val="auto"/>
              </w:rPr>
            </w:pPr>
            <w:r>
              <w:rPr>
                <w:rFonts w:ascii="Arial" w:cs="Arial" w:eastAsia="Arial" w:hAnsi="Arial"/>
                <w:sz w:val="18"/>
                <w:szCs w:val="18"/>
                <w:color w:val="auto"/>
              </w:rPr>
              <w:t>9,918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3"/>
          </w:tcPr>
          <w:p>
            <w:pPr>
              <w:spacing w:after="0"/>
              <w:rPr>
                <w:sz w:val="20"/>
                <w:szCs w:val="20"/>
                <w:color w:val="auto"/>
              </w:rPr>
            </w:pPr>
            <w:r>
              <w:rPr>
                <w:rFonts w:ascii="Arial" w:cs="Arial" w:eastAsia="Arial" w:hAnsi="Arial"/>
                <w:sz w:val="18"/>
                <w:szCs w:val="18"/>
                <w:color w:val="auto"/>
              </w:rPr>
              <w:t>Fiber Route Miles</w:t>
            </w:r>
          </w:p>
        </w:tc>
        <w:tc>
          <w:tcPr>
            <w:tcW w:w="860" w:type="dxa"/>
            <w:vAlign w:val="bottom"/>
          </w:tcPr>
          <w:p>
            <w:pPr>
              <w:jc w:val="right"/>
              <w:ind w:right="154"/>
              <w:spacing w:after="0"/>
              <w:rPr>
                <w:sz w:val="20"/>
                <w:szCs w:val="20"/>
                <w:color w:val="auto"/>
              </w:rPr>
            </w:pPr>
            <w:r>
              <w:rPr>
                <w:rFonts w:ascii="Arial" w:cs="Arial" w:eastAsia="Arial" w:hAnsi="Arial"/>
                <w:sz w:val="18"/>
                <w:szCs w:val="18"/>
                <w:color w:val="auto"/>
              </w:rPr>
              <w:t>616</w:t>
            </w:r>
          </w:p>
        </w:tc>
        <w:tc>
          <w:tcPr>
            <w:tcW w:w="980" w:type="dxa"/>
            <w:vAlign w:val="bottom"/>
          </w:tcPr>
          <w:p>
            <w:pPr>
              <w:jc w:val="right"/>
              <w:ind w:right="214"/>
              <w:spacing w:after="0"/>
              <w:rPr>
                <w:sz w:val="20"/>
                <w:szCs w:val="20"/>
                <w:color w:val="auto"/>
              </w:rPr>
            </w:pPr>
            <w:r>
              <w:rPr>
                <w:rFonts w:ascii="Arial" w:cs="Arial" w:eastAsia="Arial" w:hAnsi="Arial"/>
                <w:sz w:val="18"/>
                <w:szCs w:val="18"/>
                <w:color w:val="auto"/>
              </w:rPr>
              <w:t>579</w:t>
            </w:r>
          </w:p>
        </w:tc>
        <w:tc>
          <w:tcPr>
            <w:tcW w:w="880" w:type="dxa"/>
            <w:vAlign w:val="bottom"/>
          </w:tcPr>
          <w:p>
            <w:pPr>
              <w:jc w:val="right"/>
              <w:ind w:right="175"/>
              <w:spacing w:after="0"/>
              <w:rPr>
                <w:sz w:val="20"/>
                <w:szCs w:val="20"/>
                <w:color w:val="auto"/>
              </w:rPr>
            </w:pPr>
            <w:r>
              <w:rPr>
                <w:rFonts w:ascii="Arial" w:cs="Arial" w:eastAsia="Arial" w:hAnsi="Arial"/>
                <w:sz w:val="18"/>
                <w:szCs w:val="18"/>
                <w:color w:val="auto"/>
              </w:rPr>
              <w:t>576</w:t>
            </w:r>
          </w:p>
        </w:tc>
        <w:tc>
          <w:tcPr>
            <w:tcW w:w="760" w:type="dxa"/>
            <w:vAlign w:val="bottom"/>
          </w:tcPr>
          <w:p>
            <w:pPr>
              <w:jc w:val="right"/>
              <w:spacing w:after="0"/>
              <w:rPr>
                <w:sz w:val="20"/>
                <w:szCs w:val="20"/>
                <w:color w:val="auto"/>
              </w:rPr>
            </w:pPr>
            <w:r>
              <w:rPr>
                <w:rFonts w:ascii="Arial" w:cs="Arial" w:eastAsia="Arial" w:hAnsi="Arial"/>
                <w:sz w:val="18"/>
                <w:szCs w:val="18"/>
                <w:color w:val="auto"/>
              </w:rPr>
              <w:t>574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557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Total Fiber Miles</w:t>
            </w:r>
          </w:p>
        </w:tc>
        <w:tc>
          <w:tcPr>
            <w:tcW w:w="860" w:type="dxa"/>
            <w:vAlign w:val="bottom"/>
            <w:shd w:val="clear" w:color="auto" w:fill="EAF9E8"/>
          </w:tcPr>
          <w:p>
            <w:pPr>
              <w:jc w:val="right"/>
              <w:ind w:right="154"/>
              <w:spacing w:after="0"/>
              <w:rPr>
                <w:sz w:val="20"/>
                <w:szCs w:val="20"/>
                <w:color w:val="auto"/>
              </w:rPr>
            </w:pPr>
            <w:r>
              <w:rPr>
                <w:rFonts w:ascii="Arial" w:cs="Arial" w:eastAsia="Arial" w:hAnsi="Arial"/>
                <w:sz w:val="18"/>
                <w:szCs w:val="18"/>
                <w:color w:val="auto"/>
              </w:rPr>
              <w:t>33,201</w:t>
            </w:r>
          </w:p>
        </w:tc>
        <w:tc>
          <w:tcPr>
            <w:tcW w:w="980" w:type="dxa"/>
            <w:vAlign w:val="bottom"/>
            <w:shd w:val="clear" w:color="auto" w:fill="EAF9E8"/>
          </w:tcPr>
          <w:p>
            <w:pPr>
              <w:jc w:val="right"/>
              <w:ind w:right="214"/>
              <w:spacing w:after="0"/>
              <w:rPr>
                <w:sz w:val="20"/>
                <w:szCs w:val="20"/>
                <w:color w:val="auto"/>
              </w:rPr>
            </w:pPr>
            <w:r>
              <w:rPr>
                <w:rFonts w:ascii="Arial" w:cs="Arial" w:eastAsia="Arial" w:hAnsi="Arial"/>
                <w:sz w:val="18"/>
                <w:szCs w:val="18"/>
                <w:color w:val="auto"/>
              </w:rPr>
              <w:t>29,734</w:t>
            </w:r>
          </w:p>
        </w:tc>
        <w:tc>
          <w:tcPr>
            <w:tcW w:w="880" w:type="dxa"/>
            <w:vAlign w:val="bottom"/>
            <w:shd w:val="clear" w:color="auto" w:fill="EAF9E8"/>
          </w:tcPr>
          <w:p>
            <w:pPr>
              <w:jc w:val="right"/>
              <w:ind w:right="175"/>
              <w:spacing w:after="0"/>
              <w:rPr>
                <w:sz w:val="20"/>
                <w:szCs w:val="20"/>
                <w:color w:val="auto"/>
              </w:rPr>
            </w:pPr>
            <w:r>
              <w:rPr>
                <w:rFonts w:ascii="Arial" w:cs="Arial" w:eastAsia="Arial" w:hAnsi="Arial"/>
                <w:sz w:val="18"/>
                <w:szCs w:val="18"/>
                <w:color w:val="auto"/>
              </w:rPr>
              <w:t>29,566</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29,462</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94"/>
              <w:spacing w:after="0"/>
              <w:rPr>
                <w:sz w:val="20"/>
                <w:szCs w:val="20"/>
                <w:color w:val="auto"/>
              </w:rPr>
            </w:pPr>
            <w:r>
              <w:rPr>
                <w:rFonts w:ascii="Arial" w:cs="Arial" w:eastAsia="Arial" w:hAnsi="Arial"/>
                <w:sz w:val="18"/>
                <w:szCs w:val="18"/>
                <w:color w:val="auto"/>
              </w:rPr>
              <w:t>28,830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3"/>
          </w:tcPr>
          <w:p>
            <w:pPr>
              <w:spacing w:after="0"/>
              <w:rPr>
                <w:sz w:val="20"/>
                <w:szCs w:val="20"/>
                <w:color w:val="auto"/>
              </w:rPr>
            </w:pPr>
            <w:r>
              <w:rPr>
                <w:rFonts w:ascii="Arial" w:cs="Arial" w:eastAsia="Arial" w:hAnsi="Arial"/>
                <w:sz w:val="18"/>
                <w:szCs w:val="18"/>
                <w:color w:val="auto"/>
              </w:rPr>
              <w:t>Long Distance Calls (000) (2)</w:t>
            </w:r>
          </w:p>
        </w:tc>
        <w:tc>
          <w:tcPr>
            <w:tcW w:w="860" w:type="dxa"/>
            <w:vAlign w:val="bottom"/>
          </w:tcPr>
          <w:p>
            <w:pPr>
              <w:jc w:val="right"/>
              <w:ind w:right="154"/>
              <w:spacing w:after="0"/>
              <w:rPr>
                <w:sz w:val="20"/>
                <w:szCs w:val="20"/>
                <w:color w:val="auto"/>
              </w:rPr>
            </w:pPr>
            <w:r>
              <w:rPr>
                <w:rFonts w:ascii="Arial" w:cs="Arial" w:eastAsia="Arial" w:hAnsi="Arial"/>
                <w:sz w:val="18"/>
                <w:szCs w:val="18"/>
                <w:color w:val="auto"/>
              </w:rPr>
              <w:t>6,686</w:t>
            </w:r>
          </w:p>
        </w:tc>
        <w:tc>
          <w:tcPr>
            <w:tcW w:w="980" w:type="dxa"/>
            <w:vAlign w:val="bottom"/>
          </w:tcPr>
          <w:p>
            <w:pPr>
              <w:jc w:val="right"/>
              <w:ind w:right="214"/>
              <w:spacing w:after="0"/>
              <w:rPr>
                <w:sz w:val="20"/>
                <w:szCs w:val="20"/>
                <w:color w:val="auto"/>
              </w:rPr>
            </w:pPr>
            <w:r>
              <w:rPr>
                <w:rFonts w:ascii="Arial" w:cs="Arial" w:eastAsia="Arial" w:hAnsi="Arial"/>
                <w:sz w:val="18"/>
                <w:szCs w:val="18"/>
                <w:color w:val="auto"/>
              </w:rPr>
              <w:t>6,808</w:t>
            </w:r>
          </w:p>
        </w:tc>
        <w:tc>
          <w:tcPr>
            <w:tcW w:w="880" w:type="dxa"/>
            <w:vAlign w:val="bottom"/>
          </w:tcPr>
          <w:p>
            <w:pPr>
              <w:jc w:val="right"/>
              <w:ind w:right="175"/>
              <w:spacing w:after="0"/>
              <w:rPr>
                <w:sz w:val="20"/>
                <w:szCs w:val="20"/>
                <w:color w:val="auto"/>
              </w:rPr>
            </w:pPr>
            <w:r>
              <w:rPr>
                <w:rFonts w:ascii="Arial" w:cs="Arial" w:eastAsia="Arial" w:hAnsi="Arial"/>
                <w:sz w:val="18"/>
                <w:szCs w:val="18"/>
                <w:color w:val="auto"/>
              </w:rPr>
              <w:t>6,808</w:t>
            </w:r>
          </w:p>
        </w:tc>
        <w:tc>
          <w:tcPr>
            <w:tcW w:w="760" w:type="dxa"/>
            <w:vAlign w:val="bottom"/>
          </w:tcPr>
          <w:p>
            <w:pPr>
              <w:jc w:val="right"/>
              <w:spacing w:after="0"/>
              <w:rPr>
                <w:sz w:val="20"/>
                <w:szCs w:val="20"/>
                <w:color w:val="auto"/>
              </w:rPr>
            </w:pPr>
            <w:r>
              <w:rPr>
                <w:rFonts w:ascii="Arial" w:cs="Arial" w:eastAsia="Arial" w:hAnsi="Arial"/>
                <w:sz w:val="18"/>
                <w:szCs w:val="18"/>
                <w:color w:val="auto"/>
              </w:rPr>
              <w:t>6,326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6,265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Total Switched Access Minutes (000)</w:t>
            </w:r>
          </w:p>
        </w:tc>
        <w:tc>
          <w:tcPr>
            <w:tcW w:w="860" w:type="dxa"/>
            <w:vAlign w:val="bottom"/>
            <w:shd w:val="clear" w:color="auto" w:fill="EAF9E8"/>
          </w:tcPr>
          <w:p>
            <w:pPr>
              <w:jc w:val="right"/>
              <w:ind w:right="154"/>
              <w:spacing w:after="0"/>
              <w:rPr>
                <w:sz w:val="20"/>
                <w:szCs w:val="20"/>
                <w:color w:val="auto"/>
              </w:rPr>
            </w:pPr>
            <w:r>
              <w:rPr>
                <w:rFonts w:ascii="Arial" w:cs="Arial" w:eastAsia="Arial" w:hAnsi="Arial"/>
                <w:sz w:val="18"/>
                <w:szCs w:val="18"/>
                <w:color w:val="auto"/>
              </w:rPr>
              <w:t>75,209</w:t>
            </w:r>
          </w:p>
        </w:tc>
        <w:tc>
          <w:tcPr>
            <w:tcW w:w="980" w:type="dxa"/>
            <w:vAlign w:val="bottom"/>
            <w:shd w:val="clear" w:color="auto" w:fill="EAF9E8"/>
          </w:tcPr>
          <w:p>
            <w:pPr>
              <w:jc w:val="right"/>
              <w:ind w:right="214"/>
              <w:spacing w:after="0"/>
              <w:rPr>
                <w:sz w:val="20"/>
                <w:szCs w:val="20"/>
                <w:color w:val="auto"/>
              </w:rPr>
            </w:pPr>
            <w:r>
              <w:rPr>
                <w:rFonts w:ascii="Arial" w:cs="Arial" w:eastAsia="Arial" w:hAnsi="Arial"/>
                <w:sz w:val="18"/>
                <w:szCs w:val="18"/>
                <w:color w:val="auto"/>
              </w:rPr>
              <w:t>74,515</w:t>
            </w:r>
          </w:p>
        </w:tc>
        <w:tc>
          <w:tcPr>
            <w:tcW w:w="880" w:type="dxa"/>
            <w:vAlign w:val="bottom"/>
            <w:shd w:val="clear" w:color="auto" w:fill="EAF9E8"/>
          </w:tcPr>
          <w:p>
            <w:pPr>
              <w:jc w:val="right"/>
              <w:ind w:right="175"/>
              <w:spacing w:after="0"/>
              <w:rPr>
                <w:sz w:val="20"/>
                <w:szCs w:val="20"/>
                <w:color w:val="auto"/>
              </w:rPr>
            </w:pPr>
            <w:r>
              <w:rPr>
                <w:rFonts w:ascii="Arial" w:cs="Arial" w:eastAsia="Arial" w:hAnsi="Arial"/>
                <w:sz w:val="18"/>
                <w:szCs w:val="18"/>
                <w:color w:val="auto"/>
              </w:rPr>
              <w:t>70,419</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67,824</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94"/>
              <w:spacing w:after="0"/>
              <w:rPr>
                <w:sz w:val="20"/>
                <w:szCs w:val="20"/>
                <w:color w:val="auto"/>
              </w:rPr>
            </w:pPr>
            <w:r>
              <w:rPr>
                <w:rFonts w:ascii="Arial" w:cs="Arial" w:eastAsia="Arial" w:hAnsi="Arial"/>
                <w:sz w:val="18"/>
                <w:szCs w:val="18"/>
                <w:color w:val="auto"/>
              </w:rPr>
              <w:t>66,449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3"/>
          </w:tcPr>
          <w:p>
            <w:pPr>
              <w:spacing w:after="0"/>
              <w:rPr>
                <w:sz w:val="20"/>
                <w:szCs w:val="20"/>
                <w:color w:val="auto"/>
              </w:rPr>
            </w:pPr>
            <w:r>
              <w:rPr>
                <w:rFonts w:ascii="Arial" w:cs="Arial" w:eastAsia="Arial" w:hAnsi="Arial"/>
                <w:sz w:val="18"/>
                <w:szCs w:val="18"/>
                <w:color w:val="auto"/>
              </w:rPr>
              <w:t>Originating Switched Access Minutes (000)</w:t>
            </w:r>
          </w:p>
        </w:tc>
        <w:tc>
          <w:tcPr>
            <w:tcW w:w="860" w:type="dxa"/>
            <w:vAlign w:val="bottom"/>
          </w:tcPr>
          <w:p>
            <w:pPr>
              <w:jc w:val="right"/>
              <w:ind w:right="154"/>
              <w:spacing w:after="0"/>
              <w:rPr>
                <w:sz w:val="20"/>
                <w:szCs w:val="20"/>
                <w:color w:val="auto"/>
              </w:rPr>
            </w:pPr>
            <w:r>
              <w:rPr>
                <w:rFonts w:ascii="Arial" w:cs="Arial" w:eastAsia="Arial" w:hAnsi="Arial"/>
                <w:sz w:val="18"/>
                <w:szCs w:val="18"/>
                <w:color w:val="auto"/>
              </w:rPr>
              <w:t>21,807</w:t>
            </w:r>
          </w:p>
        </w:tc>
        <w:tc>
          <w:tcPr>
            <w:tcW w:w="980" w:type="dxa"/>
            <w:vAlign w:val="bottom"/>
          </w:tcPr>
          <w:p>
            <w:pPr>
              <w:jc w:val="right"/>
              <w:ind w:right="214"/>
              <w:spacing w:after="0"/>
              <w:rPr>
                <w:sz w:val="20"/>
                <w:szCs w:val="20"/>
                <w:color w:val="auto"/>
              </w:rPr>
            </w:pPr>
            <w:r>
              <w:rPr>
                <w:rFonts w:ascii="Arial" w:cs="Arial" w:eastAsia="Arial" w:hAnsi="Arial"/>
                <w:sz w:val="18"/>
                <w:szCs w:val="18"/>
                <w:color w:val="auto"/>
              </w:rPr>
              <w:t>20,627</w:t>
            </w:r>
          </w:p>
        </w:tc>
        <w:tc>
          <w:tcPr>
            <w:tcW w:w="880" w:type="dxa"/>
            <w:vAlign w:val="bottom"/>
          </w:tcPr>
          <w:p>
            <w:pPr>
              <w:jc w:val="right"/>
              <w:ind w:right="175"/>
              <w:spacing w:after="0"/>
              <w:rPr>
                <w:sz w:val="20"/>
                <w:szCs w:val="20"/>
                <w:color w:val="auto"/>
              </w:rPr>
            </w:pPr>
            <w:r>
              <w:rPr>
                <w:rFonts w:ascii="Arial" w:cs="Arial" w:eastAsia="Arial" w:hAnsi="Arial"/>
                <w:sz w:val="18"/>
                <w:szCs w:val="18"/>
                <w:color w:val="auto"/>
              </w:rPr>
              <w:t>19,570</w:t>
            </w:r>
          </w:p>
        </w:tc>
        <w:tc>
          <w:tcPr>
            <w:tcW w:w="760" w:type="dxa"/>
            <w:vAlign w:val="bottom"/>
          </w:tcPr>
          <w:p>
            <w:pPr>
              <w:jc w:val="right"/>
              <w:spacing w:after="0"/>
              <w:rPr>
                <w:sz w:val="20"/>
                <w:szCs w:val="20"/>
                <w:color w:val="auto"/>
              </w:rPr>
            </w:pPr>
            <w:r>
              <w:rPr>
                <w:rFonts w:ascii="Arial" w:cs="Arial" w:eastAsia="Arial" w:hAnsi="Arial"/>
                <w:sz w:val="18"/>
                <w:szCs w:val="18"/>
                <w:color w:val="auto"/>
              </w:rPr>
              <w:t>19,376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18,870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Employees (full time equivalents) (3)</w:t>
            </w:r>
          </w:p>
        </w:tc>
        <w:tc>
          <w:tcPr>
            <w:tcW w:w="860" w:type="dxa"/>
            <w:vAlign w:val="bottom"/>
            <w:shd w:val="clear" w:color="auto" w:fill="EAF9E8"/>
          </w:tcPr>
          <w:p>
            <w:pPr>
              <w:jc w:val="right"/>
              <w:ind w:right="154"/>
              <w:spacing w:after="0"/>
              <w:rPr>
                <w:sz w:val="20"/>
                <w:szCs w:val="20"/>
                <w:color w:val="auto"/>
              </w:rPr>
            </w:pPr>
            <w:r>
              <w:rPr>
                <w:rFonts w:ascii="Arial" w:cs="Arial" w:eastAsia="Arial" w:hAnsi="Arial"/>
                <w:sz w:val="18"/>
                <w:szCs w:val="18"/>
                <w:color w:val="auto"/>
              </w:rPr>
              <w:t>387</w:t>
            </w:r>
          </w:p>
        </w:tc>
        <w:tc>
          <w:tcPr>
            <w:tcW w:w="980" w:type="dxa"/>
            <w:vAlign w:val="bottom"/>
            <w:shd w:val="clear" w:color="auto" w:fill="EAF9E8"/>
          </w:tcPr>
          <w:p>
            <w:pPr>
              <w:jc w:val="right"/>
              <w:ind w:right="214"/>
              <w:spacing w:after="0"/>
              <w:rPr>
                <w:sz w:val="20"/>
                <w:szCs w:val="20"/>
                <w:color w:val="auto"/>
              </w:rPr>
            </w:pPr>
            <w:r>
              <w:rPr>
                <w:rFonts w:ascii="Arial" w:cs="Arial" w:eastAsia="Arial" w:hAnsi="Arial"/>
                <w:sz w:val="18"/>
                <w:szCs w:val="18"/>
                <w:color w:val="auto"/>
              </w:rPr>
              <w:t>375</w:t>
            </w:r>
          </w:p>
        </w:tc>
        <w:tc>
          <w:tcPr>
            <w:tcW w:w="880" w:type="dxa"/>
            <w:vAlign w:val="bottom"/>
            <w:shd w:val="clear" w:color="auto" w:fill="EAF9E8"/>
          </w:tcPr>
          <w:p>
            <w:pPr>
              <w:jc w:val="right"/>
              <w:ind w:right="175"/>
              <w:spacing w:after="0"/>
              <w:rPr>
                <w:sz w:val="20"/>
                <w:szCs w:val="20"/>
                <w:color w:val="auto"/>
              </w:rPr>
            </w:pPr>
            <w:r>
              <w:rPr>
                <w:rFonts w:ascii="Arial" w:cs="Arial" w:eastAsia="Arial" w:hAnsi="Arial"/>
                <w:sz w:val="18"/>
                <w:szCs w:val="18"/>
                <w:color w:val="auto"/>
              </w:rPr>
              <w:t>408</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358</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94"/>
              <w:spacing w:after="0"/>
              <w:rPr>
                <w:sz w:val="20"/>
                <w:szCs w:val="20"/>
                <w:color w:val="auto"/>
              </w:rPr>
            </w:pPr>
            <w:r>
              <w:rPr>
                <w:rFonts w:ascii="Arial" w:cs="Arial" w:eastAsia="Arial" w:hAnsi="Arial"/>
                <w:sz w:val="18"/>
                <w:szCs w:val="18"/>
                <w:color w:val="auto"/>
              </w:rPr>
              <w:t>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3"/>
          </w:tcPr>
          <w:p>
            <w:pPr>
              <w:spacing w:after="0"/>
              <w:rPr>
                <w:sz w:val="20"/>
                <w:szCs w:val="20"/>
                <w:color w:val="auto"/>
              </w:rPr>
            </w:pPr>
            <w:r>
              <w:rPr>
                <w:rFonts w:ascii="Arial" w:cs="Arial" w:eastAsia="Arial" w:hAnsi="Arial"/>
                <w:sz w:val="18"/>
                <w:szCs w:val="18"/>
                <w:color w:val="auto"/>
              </w:rPr>
              <w:t>CDMA Base Stations (sites)</w:t>
            </w:r>
          </w:p>
        </w:tc>
        <w:tc>
          <w:tcPr>
            <w:tcW w:w="860" w:type="dxa"/>
            <w:vAlign w:val="bottom"/>
          </w:tcPr>
          <w:p>
            <w:pPr>
              <w:jc w:val="right"/>
              <w:ind w:right="154"/>
              <w:spacing w:after="0"/>
              <w:rPr>
                <w:sz w:val="20"/>
                <w:szCs w:val="20"/>
                <w:color w:val="auto"/>
              </w:rPr>
            </w:pPr>
            <w:r>
              <w:rPr>
                <w:rFonts w:ascii="Arial" w:cs="Arial" w:eastAsia="Arial" w:hAnsi="Arial"/>
                <w:sz w:val="18"/>
                <w:szCs w:val="18"/>
                <w:color w:val="auto"/>
              </w:rPr>
              <w:t>311</w:t>
            </w:r>
          </w:p>
        </w:tc>
        <w:tc>
          <w:tcPr>
            <w:tcW w:w="980" w:type="dxa"/>
            <w:vAlign w:val="bottom"/>
          </w:tcPr>
          <w:p>
            <w:pPr>
              <w:jc w:val="right"/>
              <w:ind w:right="214"/>
              <w:spacing w:after="0"/>
              <w:rPr>
                <w:sz w:val="20"/>
                <w:szCs w:val="20"/>
                <w:color w:val="auto"/>
              </w:rPr>
            </w:pPr>
            <w:r>
              <w:rPr>
                <w:rFonts w:ascii="Arial" w:cs="Arial" w:eastAsia="Arial" w:hAnsi="Arial"/>
                <w:sz w:val="18"/>
                <w:szCs w:val="18"/>
                <w:color w:val="auto"/>
              </w:rPr>
              <w:t>301</w:t>
            </w:r>
          </w:p>
        </w:tc>
        <w:tc>
          <w:tcPr>
            <w:tcW w:w="880" w:type="dxa"/>
            <w:vAlign w:val="bottom"/>
          </w:tcPr>
          <w:p>
            <w:pPr>
              <w:jc w:val="right"/>
              <w:ind w:right="175"/>
              <w:spacing w:after="0"/>
              <w:rPr>
                <w:sz w:val="20"/>
                <w:szCs w:val="20"/>
                <w:color w:val="auto"/>
              </w:rPr>
            </w:pPr>
            <w:r>
              <w:rPr>
                <w:rFonts w:ascii="Arial" w:cs="Arial" w:eastAsia="Arial" w:hAnsi="Arial"/>
                <w:sz w:val="18"/>
                <w:szCs w:val="18"/>
                <w:color w:val="auto"/>
              </w:rPr>
              <w:t>288</w:t>
            </w:r>
          </w:p>
        </w:tc>
        <w:tc>
          <w:tcPr>
            <w:tcW w:w="760" w:type="dxa"/>
            <w:vAlign w:val="bottom"/>
          </w:tcPr>
          <w:p>
            <w:pPr>
              <w:jc w:val="right"/>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Towers (100 foot and over)</w:t>
            </w:r>
          </w:p>
        </w:tc>
        <w:tc>
          <w:tcPr>
            <w:tcW w:w="860" w:type="dxa"/>
            <w:vAlign w:val="bottom"/>
            <w:shd w:val="clear" w:color="auto" w:fill="EAF9E8"/>
          </w:tcPr>
          <w:p>
            <w:pPr>
              <w:jc w:val="right"/>
              <w:ind w:right="154"/>
              <w:spacing w:after="0"/>
              <w:rPr>
                <w:sz w:val="20"/>
                <w:szCs w:val="20"/>
                <w:color w:val="auto"/>
              </w:rPr>
            </w:pPr>
            <w:r>
              <w:rPr>
                <w:rFonts w:ascii="Arial" w:cs="Arial" w:eastAsia="Arial" w:hAnsi="Arial"/>
                <w:sz w:val="18"/>
                <w:szCs w:val="18"/>
                <w:color w:val="auto"/>
              </w:rPr>
              <w:t>85</w:t>
            </w:r>
          </w:p>
        </w:tc>
        <w:tc>
          <w:tcPr>
            <w:tcW w:w="980" w:type="dxa"/>
            <w:vAlign w:val="bottom"/>
            <w:shd w:val="clear" w:color="auto" w:fill="EAF9E8"/>
          </w:tcPr>
          <w:p>
            <w:pPr>
              <w:jc w:val="right"/>
              <w:ind w:right="214"/>
              <w:spacing w:after="0"/>
              <w:rPr>
                <w:sz w:val="20"/>
                <w:szCs w:val="20"/>
                <w:color w:val="auto"/>
              </w:rPr>
            </w:pPr>
            <w:r>
              <w:rPr>
                <w:rFonts w:ascii="Arial" w:cs="Arial" w:eastAsia="Arial" w:hAnsi="Arial"/>
                <w:sz w:val="18"/>
                <w:szCs w:val="18"/>
                <w:color w:val="auto"/>
              </w:rPr>
              <w:t>82</w:t>
            </w:r>
          </w:p>
        </w:tc>
        <w:tc>
          <w:tcPr>
            <w:tcW w:w="880" w:type="dxa"/>
            <w:vAlign w:val="bottom"/>
            <w:shd w:val="clear" w:color="auto" w:fill="EAF9E8"/>
          </w:tcPr>
          <w:p>
            <w:pPr>
              <w:jc w:val="right"/>
              <w:ind w:right="175"/>
              <w:spacing w:after="0"/>
              <w:rPr>
                <w:sz w:val="20"/>
                <w:szCs w:val="20"/>
                <w:color w:val="auto"/>
              </w:rPr>
            </w:pPr>
            <w:r>
              <w:rPr>
                <w:rFonts w:ascii="Arial" w:cs="Arial" w:eastAsia="Arial" w:hAnsi="Arial"/>
                <w:sz w:val="18"/>
                <w:szCs w:val="18"/>
                <w:color w:val="auto"/>
              </w:rPr>
              <w:t>81</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81</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94"/>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3"/>
          </w:tcPr>
          <w:p>
            <w:pPr>
              <w:spacing w:after="0"/>
              <w:rPr>
                <w:sz w:val="20"/>
                <w:szCs w:val="20"/>
                <w:color w:val="auto"/>
              </w:rPr>
            </w:pPr>
            <w:r>
              <w:rPr>
                <w:rFonts w:ascii="Arial" w:cs="Arial" w:eastAsia="Arial" w:hAnsi="Arial"/>
                <w:sz w:val="18"/>
                <w:szCs w:val="18"/>
                <w:color w:val="auto"/>
              </w:rPr>
              <w:t>Towers (under 100 foot)</w:t>
            </w:r>
          </w:p>
        </w:tc>
        <w:tc>
          <w:tcPr>
            <w:tcW w:w="860" w:type="dxa"/>
            <w:vAlign w:val="bottom"/>
          </w:tcPr>
          <w:p>
            <w:pPr>
              <w:jc w:val="right"/>
              <w:ind w:right="154"/>
              <w:spacing w:after="0"/>
              <w:rPr>
                <w:sz w:val="20"/>
                <w:szCs w:val="20"/>
                <w:color w:val="auto"/>
              </w:rPr>
            </w:pPr>
            <w:r>
              <w:rPr>
                <w:rFonts w:ascii="Arial" w:cs="Arial" w:eastAsia="Arial" w:hAnsi="Arial"/>
                <w:sz w:val="18"/>
                <w:szCs w:val="18"/>
                <w:color w:val="auto"/>
              </w:rPr>
              <w:t>13</w:t>
            </w:r>
          </w:p>
        </w:tc>
        <w:tc>
          <w:tcPr>
            <w:tcW w:w="980" w:type="dxa"/>
            <w:vAlign w:val="bottom"/>
          </w:tcPr>
          <w:p>
            <w:pPr>
              <w:jc w:val="right"/>
              <w:ind w:right="214"/>
              <w:spacing w:after="0"/>
              <w:rPr>
                <w:sz w:val="20"/>
                <w:szCs w:val="20"/>
                <w:color w:val="auto"/>
              </w:rPr>
            </w:pPr>
            <w:r>
              <w:rPr>
                <w:rFonts w:ascii="Arial" w:cs="Arial" w:eastAsia="Arial" w:hAnsi="Arial"/>
                <w:sz w:val="18"/>
                <w:szCs w:val="18"/>
                <w:color w:val="auto"/>
              </w:rPr>
              <w:t>13</w:t>
            </w:r>
          </w:p>
        </w:tc>
        <w:tc>
          <w:tcPr>
            <w:tcW w:w="880" w:type="dxa"/>
            <w:vAlign w:val="bottom"/>
          </w:tcPr>
          <w:p>
            <w:pPr>
              <w:jc w:val="right"/>
              <w:ind w:right="175"/>
              <w:spacing w:after="0"/>
              <w:rPr>
                <w:sz w:val="20"/>
                <w:szCs w:val="20"/>
                <w:color w:val="auto"/>
              </w:rPr>
            </w:pPr>
            <w:r>
              <w:rPr>
                <w:rFonts w:ascii="Arial" w:cs="Arial" w:eastAsia="Arial" w:hAnsi="Arial"/>
                <w:sz w:val="18"/>
                <w:szCs w:val="18"/>
                <w:color w:val="auto"/>
              </w:rPr>
              <w:t>11</w:t>
            </w: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PCS Market POPS (000) (4)</w:t>
            </w:r>
          </w:p>
        </w:tc>
        <w:tc>
          <w:tcPr>
            <w:tcW w:w="860" w:type="dxa"/>
            <w:vAlign w:val="bottom"/>
            <w:shd w:val="clear" w:color="auto" w:fill="EAF9E8"/>
          </w:tcPr>
          <w:p>
            <w:pPr>
              <w:jc w:val="right"/>
              <w:ind w:right="154"/>
              <w:spacing w:after="0"/>
              <w:rPr>
                <w:sz w:val="20"/>
                <w:szCs w:val="20"/>
                <w:color w:val="auto"/>
              </w:rPr>
            </w:pPr>
            <w:r>
              <w:rPr>
                <w:rFonts w:ascii="Arial" w:cs="Arial" w:eastAsia="Arial" w:hAnsi="Arial"/>
                <w:sz w:val="18"/>
                <w:szCs w:val="18"/>
                <w:color w:val="auto"/>
              </w:rPr>
              <w:t>2,236</w:t>
            </w:r>
          </w:p>
        </w:tc>
        <w:tc>
          <w:tcPr>
            <w:tcW w:w="980" w:type="dxa"/>
            <w:vAlign w:val="bottom"/>
            <w:shd w:val="clear" w:color="auto" w:fill="EAF9E8"/>
          </w:tcPr>
          <w:p>
            <w:pPr>
              <w:jc w:val="right"/>
              <w:ind w:right="214"/>
              <w:spacing w:after="0"/>
              <w:rPr>
                <w:sz w:val="20"/>
                <w:szCs w:val="20"/>
                <w:color w:val="auto"/>
              </w:rPr>
            </w:pPr>
            <w:r>
              <w:rPr>
                <w:rFonts w:ascii="Arial" w:cs="Arial" w:eastAsia="Arial" w:hAnsi="Arial"/>
                <w:sz w:val="18"/>
                <w:szCs w:val="18"/>
                <w:color w:val="auto"/>
              </w:rPr>
              <w:t>2,199</w:t>
            </w:r>
          </w:p>
        </w:tc>
        <w:tc>
          <w:tcPr>
            <w:tcW w:w="880" w:type="dxa"/>
            <w:vAlign w:val="bottom"/>
            <w:shd w:val="clear" w:color="auto" w:fill="EAF9E8"/>
          </w:tcPr>
          <w:p>
            <w:pPr>
              <w:jc w:val="right"/>
              <w:ind w:right="175"/>
              <w:spacing w:after="0"/>
              <w:rPr>
                <w:sz w:val="20"/>
                <w:szCs w:val="20"/>
                <w:color w:val="auto"/>
              </w:rPr>
            </w:pPr>
            <w:r>
              <w:rPr>
                <w:rFonts w:ascii="Arial" w:cs="Arial" w:eastAsia="Arial" w:hAnsi="Arial"/>
                <w:sz w:val="18"/>
                <w:szCs w:val="18"/>
                <w:color w:val="auto"/>
              </w:rPr>
              <w:t>2,199</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2,199</w:t>
            </w: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94"/>
              <w:spacing w:after="0"/>
              <w:rPr>
                <w:sz w:val="20"/>
                <w:szCs w:val="20"/>
                <w:color w:val="auto"/>
              </w:rPr>
            </w:pPr>
            <w:r>
              <w:rPr>
                <w:rFonts w:ascii="Arial" w:cs="Arial" w:eastAsia="Arial" w:hAnsi="Arial"/>
                <w:sz w:val="18"/>
                <w:szCs w:val="18"/>
                <w:color w:val="auto"/>
              </w:rPr>
              <w:t>2,199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3"/>
          </w:tcPr>
          <w:p>
            <w:pPr>
              <w:spacing w:after="0"/>
              <w:rPr>
                <w:sz w:val="20"/>
                <w:szCs w:val="20"/>
                <w:color w:val="auto"/>
              </w:rPr>
            </w:pPr>
            <w:r>
              <w:rPr>
                <w:rFonts w:ascii="Arial" w:cs="Arial" w:eastAsia="Arial" w:hAnsi="Arial"/>
                <w:sz w:val="18"/>
                <w:szCs w:val="18"/>
                <w:color w:val="auto"/>
              </w:rPr>
              <w:t>PCS Covered POPS (000) (4)</w:t>
            </w:r>
          </w:p>
        </w:tc>
        <w:tc>
          <w:tcPr>
            <w:tcW w:w="860" w:type="dxa"/>
            <w:vAlign w:val="bottom"/>
          </w:tcPr>
          <w:p>
            <w:pPr>
              <w:jc w:val="right"/>
              <w:ind w:right="154"/>
              <w:spacing w:after="0"/>
              <w:rPr>
                <w:sz w:val="20"/>
                <w:szCs w:val="20"/>
                <w:color w:val="auto"/>
              </w:rPr>
            </w:pPr>
            <w:r>
              <w:rPr>
                <w:rFonts w:ascii="Arial" w:cs="Arial" w:eastAsia="Arial" w:hAnsi="Arial"/>
                <w:sz w:val="18"/>
                <w:szCs w:val="18"/>
                <w:color w:val="auto"/>
              </w:rPr>
              <w:t>1,704</w:t>
            </w:r>
          </w:p>
        </w:tc>
        <w:tc>
          <w:tcPr>
            <w:tcW w:w="980" w:type="dxa"/>
            <w:vAlign w:val="bottom"/>
          </w:tcPr>
          <w:p>
            <w:pPr>
              <w:jc w:val="right"/>
              <w:ind w:right="214"/>
              <w:spacing w:after="0"/>
              <w:rPr>
                <w:sz w:val="20"/>
                <w:szCs w:val="20"/>
                <w:color w:val="auto"/>
              </w:rPr>
            </w:pPr>
            <w:r>
              <w:rPr>
                <w:rFonts w:ascii="Arial" w:cs="Arial" w:eastAsia="Arial" w:hAnsi="Arial"/>
                <w:sz w:val="18"/>
                <w:szCs w:val="18"/>
                <w:color w:val="auto"/>
              </w:rPr>
              <w:t>1,658</w:t>
            </w:r>
          </w:p>
        </w:tc>
        <w:tc>
          <w:tcPr>
            <w:tcW w:w="880" w:type="dxa"/>
            <w:vAlign w:val="bottom"/>
          </w:tcPr>
          <w:p>
            <w:pPr>
              <w:jc w:val="right"/>
              <w:ind w:right="175"/>
              <w:spacing w:after="0"/>
              <w:rPr>
                <w:sz w:val="20"/>
                <w:szCs w:val="20"/>
                <w:color w:val="auto"/>
              </w:rPr>
            </w:pPr>
            <w:r>
              <w:rPr>
                <w:rFonts w:ascii="Arial" w:cs="Arial" w:eastAsia="Arial" w:hAnsi="Arial"/>
                <w:sz w:val="18"/>
                <w:szCs w:val="18"/>
                <w:color w:val="auto"/>
              </w:rPr>
              <w:t>1,649</w:t>
            </w:r>
          </w:p>
        </w:tc>
        <w:tc>
          <w:tcPr>
            <w:tcW w:w="760" w:type="dxa"/>
            <w:vAlign w:val="bottom"/>
          </w:tcPr>
          <w:p>
            <w:pPr>
              <w:jc w:val="right"/>
              <w:spacing w:after="0"/>
              <w:rPr>
                <w:sz w:val="20"/>
                <w:szCs w:val="20"/>
                <w:color w:val="auto"/>
              </w:rPr>
            </w:pPr>
            <w:r>
              <w:rPr>
                <w:rFonts w:ascii="Arial" w:cs="Arial" w:eastAsia="Arial" w:hAnsi="Arial"/>
                <w:sz w:val="18"/>
                <w:szCs w:val="18"/>
                <w:color w:val="auto"/>
              </w:rPr>
              <w:t>1,642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1,629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PCS Ave. Monthly Retail Churn% (5)</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w:t>
            </w:r>
          </w:p>
        </w:tc>
        <w:tc>
          <w:tcPr>
            <w:tcW w:w="980" w:type="dxa"/>
            <w:vAlign w:val="bottom"/>
            <w:shd w:val="clear" w:color="auto" w:fill="EAF9E8"/>
          </w:tcPr>
          <w:p>
            <w:pPr>
              <w:jc w:val="right"/>
              <w:ind w:right="54"/>
              <w:spacing w:after="0"/>
              <w:rPr>
                <w:sz w:val="20"/>
                <w:szCs w:val="20"/>
                <w:color w:val="auto"/>
              </w:rPr>
            </w:pPr>
            <w:r>
              <w:rPr>
                <w:rFonts w:ascii="Arial" w:cs="Arial" w:eastAsia="Arial" w:hAnsi="Arial"/>
                <w:sz w:val="18"/>
                <w:szCs w:val="18"/>
                <w:color w:val="auto"/>
              </w:rPr>
              <w:t>2.1%</w:t>
            </w:r>
          </w:p>
        </w:tc>
        <w:tc>
          <w:tcPr>
            <w:tcW w:w="880" w:type="dxa"/>
            <w:vAlign w:val="bottom"/>
            <w:shd w:val="clear" w:color="auto" w:fill="EAF9E8"/>
          </w:tcPr>
          <w:p>
            <w:pPr>
              <w:jc w:val="right"/>
              <w:ind w:right="15"/>
              <w:spacing w:after="0"/>
              <w:rPr>
                <w:sz w:val="20"/>
                <w:szCs w:val="20"/>
                <w:color w:val="auto"/>
              </w:rPr>
            </w:pPr>
            <w:r>
              <w:rPr>
                <w:rFonts w:ascii="Arial" w:cs="Arial" w:eastAsia="Arial" w:hAnsi="Arial"/>
                <w:sz w:val="18"/>
                <w:szCs w:val="18"/>
                <w:color w:val="auto"/>
              </w:rPr>
              <w:t>1.9%</w:t>
            </w:r>
          </w:p>
        </w:tc>
        <w:tc>
          <w:tcPr>
            <w:tcW w:w="960" w:type="dxa"/>
            <w:vAlign w:val="bottom"/>
            <w:gridSpan w:val="3"/>
            <w:shd w:val="clear" w:color="auto" w:fill="EAF9E8"/>
          </w:tcPr>
          <w:p>
            <w:pPr>
              <w:jc w:val="right"/>
              <w:ind w:right="120"/>
              <w:spacing w:after="0"/>
              <w:rPr>
                <w:sz w:val="20"/>
                <w:szCs w:val="20"/>
                <w:color w:val="auto"/>
              </w:rPr>
            </w:pPr>
            <w:r>
              <w:rPr>
                <w:rFonts w:ascii="Arial" w:cs="Arial" w:eastAsia="Arial" w:hAnsi="Arial"/>
                <w:sz w:val="18"/>
                <w:szCs w:val="18"/>
                <w:color w:val="auto"/>
              </w:rPr>
              <w:t>2.1%</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December 31, 2005</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780" w:type="dxa"/>
            <w:vAlign w:val="bottom"/>
            <w:gridSpan w:val="3"/>
          </w:tcPr>
          <w:p>
            <w:pPr>
              <w:spacing w:after="0"/>
              <w:rPr>
                <w:sz w:val="8"/>
                <w:szCs w:val="8"/>
                <w:color w:val="auto"/>
              </w:rPr>
            </w:pPr>
          </w:p>
        </w:tc>
        <w:tc>
          <w:tcPr>
            <w:tcW w:w="98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780" w:type="dxa"/>
            <w:vAlign w:val="bottom"/>
            <w:gridSpan w:val="3"/>
          </w:tcPr>
          <w:p>
            <w:pPr>
              <w:jc w:val="right"/>
              <w:ind w:right="154"/>
              <w:spacing w:after="0"/>
              <w:rPr>
                <w:sz w:val="20"/>
                <w:szCs w:val="20"/>
                <w:color w:val="auto"/>
              </w:rPr>
            </w:pPr>
            <w:r>
              <w:rPr>
                <w:rFonts w:ascii="Arial" w:cs="Arial" w:eastAsia="Arial" w:hAnsi="Arial"/>
                <w:sz w:val="14"/>
                <w:szCs w:val="14"/>
                <w:b w:val="1"/>
                <w:bCs w:val="1"/>
                <w:color w:val="auto"/>
              </w:rPr>
              <w:t>Plant Facility Statistics (6)</w:t>
            </w:r>
          </w:p>
        </w:tc>
        <w:tc>
          <w:tcPr>
            <w:tcW w:w="980" w:type="dxa"/>
            <w:vAlign w:val="bottom"/>
          </w:tcPr>
          <w:p>
            <w:pPr>
              <w:spacing w:after="0"/>
              <w:rPr>
                <w:sz w:val="22"/>
                <w:szCs w:val="22"/>
                <w:color w:val="auto"/>
              </w:rPr>
            </w:pPr>
          </w:p>
        </w:tc>
        <w:tc>
          <w:tcPr>
            <w:tcW w:w="880" w:type="dxa"/>
            <w:vAlign w:val="bottom"/>
          </w:tcPr>
          <w:p>
            <w:pPr>
              <w:jc w:val="right"/>
              <w:ind w:right="175"/>
              <w:spacing w:after="0"/>
              <w:rPr>
                <w:sz w:val="20"/>
                <w:szCs w:val="20"/>
                <w:color w:val="auto"/>
              </w:rPr>
            </w:pPr>
            <w:r>
              <w:rPr>
                <w:rFonts w:ascii="Arial" w:cs="Arial" w:eastAsia="Arial" w:hAnsi="Arial"/>
                <w:sz w:val="14"/>
                <w:szCs w:val="14"/>
                <w:b w:val="1"/>
                <w:bCs w:val="1"/>
                <w:color w:val="auto"/>
                <w:w w:val="85"/>
              </w:rPr>
              <w:t>Telephone</w:t>
            </w:r>
          </w:p>
        </w:tc>
        <w:tc>
          <w:tcPr>
            <w:tcW w:w="9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9"/>
              </w:rPr>
              <w:t>CATV</w:t>
            </w: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920" w:type="dxa"/>
            <w:vAlign w:val="bottom"/>
            <w:gridSpan w:val="2"/>
          </w:tcPr>
          <w:p>
            <w:pPr>
              <w:spacing w:after="0"/>
              <w:rPr>
                <w:sz w:val="8"/>
                <w:szCs w:val="8"/>
                <w:color w:val="auto"/>
              </w:rPr>
            </w:pPr>
          </w:p>
        </w:tc>
        <w:tc>
          <w:tcPr>
            <w:tcW w:w="8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920" w:type="dxa"/>
            <w:vAlign w:val="bottom"/>
            <w:gridSpan w:val="2"/>
          </w:tcPr>
          <w:p>
            <w:pPr>
              <w:spacing w:after="0"/>
              <w:rPr>
                <w:sz w:val="8"/>
                <w:szCs w:val="8"/>
                <w:color w:val="auto"/>
              </w:rPr>
            </w:pPr>
          </w:p>
        </w:tc>
        <w:tc>
          <w:tcPr>
            <w:tcW w:w="8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9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Route Miles</w:t>
            </w:r>
          </w:p>
        </w:tc>
        <w:tc>
          <w:tcPr>
            <w:tcW w:w="8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880" w:type="dxa"/>
            <w:vAlign w:val="bottom"/>
            <w:shd w:val="clear" w:color="auto" w:fill="EAF9E8"/>
          </w:tcPr>
          <w:p>
            <w:pPr>
              <w:jc w:val="right"/>
              <w:ind w:right="255"/>
              <w:spacing w:after="0"/>
              <w:rPr>
                <w:sz w:val="20"/>
                <w:szCs w:val="20"/>
                <w:color w:val="auto"/>
              </w:rPr>
            </w:pPr>
            <w:r>
              <w:rPr>
                <w:rFonts w:ascii="Arial" w:cs="Arial" w:eastAsia="Arial" w:hAnsi="Arial"/>
                <w:sz w:val="18"/>
                <w:szCs w:val="18"/>
                <w:color w:val="auto"/>
              </w:rPr>
              <w:t>2,219</w:t>
            </w:r>
          </w:p>
        </w:tc>
        <w:tc>
          <w:tcPr>
            <w:tcW w:w="760" w:type="dxa"/>
            <w:vAlign w:val="bottom"/>
            <w:shd w:val="clear" w:color="auto" w:fill="EAF9E8"/>
          </w:tcPr>
          <w:p>
            <w:pPr>
              <w:jc w:val="right"/>
              <w:ind w:right="154"/>
              <w:spacing w:after="0"/>
              <w:rPr>
                <w:sz w:val="20"/>
                <w:szCs w:val="20"/>
                <w:color w:val="auto"/>
              </w:rPr>
            </w:pPr>
            <w:r>
              <w:rPr>
                <w:rFonts w:ascii="Arial" w:cs="Arial" w:eastAsia="Arial" w:hAnsi="Arial"/>
                <w:sz w:val="18"/>
                <w:szCs w:val="18"/>
                <w:color w:val="auto"/>
              </w:rPr>
              <w:t>565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w w:val="95"/>
              </w:rPr>
              <w:t>Miles of Distribution Wire</w:t>
            </w: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jc w:val="right"/>
              <w:ind w:right="255"/>
              <w:spacing w:after="0"/>
              <w:rPr>
                <w:sz w:val="20"/>
                <w:szCs w:val="20"/>
                <w:color w:val="auto"/>
              </w:rPr>
            </w:pPr>
            <w:r>
              <w:rPr>
                <w:rFonts w:ascii="Arial" w:cs="Arial" w:eastAsia="Arial" w:hAnsi="Arial"/>
                <w:sz w:val="18"/>
                <w:szCs w:val="18"/>
                <w:color w:val="auto"/>
              </w:rPr>
              <w:t>613</w:t>
            </w:r>
          </w:p>
        </w:tc>
        <w:tc>
          <w:tcPr>
            <w:tcW w:w="760" w:type="dxa"/>
            <w:vAlign w:val="bottom"/>
          </w:tcPr>
          <w:p>
            <w:pPr>
              <w:jc w:val="right"/>
              <w:ind w:right="154"/>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9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Utility Poles</w:t>
            </w:r>
          </w:p>
        </w:tc>
        <w:tc>
          <w:tcPr>
            <w:tcW w:w="8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880" w:type="dxa"/>
            <w:vAlign w:val="bottom"/>
            <w:shd w:val="clear" w:color="auto" w:fill="EAF9E8"/>
          </w:tcPr>
          <w:p>
            <w:pPr>
              <w:jc w:val="right"/>
              <w:ind w:right="255"/>
              <w:spacing w:after="0"/>
              <w:rPr>
                <w:sz w:val="20"/>
                <w:szCs w:val="20"/>
                <w:color w:val="auto"/>
              </w:rPr>
            </w:pPr>
            <w:r>
              <w:rPr>
                <w:rFonts w:ascii="Arial" w:cs="Arial" w:eastAsia="Arial" w:hAnsi="Arial"/>
                <w:sz w:val="18"/>
                <w:szCs w:val="18"/>
                <w:color w:val="auto"/>
              </w:rPr>
              <w:t>7,620</w:t>
            </w:r>
          </w:p>
        </w:tc>
        <w:tc>
          <w:tcPr>
            <w:tcW w:w="760" w:type="dxa"/>
            <w:vAlign w:val="bottom"/>
            <w:shd w:val="clear" w:color="auto" w:fill="EAF9E8"/>
          </w:tcPr>
          <w:p>
            <w:pPr>
              <w:jc w:val="right"/>
              <w:ind w:right="154"/>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rPr>
              <w:t>Miles of Aerial Copper Cable</w:t>
            </w:r>
          </w:p>
        </w:tc>
        <w:tc>
          <w:tcPr>
            <w:tcW w:w="980" w:type="dxa"/>
            <w:vAlign w:val="bottom"/>
          </w:tcPr>
          <w:p>
            <w:pPr>
              <w:spacing w:after="0"/>
              <w:rPr>
                <w:sz w:val="18"/>
                <w:szCs w:val="18"/>
                <w:color w:val="auto"/>
              </w:rPr>
            </w:pPr>
          </w:p>
        </w:tc>
        <w:tc>
          <w:tcPr>
            <w:tcW w:w="880" w:type="dxa"/>
            <w:vAlign w:val="bottom"/>
          </w:tcPr>
          <w:p>
            <w:pPr>
              <w:jc w:val="right"/>
              <w:ind w:right="255"/>
              <w:spacing w:after="0"/>
              <w:rPr>
                <w:sz w:val="20"/>
                <w:szCs w:val="20"/>
                <w:color w:val="auto"/>
              </w:rPr>
            </w:pPr>
            <w:r>
              <w:rPr>
                <w:rFonts w:ascii="Arial" w:cs="Arial" w:eastAsia="Arial" w:hAnsi="Arial"/>
                <w:sz w:val="18"/>
                <w:szCs w:val="18"/>
                <w:color w:val="auto"/>
              </w:rPr>
              <w:t>328</w:t>
            </w:r>
          </w:p>
        </w:tc>
        <w:tc>
          <w:tcPr>
            <w:tcW w:w="760" w:type="dxa"/>
            <w:vAlign w:val="bottom"/>
          </w:tcPr>
          <w:p>
            <w:pPr>
              <w:jc w:val="right"/>
              <w:ind w:right="154"/>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8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Miles of Buried Copper Cable</w:t>
            </w:r>
          </w:p>
        </w:tc>
        <w:tc>
          <w:tcPr>
            <w:tcW w:w="980" w:type="dxa"/>
            <w:vAlign w:val="bottom"/>
            <w:shd w:val="clear" w:color="auto" w:fill="EAF9E8"/>
          </w:tcPr>
          <w:p>
            <w:pPr>
              <w:spacing w:after="0"/>
              <w:rPr>
                <w:sz w:val="18"/>
                <w:szCs w:val="18"/>
                <w:color w:val="auto"/>
              </w:rPr>
            </w:pPr>
          </w:p>
        </w:tc>
        <w:tc>
          <w:tcPr>
            <w:tcW w:w="880" w:type="dxa"/>
            <w:vAlign w:val="bottom"/>
            <w:shd w:val="clear" w:color="auto" w:fill="EAF9E8"/>
          </w:tcPr>
          <w:p>
            <w:pPr>
              <w:jc w:val="right"/>
              <w:ind w:right="255"/>
              <w:spacing w:after="0"/>
              <w:rPr>
                <w:sz w:val="20"/>
                <w:szCs w:val="20"/>
                <w:color w:val="auto"/>
              </w:rPr>
            </w:pPr>
            <w:r>
              <w:rPr>
                <w:rFonts w:ascii="Arial" w:cs="Arial" w:eastAsia="Arial" w:hAnsi="Arial"/>
                <w:sz w:val="18"/>
                <w:szCs w:val="18"/>
                <w:color w:val="auto"/>
              </w:rPr>
              <w:t>1,357</w:t>
            </w:r>
          </w:p>
        </w:tc>
        <w:tc>
          <w:tcPr>
            <w:tcW w:w="760" w:type="dxa"/>
            <w:vAlign w:val="bottom"/>
            <w:shd w:val="clear" w:color="auto" w:fill="EAF9E8"/>
          </w:tcPr>
          <w:p>
            <w:pPr>
              <w:jc w:val="right"/>
              <w:ind w:right="154"/>
              <w:spacing w:after="0"/>
              <w:rPr>
                <w:sz w:val="20"/>
                <w:szCs w:val="20"/>
                <w:color w:val="auto"/>
              </w:rPr>
            </w:pPr>
            <w:r>
              <w:rPr>
                <w:rFonts w:ascii="Arial" w:cs="Arial" w:eastAsia="Arial" w:hAnsi="Arial"/>
                <w:sz w:val="18"/>
                <w:szCs w:val="18"/>
                <w:color w:val="auto"/>
              </w:rPr>
              <w:t>368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w w:val="95"/>
              </w:rPr>
              <w:t>Miles of Underground Copper Cable</w:t>
            </w:r>
          </w:p>
        </w:tc>
        <w:tc>
          <w:tcPr>
            <w:tcW w:w="980" w:type="dxa"/>
            <w:vAlign w:val="bottom"/>
          </w:tcPr>
          <w:p>
            <w:pPr>
              <w:spacing w:after="0"/>
              <w:rPr>
                <w:sz w:val="18"/>
                <w:szCs w:val="18"/>
                <w:color w:val="auto"/>
              </w:rPr>
            </w:pPr>
          </w:p>
        </w:tc>
        <w:tc>
          <w:tcPr>
            <w:tcW w:w="880" w:type="dxa"/>
            <w:vAlign w:val="bottom"/>
          </w:tcPr>
          <w:p>
            <w:pPr>
              <w:jc w:val="right"/>
              <w:ind w:right="255"/>
              <w:spacing w:after="0"/>
              <w:rPr>
                <w:sz w:val="20"/>
                <w:szCs w:val="20"/>
                <w:color w:val="auto"/>
              </w:rPr>
            </w:pPr>
            <w:r>
              <w:rPr>
                <w:rFonts w:ascii="Arial" w:cs="Arial" w:eastAsia="Arial" w:hAnsi="Arial"/>
                <w:sz w:val="18"/>
                <w:szCs w:val="18"/>
                <w:color w:val="auto"/>
              </w:rPr>
              <w:t>39</w:t>
            </w:r>
          </w:p>
        </w:tc>
        <w:tc>
          <w:tcPr>
            <w:tcW w:w="760" w:type="dxa"/>
            <w:vAlign w:val="bottom"/>
          </w:tcPr>
          <w:p>
            <w:pPr>
              <w:jc w:val="right"/>
              <w:ind w:right="154"/>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76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Fiber Optic Cable-Fiber Miles Regulated</w:t>
            </w:r>
          </w:p>
        </w:tc>
        <w:tc>
          <w:tcPr>
            <w:tcW w:w="880" w:type="dxa"/>
            <w:vAlign w:val="bottom"/>
            <w:shd w:val="clear" w:color="auto" w:fill="EAF9E8"/>
          </w:tcPr>
          <w:p>
            <w:pPr>
              <w:jc w:val="right"/>
              <w:ind w:right="255"/>
              <w:spacing w:after="0"/>
              <w:rPr>
                <w:sz w:val="20"/>
                <w:szCs w:val="20"/>
                <w:color w:val="auto"/>
              </w:rPr>
            </w:pPr>
            <w:r>
              <w:rPr>
                <w:rFonts w:ascii="Arial" w:cs="Arial" w:eastAsia="Arial" w:hAnsi="Arial"/>
                <w:sz w:val="18"/>
                <w:szCs w:val="18"/>
                <w:color w:val="auto"/>
              </w:rPr>
              <w:t>265</w:t>
            </w:r>
          </w:p>
        </w:tc>
        <w:tc>
          <w:tcPr>
            <w:tcW w:w="760" w:type="dxa"/>
            <w:vAlign w:val="bottom"/>
            <w:shd w:val="clear" w:color="auto" w:fill="EAF9E8"/>
          </w:tcPr>
          <w:p>
            <w:pPr>
              <w:jc w:val="right"/>
              <w:ind w:right="154"/>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w w:val="99"/>
              </w:rPr>
              <w:t>Fiber Miles Unregulated</w:t>
            </w: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jc w:val="right"/>
              <w:ind w:right="255"/>
              <w:spacing w:after="0"/>
              <w:rPr>
                <w:sz w:val="20"/>
                <w:szCs w:val="20"/>
                <w:color w:val="auto"/>
              </w:rPr>
            </w:pPr>
            <w:r>
              <w:rPr>
                <w:rFonts w:ascii="Arial" w:cs="Arial" w:eastAsia="Arial" w:hAnsi="Arial"/>
                <w:sz w:val="18"/>
                <w:szCs w:val="18"/>
                <w:color w:val="auto"/>
              </w:rPr>
              <w:t>249</w:t>
            </w:r>
          </w:p>
        </w:tc>
        <w:tc>
          <w:tcPr>
            <w:tcW w:w="76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9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Fiber Miles Network</w:t>
            </w:r>
          </w:p>
        </w:tc>
        <w:tc>
          <w:tcPr>
            <w:tcW w:w="8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880" w:type="dxa"/>
            <w:vAlign w:val="bottom"/>
            <w:shd w:val="clear" w:color="auto" w:fill="EAF9E8"/>
          </w:tcPr>
          <w:p>
            <w:pPr>
              <w:jc w:val="right"/>
              <w:ind w:right="255"/>
              <w:spacing w:after="0"/>
              <w:rPr>
                <w:sz w:val="20"/>
                <w:szCs w:val="20"/>
                <w:color w:val="auto"/>
              </w:rPr>
            </w:pPr>
            <w:r>
              <w:rPr>
                <w:rFonts w:ascii="Arial" w:cs="Arial" w:eastAsia="Arial" w:hAnsi="Arial"/>
                <w:sz w:val="18"/>
                <w:szCs w:val="18"/>
                <w:color w:val="auto"/>
              </w:rPr>
              <w:t>90</w:t>
            </w:r>
          </w:p>
        </w:tc>
        <w:tc>
          <w:tcPr>
            <w:tcW w:w="760" w:type="dxa"/>
            <w:vAlign w:val="bottom"/>
            <w:shd w:val="clear" w:color="auto" w:fill="EAF9E8"/>
          </w:tcPr>
          <w:p>
            <w:pPr>
              <w:jc w:val="right"/>
              <w:ind w:right="154"/>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420" w:right="2219" w:hanging="412"/>
        <w:spacing w:after="0" w:line="268" w:lineRule="auto"/>
        <w:tabs>
          <w:tab w:leader="none" w:pos="258" w:val="left"/>
        </w:tabs>
        <w:numPr>
          <w:ilvl w:val="0"/>
          <w:numId w:val="15"/>
        </w:numPr>
        <w:rPr>
          <w:rFonts w:ascii="Arial" w:cs="Arial" w:eastAsia="Arial" w:hAnsi="Arial"/>
          <w:sz w:val="18"/>
          <w:szCs w:val="18"/>
          <w:color w:val="auto"/>
        </w:rPr>
      </w:pPr>
      <w:r>
        <w:rPr>
          <w:rFonts w:ascii="Arial" w:cs="Arial" w:eastAsia="Arial" w:hAnsi="Arial"/>
          <w:sz w:val="18"/>
          <w:szCs w:val="18"/>
          <w:color w:val="auto"/>
        </w:rPr>
        <w:t>– Wholesale PCS Users are private label subscribers with numbers homed in the Company’s wireless network service area.</w:t>
      </w:r>
    </w:p>
    <w:p>
      <w:pPr>
        <w:spacing w:after="0" w:line="118"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Originated by customers of the Company’s Telephone subsidiary.</w:t>
      </w:r>
    </w:p>
    <w:p>
      <w:pPr>
        <w:spacing w:after="0" w:line="157"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The June 30, 2005 employee count includes 44 interns.</w:t>
      </w:r>
    </w:p>
    <w:p>
      <w:pPr>
        <w:spacing w:after="0" w:line="157" w:lineRule="exact"/>
        <w:rPr>
          <w:rFonts w:ascii="Arial" w:cs="Arial" w:eastAsia="Arial" w:hAnsi="Arial"/>
          <w:sz w:val="18"/>
          <w:szCs w:val="18"/>
          <w:color w:val="auto"/>
        </w:rPr>
      </w:pPr>
    </w:p>
    <w:p>
      <w:pPr>
        <w:ind w:left="420" w:right="2119" w:hanging="412"/>
        <w:spacing w:after="0" w:line="256" w:lineRule="auto"/>
        <w:tabs>
          <w:tab w:leader="none" w:pos="258" w:val="left"/>
        </w:tabs>
        <w:numPr>
          <w:ilvl w:val="0"/>
          <w:numId w:val="15"/>
        </w:numPr>
        <w:rPr>
          <w:rFonts w:ascii="Arial" w:cs="Arial" w:eastAsia="Arial" w:hAnsi="Arial"/>
          <w:sz w:val="18"/>
          <w:szCs w:val="18"/>
          <w:color w:val="auto"/>
        </w:rPr>
      </w:pPr>
      <w:r>
        <w:rPr>
          <w:rFonts w:ascii="Arial" w:cs="Arial" w:eastAsia="Arial" w:hAnsi="Arial"/>
          <w:sz w:val="18"/>
          <w:szCs w:val="18"/>
          <w:color w:val="auto"/>
        </w:rPr>
        <w:t>– POPS refers to the estimated population of a given geographic area and is based on information purchased by Sprint Nextel from Geographic Information Services. Market POPS are those within a market area which the Company is authorized to serve under its Sprint Nextel agreements, and Covered POPS are those covered by the network’s service area.</w:t>
      </w:r>
    </w:p>
    <w:p>
      <w:pPr>
        <w:spacing w:after="0" w:line="129" w:lineRule="exact"/>
        <w:rPr>
          <w:rFonts w:ascii="Arial" w:cs="Arial" w:eastAsia="Arial" w:hAnsi="Arial"/>
          <w:sz w:val="18"/>
          <w:szCs w:val="18"/>
          <w:color w:val="auto"/>
        </w:rPr>
      </w:pPr>
    </w:p>
    <w:p>
      <w:pPr>
        <w:ind w:left="420" w:right="2299" w:hanging="412"/>
        <w:spacing w:after="0" w:line="268" w:lineRule="auto"/>
        <w:tabs>
          <w:tab w:leader="none" w:pos="258" w:val="left"/>
        </w:tabs>
        <w:numPr>
          <w:ilvl w:val="0"/>
          <w:numId w:val="15"/>
        </w:numPr>
        <w:rPr>
          <w:rFonts w:ascii="Arial" w:cs="Arial" w:eastAsia="Arial" w:hAnsi="Arial"/>
          <w:sz w:val="18"/>
          <w:szCs w:val="18"/>
          <w:color w:val="auto"/>
        </w:rPr>
      </w:pPr>
      <w:r>
        <w:rPr>
          <w:rFonts w:ascii="Arial" w:cs="Arial" w:eastAsia="Arial" w:hAnsi="Arial"/>
          <w:sz w:val="18"/>
          <w:szCs w:val="18"/>
          <w:color w:val="auto"/>
        </w:rPr>
        <w:t>– PCS Ave. Monthly Churn is the average of the three monthly subscriber turnover, or churn calculations for the period.</w:t>
      </w:r>
    </w:p>
    <w:p>
      <w:pPr>
        <w:spacing w:after="0" w:line="118"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Excludes information for NTC Communications.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Transactions</w:t>
      </w:r>
    </w:p>
    <w:p>
      <w:pPr>
        <w:spacing w:after="0" w:line="231" w:lineRule="exact"/>
        <w:rPr>
          <w:sz w:val="20"/>
          <w:szCs w:val="20"/>
          <w:color w:val="auto"/>
        </w:rPr>
      </w:pPr>
    </w:p>
    <w:p>
      <w:pPr>
        <w:ind w:right="2119"/>
        <w:spacing w:after="0" w:line="268" w:lineRule="auto"/>
        <w:rPr>
          <w:sz w:val="20"/>
          <w:szCs w:val="20"/>
          <w:color w:val="auto"/>
        </w:rPr>
      </w:pPr>
      <w:r>
        <w:rPr>
          <w:rFonts w:ascii="Arial" w:cs="Arial" w:eastAsia="Arial" w:hAnsi="Arial"/>
          <w:sz w:val="18"/>
          <w:szCs w:val="18"/>
          <w:color w:val="auto"/>
        </w:rPr>
        <w:t>The 2005 financial results of the Company reflected several significant non-recurring items, which should be noted in understanding the financial results of the Company for 2005.</w:t>
      </w:r>
    </w:p>
    <w:p>
      <w:pPr>
        <w:sectPr>
          <w:pgSz w:w="11900" w:h="16838" w:orient="portrait"/>
          <w:cols w:equalWidth="0" w:num="1">
            <w:col w:w="10219"/>
          </w:cols>
          <w:pgMar w:left="240" w:top="584" w:right="1440" w:bottom="1440" w:gutter="0" w:footer="0" w:header="0"/>
        </w:sectPr>
      </w:pPr>
    </w:p>
    <w:p>
      <w:pPr>
        <w:spacing w:after="0" w:line="186"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5166995" cy="469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type w:val="continuous"/>
        </w:sectPr>
      </w:pPr>
    </w:p>
    <w:bookmarkStart w:id="44" w:name="page45"/>
    <w:bookmarkEnd w:id="44"/>
    <w:p>
      <w:pPr>
        <w:ind w:right="2159"/>
        <w:spacing w:after="0" w:line="289" w:lineRule="auto"/>
        <w:rPr>
          <w:sz w:val="20"/>
          <w:szCs w:val="20"/>
          <w:color w:val="auto"/>
        </w:rPr>
      </w:pPr>
      <w:r>
        <w:rPr>
          <w:rFonts w:ascii="Arial" w:cs="Arial" w:eastAsia="Arial" w:hAnsi="Arial"/>
          <w:sz w:val="16"/>
          <w:szCs w:val="16"/>
          <w:color w:val="auto"/>
        </w:rPr>
        <w:t>Pursuant to its purchase agreement for the acquisition of the remaining 83.9% interest in NTC, which was signed on November 30, 2004, $1.0 million of the purchase price was placed in escrow to satisfy any post-closing adjustments to the purchase price and any indemnification obligations for a period of six months after the November 30, 2004 closing date. The Company recorded a receivable for $0.9 million, to reflect the settlement of the post-closing adjustments by reducing goodwill by $0.5 million and by offsetting unrecorded liabilities incurred after the acquisition. On January 23, 2006, the Company received $0.9 million to settle the post-closing adjustments applicable to the escrow amount. NTC operating results for the entire year of 2005 are included in the operating results of the Company.</w:t>
      </w:r>
    </w:p>
    <w:p>
      <w:pPr>
        <w:spacing w:after="0" w:line="172" w:lineRule="exact"/>
        <w:rPr>
          <w:sz w:val="20"/>
          <w:szCs w:val="20"/>
          <w:color w:val="auto"/>
        </w:rPr>
      </w:pPr>
    </w:p>
    <w:p>
      <w:pPr>
        <w:ind w:right="2119"/>
        <w:spacing w:after="0" w:line="256" w:lineRule="auto"/>
        <w:rPr>
          <w:sz w:val="20"/>
          <w:szCs w:val="20"/>
          <w:color w:val="auto"/>
        </w:rPr>
      </w:pPr>
      <w:r>
        <w:rPr>
          <w:rFonts w:ascii="Arial" w:cs="Arial" w:eastAsia="Arial" w:hAnsi="Arial"/>
          <w:sz w:val="18"/>
          <w:szCs w:val="18"/>
          <w:color w:val="auto"/>
        </w:rPr>
        <w:t>In September 2005, the Company settled a claim against Verizon, with respect to overcharges for completing local calls from Shenandoah PCS customers to Verizon customers, for $750,000, which was received by the Company in September. In connection with the settlement, the Company recorded a third quarter reduction in PCS network costs of $750,000.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231" w:lineRule="exact"/>
        <w:rPr>
          <w:sz w:val="20"/>
          <w:szCs w:val="20"/>
          <w:color w:val="auto"/>
        </w:rPr>
      </w:pPr>
    </w:p>
    <w:p>
      <w:pPr>
        <w:ind w:right="2199"/>
        <w:spacing w:after="0" w:line="318" w:lineRule="auto"/>
        <w:rPr>
          <w:sz w:val="20"/>
          <w:szCs w:val="20"/>
          <w:color w:val="auto"/>
        </w:rPr>
      </w:pPr>
      <w:r>
        <w:rPr>
          <w:rFonts w:ascii="Arial" w:cs="Arial" w:eastAsia="Arial" w:hAnsi="Arial"/>
          <w:sz w:val="15"/>
          <w:szCs w:val="15"/>
          <w:color w:val="auto"/>
        </w:rPr>
        <w:t>On August 4, 2005, the board of directors of the Rural Telephone Bank (“RTB”) adopted resolutions for the purpose of dissolving RTB as of October 1, 2005. The Company holds 10,821,770 shares of Class B and Class C RTB Common Stock ($1.00 par value) which is reflected on the Company’s books at $796,000 under the cost method at December 31, 2005. In 2006, the Company will receive $11.3 million in proceeds, and recognize a gain of approximately $6.5 million, net of tax, related to the dissolution of the RTB, and the redemption of the stock.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2119"/>
        <w:spacing w:after="0" w:line="256" w:lineRule="auto"/>
        <w:rPr>
          <w:sz w:val="20"/>
          <w:szCs w:val="20"/>
          <w:color w:val="auto"/>
        </w:rPr>
      </w:pPr>
      <w:r>
        <w:rPr>
          <w:rFonts w:ascii="Arial" w:cs="Arial" w:eastAsia="Arial" w:hAnsi="Arial"/>
          <w:sz w:val="18"/>
          <w:szCs w:val="18"/>
          <w:color w:val="auto"/>
        </w:rPr>
        <w:t>The Company relies on the use of estimates and makes assumptions that affect its financial condition and operating results. These estimates and assumptions are based on historical results and trends as well as the Company’s forecasts as to how these might change in the future. The most critical accounting policies that materially affect the Company’s results of operations include the following: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ind w:right="2099"/>
        <w:spacing w:after="0" w:line="289" w:lineRule="auto"/>
        <w:rPr>
          <w:sz w:val="20"/>
          <w:szCs w:val="20"/>
          <w:color w:val="auto"/>
        </w:rPr>
      </w:pPr>
      <w:r>
        <w:rPr>
          <w:rFonts w:ascii="Arial" w:cs="Arial" w:eastAsia="Arial" w:hAnsi="Arial"/>
          <w:sz w:val="16"/>
          <w:szCs w:val="16"/>
          <w:color w:val="auto"/>
        </w:rPr>
        <w:t>Estimates are used in determining the allowance for doubtful accounts and are based on historical collection and write-off experience, current trends, credit policies, and the analysis of the accounts receivable by aging category. In determining these estimates, the Company compares historical write-offs in relation to the estimated period in which the subscriber was originally billed. The Company also looks at the historical average length of time that elapses between the original billing date and the date of write-off and the financial position of its larger customers in determining the adequacy of the allowance for doubtful accounts. From this information, the Company assigns specific amounts to the aging categories. The Company provides an allowance for substantially all receivables over 90 days old.</w:t>
      </w:r>
    </w:p>
    <w:p>
      <w:pPr>
        <w:spacing w:after="0" w:line="172" w:lineRule="exact"/>
        <w:rPr>
          <w:sz w:val="20"/>
          <w:szCs w:val="20"/>
          <w:color w:val="auto"/>
        </w:rPr>
      </w:pPr>
    </w:p>
    <w:p>
      <w:pPr>
        <w:ind w:right="2499"/>
        <w:spacing w:after="0" w:line="306" w:lineRule="auto"/>
        <w:rPr>
          <w:sz w:val="20"/>
          <w:szCs w:val="20"/>
          <w:color w:val="auto"/>
        </w:rPr>
      </w:pPr>
      <w:r>
        <w:rPr>
          <w:rFonts w:ascii="Arial" w:cs="Arial" w:eastAsia="Arial" w:hAnsi="Arial"/>
          <w:sz w:val="16"/>
          <w:szCs w:val="16"/>
          <w:color w:val="auto"/>
        </w:rPr>
        <w:t>The allowance for doubtful accounts balance as of December 31, 2005, 2004 and 2003 was $0.5 million, $0.4 million and $0.5 million, respectively. If the allowance for doubtful accounts is not adequate, it could have a material adverse effect on our liquidity, financial position and results of operations.</w:t>
      </w:r>
    </w:p>
    <w:p>
      <w:pPr>
        <w:spacing w:after="0" w:line="161" w:lineRule="exact"/>
        <w:rPr>
          <w:sz w:val="20"/>
          <w:szCs w:val="20"/>
          <w:color w:val="auto"/>
        </w:rPr>
      </w:pPr>
    </w:p>
    <w:p>
      <w:pPr>
        <w:ind w:right="2139"/>
        <w:spacing w:after="0" w:line="289" w:lineRule="auto"/>
        <w:rPr>
          <w:sz w:val="20"/>
          <w:szCs w:val="20"/>
          <w:color w:val="auto"/>
        </w:rPr>
      </w:pPr>
      <w:r>
        <w:rPr>
          <w:rFonts w:ascii="Arial" w:cs="Arial" w:eastAsia="Arial" w:hAnsi="Arial"/>
          <w:sz w:val="16"/>
          <w:szCs w:val="16"/>
          <w:color w:val="auto"/>
        </w:rPr>
        <w:t>The Company also reviews current trends in the credit quality of the subscriber bases in its various businesses and periodically changes its credit policies. As of December 31, 2005, the Sprint Nextel PCS subscriber base in the Company’s market area consisted of 14.4% sub-prime credit quality subscribers compared to 15.0% at December 31, 2004, which represented an improvement in the credit quality of the subscribers of 0.6%. Since the fourth quarter of 2004, the Company has, several times, adopted less restrictive credit criteria in order to evaluate the impact of such criteria on sales performance. This policy change has generated additional activations and is being closely monitored. Although the credit policy change could result in additional bad debt in the future, management believes that the added revenues attributable to the change offset the bad debt risk.</w:t>
      </w:r>
    </w:p>
    <w:p>
      <w:pPr>
        <w:spacing w:after="0" w:line="172" w:lineRule="exact"/>
        <w:rPr>
          <w:sz w:val="20"/>
          <w:szCs w:val="20"/>
          <w:color w:val="auto"/>
        </w:rPr>
      </w:pPr>
    </w:p>
    <w:p>
      <w:pPr>
        <w:ind w:right="2119"/>
        <w:spacing w:after="0" w:line="253" w:lineRule="auto"/>
        <w:rPr>
          <w:sz w:val="20"/>
          <w:szCs w:val="20"/>
          <w:color w:val="auto"/>
        </w:rPr>
      </w:pPr>
      <w:r>
        <w:rPr>
          <w:rFonts w:ascii="Arial" w:cs="Arial" w:eastAsia="Arial" w:hAnsi="Arial"/>
          <w:sz w:val="18"/>
          <w:szCs w:val="18"/>
          <w:color w:val="auto"/>
        </w:rPr>
        <w:t>The Company exercises exclusive control in setting credit policy parameters for receivables associated with services provided on a more localized basis. Historically, there have been limited losses generated from the non-PCS revenue streams. Prior to 2002, the Company had not faced significant write-offs of inter-carrier accounts, but due to the telecommunication industry down-turn in 2002, the Company experienced write-offs in this area of the business totaling $0.5 million in 2002, due to bankruptcy filings of several significant telecommunications companies. In 2004 and 2003, the inter-carrier segment of the business improved and the Company recovered $113 thousand and $240 thousand, respectively, of bad debt from the sale of certain accounts that were previously written-off.</w:t>
      </w:r>
    </w:p>
    <w:p>
      <w:pPr>
        <w:sectPr>
          <w:pgSz w:w="11900" w:h="16838" w:orient="portrait"/>
          <w:cols w:equalWidth="0" w:num="1">
            <w:col w:w="10219"/>
          </w:cols>
          <w:pgMar w:left="240" w:top="590" w:right="1440" w:bottom="1440" w:gutter="0" w:footer="0" w:header="0"/>
        </w:sectPr>
      </w:pPr>
    </w:p>
    <w:p>
      <w:pPr>
        <w:spacing w:after="0" w:line="199"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5166995" cy="469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90" w:right="1440" w:bottom="1440" w:gutter="0" w:footer="0" w:header="0"/>
          <w:type w:val="continuous"/>
        </w:sectPr>
      </w:pPr>
    </w:p>
    <w:bookmarkStart w:id="45" w:name="page46"/>
    <w:bookmarkEnd w:id="45"/>
    <w:p>
      <w:pPr>
        <w:ind w:right="2539"/>
        <w:spacing w:after="0" w:line="268" w:lineRule="auto"/>
        <w:rPr>
          <w:sz w:val="20"/>
          <w:szCs w:val="20"/>
          <w:color w:val="auto"/>
        </w:rPr>
      </w:pPr>
      <w:r>
        <w:rPr>
          <w:rFonts w:ascii="Arial" w:cs="Arial" w:eastAsia="Arial" w:hAnsi="Arial"/>
          <w:sz w:val="18"/>
          <w:szCs w:val="18"/>
          <w:color w:val="auto"/>
        </w:rPr>
        <w:t>The following table shows bad debt expense, net of recoveries, for the three-year period ended December 31, 2005: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660" w:type="dxa"/>
            <w:vAlign w:val="bottom"/>
          </w:tcPr>
          <w:p>
            <w:pPr>
              <w:jc w:val="right"/>
              <w:ind w:right="179"/>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5"/>
                <w:szCs w:val="15"/>
                <w:color w:val="auto"/>
              </w:rPr>
            </w:pPr>
          </w:p>
        </w:tc>
        <w:tc>
          <w:tcPr>
            <w:tcW w:w="800" w:type="dxa"/>
            <w:vAlign w:val="bottom"/>
          </w:tcPr>
          <w:p>
            <w:pPr>
              <w:jc w:val="right"/>
              <w:ind w:right="316"/>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600" w:type="dxa"/>
            <w:vAlign w:val="bottom"/>
          </w:tcPr>
          <w:p>
            <w:pPr>
              <w:jc w:val="right"/>
              <w:ind w:right="196"/>
              <w:spacing w:after="0"/>
              <w:rPr>
                <w:sz w:val="20"/>
                <w:szCs w:val="20"/>
                <w:color w:val="auto"/>
              </w:rPr>
            </w:pPr>
            <w:r>
              <w:rPr>
                <w:rFonts w:ascii="Arial" w:cs="Arial" w:eastAsia="Arial" w:hAnsi="Arial"/>
                <w:sz w:val="14"/>
                <w:szCs w:val="14"/>
                <w:b w:val="1"/>
                <w:bCs w:val="1"/>
                <w:color w:val="auto"/>
                <w:w w:val="96"/>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EAF9E8"/>
          </w:tcPr>
          <w:p>
            <w:pPr>
              <w:spacing w:after="0"/>
              <w:rPr>
                <w:sz w:val="20"/>
                <w:szCs w:val="20"/>
                <w:color w:val="auto"/>
              </w:rPr>
            </w:pPr>
            <w:r>
              <w:rPr>
                <w:rFonts w:ascii="Arial" w:cs="Arial" w:eastAsia="Arial" w:hAnsi="Arial"/>
                <w:sz w:val="18"/>
                <w:szCs w:val="18"/>
                <w:color w:val="auto"/>
              </w:rPr>
              <w:t>PCS subscribers</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2,265</w:t>
            </w:r>
          </w:p>
        </w:tc>
        <w:tc>
          <w:tcPr>
            <w:tcW w:w="3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AF9E8"/>
          </w:tcPr>
          <w:p>
            <w:pPr>
              <w:jc w:val="right"/>
              <w:ind w:right="76"/>
              <w:spacing w:after="0"/>
              <w:rPr>
                <w:sz w:val="20"/>
                <w:szCs w:val="20"/>
                <w:color w:val="auto"/>
              </w:rPr>
            </w:pPr>
            <w:r>
              <w:rPr>
                <w:rFonts w:ascii="Arial" w:cs="Arial" w:eastAsia="Arial" w:hAnsi="Arial"/>
                <w:sz w:val="18"/>
                <w:szCs w:val="18"/>
                <w:color w:val="auto"/>
              </w:rPr>
              <w:t>1,560</w:t>
            </w:r>
          </w:p>
        </w:tc>
        <w:tc>
          <w:tcPr>
            <w:tcW w:w="28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Interexchange carriers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AF9E8"/>
          </w:tcPr>
          <w:p>
            <w:pPr>
              <w:spacing w:after="0"/>
              <w:rPr>
                <w:sz w:val="20"/>
                <w:szCs w:val="20"/>
                <w:color w:val="auto"/>
              </w:rPr>
            </w:pPr>
            <w:r>
              <w:rPr>
                <w:rFonts w:ascii="Arial" w:cs="Arial" w:eastAsia="Arial" w:hAnsi="Arial"/>
                <w:sz w:val="18"/>
                <w:szCs w:val="18"/>
                <w:color w:val="auto"/>
              </w:rPr>
              <w:t>Other subscribers and entities</w:t>
            </w:r>
          </w:p>
        </w:tc>
        <w:tc>
          <w:tcPr>
            <w:tcW w:w="100" w:type="dxa"/>
            <w:vAlign w:val="bottom"/>
            <w:shd w:val="clear" w:color="auto" w:fill="EAF9E8"/>
          </w:tcPr>
          <w:p>
            <w:pPr>
              <w:spacing w:after="0"/>
              <w:rPr>
                <w:sz w:val="18"/>
                <w:szCs w:val="18"/>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273</w:t>
            </w:r>
          </w:p>
        </w:tc>
        <w:tc>
          <w:tcPr>
            <w:tcW w:w="32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76"/>
              <w:spacing w:after="0"/>
              <w:rPr>
                <w:sz w:val="20"/>
                <w:szCs w:val="20"/>
                <w:color w:val="auto"/>
              </w:rPr>
            </w:pPr>
            <w:r>
              <w:rPr>
                <w:rFonts w:ascii="Arial" w:cs="Arial" w:eastAsia="Arial" w:hAnsi="Arial"/>
                <w:sz w:val="18"/>
                <w:szCs w:val="18"/>
                <w:color w:val="auto"/>
              </w:rPr>
              <w:t>64</w:t>
            </w:r>
          </w:p>
        </w:tc>
        <w:tc>
          <w:tcPr>
            <w:tcW w:w="280" w:type="dxa"/>
            <w:vAlign w:val="bottom"/>
            <w:shd w:val="clear" w:color="auto" w:fill="EAF9E8"/>
          </w:tcPr>
          <w:p>
            <w:pPr>
              <w:spacing w:after="0"/>
              <w:rPr>
                <w:sz w:val="18"/>
                <w:szCs w:val="18"/>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360" w:type="dxa"/>
            <w:vAlign w:val="bottom"/>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360" w:type="dxa"/>
            <w:vAlign w:val="bottom"/>
            <w:gridSpan w:val="2"/>
          </w:tcPr>
          <w:p>
            <w:pPr>
              <w:spacing w:after="0"/>
              <w:rPr>
                <w:sz w:val="20"/>
                <w:szCs w:val="20"/>
                <w:color w:val="auto"/>
              </w:rPr>
            </w:pPr>
            <w:r>
              <w:rPr>
                <w:rFonts w:ascii="Arial" w:cs="Arial" w:eastAsia="Arial" w:hAnsi="Arial"/>
                <w:sz w:val="18"/>
                <w:szCs w:val="18"/>
                <w:color w:val="auto"/>
              </w:rPr>
              <w:t>Total bad debt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2,558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6"/>
              <w:spacing w:after="0"/>
              <w:rPr>
                <w:sz w:val="20"/>
                <w:szCs w:val="20"/>
                <w:color w:val="auto"/>
              </w:rPr>
            </w:pPr>
            <w:r>
              <w:rPr>
                <w:rFonts w:ascii="Arial" w:cs="Arial" w:eastAsia="Arial" w:hAnsi="Arial"/>
                <w:sz w:val="18"/>
                <w:szCs w:val="18"/>
                <w:color w:val="auto"/>
              </w:rPr>
              <w:t>1,553</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-20955</wp:posOffset>
            </wp:positionV>
            <wp:extent cx="4699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6990" cy="21590"/>
                    </a:xfrm>
                    <a:prstGeom prst="rect">
                      <a:avLst/>
                    </a:prstGeom>
                    <a:noFill/>
                  </pic:spPr>
                </pic:pic>
              </a:graphicData>
            </a:graphic>
          </wp:anchor>
        </w:drawing>
      </w:r>
    </w:p>
    <w:p>
      <w:pPr>
        <w:spacing w:after="0" w:line="293" w:lineRule="exact"/>
        <w:rPr>
          <w:sz w:val="20"/>
          <w:szCs w:val="20"/>
          <w:color w:val="auto"/>
        </w:rPr>
      </w:pPr>
    </w:p>
    <w:p>
      <w:pPr>
        <w:ind w:right="2879"/>
        <w:spacing w:after="0" w:line="268" w:lineRule="auto"/>
        <w:rPr>
          <w:sz w:val="20"/>
          <w:szCs w:val="20"/>
          <w:color w:val="auto"/>
        </w:rPr>
      </w:pPr>
      <w:r>
        <w:rPr>
          <w:rFonts w:ascii="Arial" w:cs="Arial" w:eastAsia="Arial" w:hAnsi="Arial"/>
          <w:sz w:val="18"/>
          <w:szCs w:val="18"/>
          <w:color w:val="auto"/>
        </w:rPr>
        <w:t>The 2005 increase in bad debt expense in “Other subscribers and entities” was primarily due to the NTC operations, which were purchased November 30, 2004.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119"/>
        <w:spacing w:after="0" w:line="294" w:lineRule="auto"/>
        <w:rPr>
          <w:sz w:val="20"/>
          <w:szCs w:val="20"/>
          <w:color w:val="auto"/>
        </w:rPr>
      </w:pPr>
      <w:r>
        <w:rPr>
          <w:rFonts w:ascii="Arial" w:cs="Arial" w:eastAsia="Arial" w:hAnsi="Arial"/>
          <w:sz w:val="16"/>
          <w:szCs w:val="16"/>
          <w:color w:val="auto"/>
        </w:rPr>
        <w:t>The Company recognizes revenue when persuasive evidence of an arrangement exists, services have been rendered or products have been delivered, the price to the buyer is fixed and determinable and collectibility is reasonably assured. Revenues are recognized by the Company based on the various types of transactions generating the revenue. For services, revenue is recognized as the services are performed. For equipment sales, revenue is recognized when the sales transaction is complete.</w:t>
      </w:r>
    </w:p>
    <w:p>
      <w:pPr>
        <w:spacing w:after="0" w:line="170" w:lineRule="exact"/>
        <w:rPr>
          <w:sz w:val="20"/>
          <w:szCs w:val="20"/>
          <w:color w:val="auto"/>
        </w:rPr>
      </w:pPr>
    </w:p>
    <w:p>
      <w:pPr>
        <w:ind w:right="2119"/>
        <w:spacing w:after="0" w:line="304" w:lineRule="auto"/>
        <w:rPr>
          <w:sz w:val="20"/>
          <w:szCs w:val="20"/>
          <w:color w:val="auto"/>
        </w:rPr>
      </w:pPr>
      <w:r>
        <w:rPr>
          <w:rFonts w:ascii="Arial" w:cs="Arial" w:eastAsia="Arial" w:hAnsi="Arial"/>
          <w:sz w:val="15"/>
          <w:szCs w:val="15"/>
          <w:color w:val="auto"/>
        </w:rPr>
        <w:t>Nonrefundable PCS activation fees and the portion of the activation costs deemed to be direct costs of acquiring new customers (primarily activation costs and credit analysis costs) are deferred and recognized ratably over the estimated life of the customer relationship of 30 months in accordance with the Securities and Exchange Commission’s Staff Accounting Bulletin (“SAB”) No. 104. Effective July 1, 2003, the Company adopted Emerging Issues Task Force (“EITF”) No. 00-21, “Accounting for Revenue Arrangements with Multiple Element Deliverables.” The EITF guidance addresses how to account for arrangements that may involve multiple revenue-generating activities, i.e., the delivery or performance of multiple products, services, and/or rights to use assets. In applying this guidance, separate contracts with the same party, entered into at or near the same time, are presumed to be a bundled transaction, and the consideration is measured and allocated to the separate units based on their relative fair values. The adoption of EITF 00-21 has required evaluation of each arrangement entered into by the Company for each sales channel. The Company will continue to monitor arrangements with its sales channels to determine if any changes in revenue recognition would need to be made in the future. The adoption of EITF 00-21 has resulted in substantially all of the activation fee revenue generated from Company-owned retail stores and associated direct costs being recognized at the time the related wireless handset is sold and is classified as equipment revenue and cost of goods and services, respectively. Upon adoption of EITF 00-21, previously deferred revenues and costs continue to be amortized over the remaining estimated life of a subscriber, not to exceed 30 months. Revenue and costs for activations at other retail locations continue to be deferred and amortized over their estimated lives as prescribed by SAB 104. The adoption of EITF 00-21 had the effect of increasing equipment revenue by $68 thousand and increasing costs of activation by $23 thousand in the year ended December 31, 2003, which otherwise would have been deferred and amortized. The amounts of deferred revenue under SAB 104 at December 31, 2005, 2004 and 2003 were $0.6 million, $0.8 million and $1.2 million, respectively. The deferred costs at December 31, 2005, 2004 and 2003 were $0.2 million, $0.3 million and $0.4 million, respectively.</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119"/>
        <w:spacing w:after="0" w:line="285"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evaluates the recoverability of deferred tax assets generated on a state-by-state basis from net operating losses apportioned to that state. Management uses a more likely than not threshold to make that determination if a valuation allowance is warranted for tax assets in each state. As a result of the evaluation of the tax assets, the Company has established a valuation allowance against the tax assets. For 2005, the Company’s valuation allowance decreased $0.7 million due to the improved operating performance of the Company’s PCS segment. The valuation allowance has been eliminated as of December 31, 2005. Management will evaluate the effective rate of taxes based on apportionment factors, the Company’s operating results, and the various state income tax rates. Currently, management anticipates that the future effective income tax rate will be approximately 39%.</w:t>
      </w:r>
    </w:p>
    <w:p>
      <w:pPr>
        <w:sectPr>
          <w:pgSz w:w="11900" w:h="16838" w:orient="portrait"/>
          <w:cols w:equalWidth="0" w:num="1">
            <w:col w:w="10219"/>
          </w:cols>
          <w:pgMar w:left="240" w:top="590" w:right="1440" w:bottom="1440" w:gutter="0" w:footer="0" w:header="0"/>
        </w:sectPr>
      </w:pPr>
    </w:p>
    <w:p>
      <w:pPr>
        <w:spacing w:after="0" w:line="182"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5166995" cy="469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90" w:right="1440"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2139"/>
        <w:spacing w:after="0" w:line="290" w:lineRule="auto"/>
        <w:rPr>
          <w:sz w:val="20"/>
          <w:szCs w:val="20"/>
          <w:color w:val="auto"/>
        </w:rPr>
      </w:pPr>
      <w:r>
        <w:rPr>
          <w:rFonts w:ascii="Arial" w:cs="Arial" w:eastAsia="Arial" w:hAnsi="Arial"/>
          <w:sz w:val="16"/>
          <w:szCs w:val="16"/>
          <w:color w:val="auto"/>
        </w:rPr>
        <w:t>The Company accounts for operating leases following the guidance of SFAS No. 13, “Accounting for Leases,” and FASB Technical Bulletin No. 85-3, “Accounting for Operating Leases with Scheduled Rent Increases.” In light of the Company’s investment in each site, including acquisition costs and leasehold improvements, the Company includes the exercise of certain renewal options in the recording of operating leases. The Company recognizes rent expense on a straight-line basis over the initial lease term and renewal periods that are reasonably assured at the inception of the lease. Where the Company is the lessor, the Company recognizes revenue on a straight line basis over the non-cancelable term of the lease.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right="2779"/>
        <w:spacing w:after="0" w:line="259" w:lineRule="auto"/>
        <w:rPr>
          <w:sz w:val="20"/>
          <w:szCs w:val="20"/>
          <w:color w:val="auto"/>
        </w:rPr>
      </w:pPr>
      <w:r>
        <w:rPr>
          <w:rFonts w:ascii="Arial" w:cs="Arial" w:eastAsia="Arial" w:hAnsi="Arial"/>
          <w:sz w:val="18"/>
          <w:szCs w:val="18"/>
          <w:color w:val="auto"/>
        </w:rPr>
        <w:t>The Company does not have any unrecorded off-balance sheet transactions or arrangements, however, the Company has commitments under operating leases and is subject to certain capital calls under one of its investments.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Compared to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31" w:lineRule="exact"/>
        <w:rPr>
          <w:sz w:val="20"/>
          <w:szCs w:val="20"/>
          <w:color w:val="auto"/>
        </w:rPr>
      </w:pPr>
    </w:p>
    <w:p>
      <w:pPr>
        <w:ind w:right="2319"/>
        <w:spacing w:after="0" w:line="294" w:lineRule="auto"/>
        <w:rPr>
          <w:sz w:val="20"/>
          <w:szCs w:val="20"/>
          <w:color w:val="auto"/>
        </w:rPr>
      </w:pPr>
      <w:r>
        <w:rPr>
          <w:rFonts w:ascii="Arial" w:cs="Arial" w:eastAsia="Arial" w:hAnsi="Arial"/>
          <w:sz w:val="16"/>
          <w:szCs w:val="16"/>
          <w:color w:val="auto"/>
        </w:rPr>
        <w:t>The results for the year ended December 31, 2004 have been restated to reflect the correction of certain errors in the Company’s accounting for operating leases. See Note 2 to the consolidated financial statements appearing elsewhere in this report for additional information. The effect of these restatements was to increase operating revenues by $20 thousand and costs of goods and services by $382 thousand and to decrease the income tax provision by $157 thousand and net income by $205 thousand.</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The Company’s consolidated results for the years ended December 31, 2005 and 2004 are summarized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3"/>
          </w:tcPr>
          <w:p>
            <w:pPr>
              <w:jc w:val="right"/>
              <w:ind w:right="717"/>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4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3"/>
          </w:tcPr>
          <w:p>
            <w:pPr>
              <w:jc w:val="right"/>
              <w:ind w:right="657"/>
              <w:spacing w:after="0" w:line="149" w:lineRule="exact"/>
              <w:rPr>
                <w:sz w:val="20"/>
                <w:szCs w:val="20"/>
                <w:color w:val="auto"/>
              </w:rPr>
            </w:pPr>
            <w:r>
              <w:rPr>
                <w:rFonts w:ascii="Arial" w:cs="Arial" w:eastAsia="Arial" w:hAnsi="Arial"/>
                <w:sz w:val="14"/>
                <w:szCs w:val="14"/>
                <w:b w:val="1"/>
                <w:bCs w:val="1"/>
                <w:color w:val="auto"/>
              </w:rPr>
              <w:t>December 31,</w:t>
            </w:r>
          </w:p>
        </w:tc>
        <w:tc>
          <w:tcPr>
            <w:tcW w:w="10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4"/>
        </w:trPr>
        <w:tc>
          <w:tcPr>
            <w:tcW w:w="44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800" w:type="dxa"/>
            <w:vAlign w:val="bottom"/>
          </w:tcPr>
          <w:p>
            <w:pPr>
              <w:jc w:val="right"/>
              <w:ind w:right="339"/>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860" w:type="dxa"/>
            <w:vAlign w:val="bottom"/>
          </w:tcPr>
          <w:p>
            <w:pPr>
              <w:jc w:val="right"/>
              <w:ind w:right="397"/>
              <w:spacing w:after="0"/>
              <w:rPr>
                <w:sz w:val="20"/>
                <w:szCs w:val="20"/>
                <w:color w:val="auto"/>
              </w:rPr>
            </w:pPr>
            <w:r>
              <w:rPr>
                <w:rFonts w:ascii="Arial" w:cs="Arial" w:eastAsia="Arial" w:hAnsi="Arial"/>
                <w:sz w:val="14"/>
                <w:szCs w:val="14"/>
                <w:b w:val="1"/>
                <w:bCs w:val="1"/>
                <w:color w:val="auto"/>
              </w:rPr>
              <w:t>2004</w:t>
            </w:r>
          </w:p>
        </w:tc>
        <w:tc>
          <w:tcPr>
            <w:tcW w:w="1080" w:type="dxa"/>
            <w:vAlign w:val="bottom"/>
          </w:tcPr>
          <w:p>
            <w:pPr>
              <w:jc w:val="right"/>
              <w:ind w:right="637"/>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255"/>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r>
      <w:tr>
        <w:trPr>
          <w:trHeight w:val="95"/>
        </w:trPr>
        <w:tc>
          <w:tcPr>
            <w:tcW w:w="44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250"/>
        </w:trPr>
        <w:tc>
          <w:tcPr>
            <w:tcW w:w="4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177"/>
              <w:spacing w:after="0"/>
              <w:rPr>
                <w:sz w:val="20"/>
                <w:szCs w:val="20"/>
                <w:color w:val="auto"/>
              </w:rPr>
            </w:pPr>
            <w:r>
              <w:rPr>
                <w:rFonts w:ascii="Arial" w:cs="Arial" w:eastAsia="Arial" w:hAnsi="Arial"/>
                <w:sz w:val="14"/>
                <w:szCs w:val="14"/>
                <w:b w:val="1"/>
                <w:bCs w:val="1"/>
                <w:color w:val="auto"/>
                <w:w w:val="84"/>
              </w:rPr>
              <w:t>(Restated)</w:t>
            </w: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4460" w:type="dxa"/>
            <w:vAlign w:val="bottom"/>
            <w:shd w:val="clear" w:color="auto" w:fill="EAF9E8"/>
          </w:tcPr>
          <w:p>
            <w:pPr>
              <w:spacing w:after="0"/>
              <w:rPr>
                <w:sz w:val="20"/>
                <w:szCs w:val="20"/>
                <w:color w:val="auto"/>
              </w:rPr>
            </w:pPr>
            <w:r>
              <w:rPr>
                <w:rFonts w:ascii="Arial" w:cs="Arial" w:eastAsia="Arial" w:hAnsi="Arial"/>
                <w:sz w:val="18"/>
                <w:szCs w:val="18"/>
                <w:color w:val="auto"/>
              </w:rPr>
              <w:t>Operating revenues</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AF9E8"/>
          </w:tcPr>
          <w:p>
            <w:pPr>
              <w:jc w:val="right"/>
              <w:ind w:right="79"/>
              <w:spacing w:after="0"/>
              <w:rPr>
                <w:sz w:val="20"/>
                <w:szCs w:val="20"/>
                <w:color w:val="auto"/>
              </w:rPr>
            </w:pPr>
            <w:r>
              <w:rPr>
                <w:rFonts w:ascii="Arial" w:cs="Arial" w:eastAsia="Arial" w:hAnsi="Arial"/>
                <w:sz w:val="18"/>
                <w:szCs w:val="18"/>
                <w:color w:val="auto"/>
                <w:w w:val="95"/>
              </w:rPr>
              <w:t>146,391</w:t>
            </w:r>
          </w:p>
        </w:tc>
        <w:tc>
          <w:tcPr>
            <w:tcW w:w="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AF9E8"/>
          </w:tcPr>
          <w:p>
            <w:pPr>
              <w:jc w:val="right"/>
              <w:ind w:right="177"/>
              <w:spacing w:after="0"/>
              <w:rPr>
                <w:sz w:val="20"/>
                <w:szCs w:val="20"/>
                <w:color w:val="auto"/>
              </w:rPr>
            </w:pPr>
            <w:r>
              <w:rPr>
                <w:rFonts w:ascii="Arial" w:cs="Arial" w:eastAsia="Arial" w:hAnsi="Arial"/>
                <w:sz w:val="18"/>
                <w:szCs w:val="18"/>
                <w:color w:val="auto"/>
                <w:w w:val="89"/>
              </w:rPr>
              <w:t>120,994</w:t>
            </w:r>
          </w:p>
        </w:tc>
        <w:tc>
          <w:tcPr>
            <w:tcW w:w="1080" w:type="dxa"/>
            <w:vAlign w:val="bottom"/>
            <w:shd w:val="clear" w:color="auto" w:fill="EAF9E8"/>
          </w:tcPr>
          <w:p>
            <w:pPr>
              <w:jc w:val="right"/>
              <w:ind w:right="317"/>
              <w:spacing w:after="0"/>
              <w:rPr>
                <w:sz w:val="20"/>
                <w:szCs w:val="20"/>
                <w:color w:val="auto"/>
              </w:rPr>
            </w:pPr>
            <w:r>
              <w:rPr>
                <w:rFonts w:ascii="Arial" w:cs="Arial" w:eastAsia="Arial" w:hAnsi="Arial"/>
                <w:sz w:val="18"/>
                <w:szCs w:val="18"/>
                <w:color w:val="auto"/>
              </w:rPr>
              <w:t>25,397</w:t>
            </w:r>
          </w:p>
        </w:tc>
        <w:tc>
          <w:tcPr>
            <w:tcW w:w="580" w:type="dxa"/>
            <w:vAlign w:val="bottom"/>
            <w:shd w:val="clear" w:color="auto" w:fill="EAF9E8"/>
          </w:tcPr>
          <w:p>
            <w:pPr>
              <w:jc w:val="right"/>
              <w:ind w:right="15"/>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Arial" w:cs="Arial" w:eastAsia="Arial" w:hAnsi="Arial"/>
                <w:sz w:val="18"/>
                <w:szCs w:val="18"/>
                <w:color w:val="auto"/>
                <w:w w:val="95"/>
              </w:rPr>
              <w:t>127,015</w:t>
            </w:r>
          </w:p>
        </w:tc>
        <w:tc>
          <w:tcPr>
            <w:tcW w:w="200" w:type="dxa"/>
            <w:vAlign w:val="bottom"/>
          </w:tcPr>
          <w:p>
            <w:pPr>
              <w:spacing w:after="0"/>
              <w:rPr>
                <w:sz w:val="18"/>
                <w:szCs w:val="18"/>
                <w:color w:val="auto"/>
              </w:rPr>
            </w:pPr>
          </w:p>
        </w:tc>
        <w:tc>
          <w:tcPr>
            <w:tcW w:w="860" w:type="dxa"/>
            <w:vAlign w:val="bottom"/>
          </w:tcPr>
          <w:p>
            <w:pPr>
              <w:jc w:val="right"/>
              <w:ind w:right="177"/>
              <w:spacing w:after="0"/>
              <w:rPr>
                <w:sz w:val="20"/>
                <w:szCs w:val="20"/>
                <w:color w:val="auto"/>
              </w:rPr>
            </w:pPr>
            <w:r>
              <w:rPr>
                <w:rFonts w:ascii="Arial" w:cs="Arial" w:eastAsia="Arial" w:hAnsi="Arial"/>
                <w:sz w:val="18"/>
                <w:szCs w:val="18"/>
                <w:color w:val="auto"/>
                <w:w w:val="89"/>
              </w:rPr>
              <w:t>102,983</w:t>
            </w:r>
          </w:p>
        </w:tc>
        <w:tc>
          <w:tcPr>
            <w:tcW w:w="1080" w:type="dxa"/>
            <w:vAlign w:val="bottom"/>
          </w:tcPr>
          <w:p>
            <w:pPr>
              <w:jc w:val="right"/>
              <w:ind w:right="317"/>
              <w:spacing w:after="0"/>
              <w:rPr>
                <w:sz w:val="20"/>
                <w:szCs w:val="20"/>
                <w:color w:val="auto"/>
              </w:rPr>
            </w:pPr>
            <w:r>
              <w:rPr>
                <w:rFonts w:ascii="Arial" w:cs="Arial" w:eastAsia="Arial" w:hAnsi="Arial"/>
                <w:sz w:val="18"/>
                <w:szCs w:val="18"/>
                <w:color w:val="auto"/>
              </w:rPr>
              <w:t>24,032</w:t>
            </w: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18"/>
                <w:szCs w:val="18"/>
                <w:color w:val="auto"/>
              </w:rPr>
            </w:pPr>
          </w:p>
        </w:tc>
      </w:tr>
      <w:tr>
        <w:trPr>
          <w:trHeight w:val="216"/>
        </w:trPr>
        <w:tc>
          <w:tcPr>
            <w:tcW w:w="4460" w:type="dxa"/>
            <w:vAlign w:val="bottom"/>
            <w:shd w:val="clear" w:color="auto" w:fill="EAF9E8"/>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79"/>
              <w:spacing w:after="0"/>
              <w:rPr>
                <w:sz w:val="20"/>
                <w:szCs w:val="20"/>
                <w:color w:val="auto"/>
              </w:rPr>
            </w:pPr>
            <w:r>
              <w:rPr>
                <w:rFonts w:ascii="Arial" w:cs="Arial" w:eastAsia="Arial" w:hAnsi="Arial"/>
                <w:sz w:val="18"/>
                <w:szCs w:val="18"/>
                <w:color w:val="auto"/>
              </w:rPr>
              <w:t>19,376</w:t>
            </w:r>
          </w:p>
        </w:tc>
        <w:tc>
          <w:tcPr>
            <w:tcW w:w="20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177"/>
              <w:spacing w:after="0"/>
              <w:rPr>
                <w:sz w:val="20"/>
                <w:szCs w:val="20"/>
                <w:color w:val="auto"/>
              </w:rPr>
            </w:pPr>
            <w:r>
              <w:rPr>
                <w:rFonts w:ascii="Arial" w:cs="Arial" w:eastAsia="Arial" w:hAnsi="Arial"/>
                <w:sz w:val="18"/>
                <w:szCs w:val="18"/>
                <w:color w:val="auto"/>
              </w:rPr>
              <w:t>18,011</w:t>
            </w:r>
          </w:p>
        </w:tc>
        <w:tc>
          <w:tcPr>
            <w:tcW w:w="1080" w:type="dxa"/>
            <w:vAlign w:val="bottom"/>
            <w:shd w:val="clear" w:color="auto" w:fill="EAF9E8"/>
          </w:tcPr>
          <w:p>
            <w:pPr>
              <w:jc w:val="right"/>
              <w:ind w:right="317"/>
              <w:spacing w:after="0"/>
              <w:rPr>
                <w:sz w:val="20"/>
                <w:szCs w:val="20"/>
                <w:color w:val="auto"/>
              </w:rPr>
            </w:pPr>
            <w:r>
              <w:rPr>
                <w:rFonts w:ascii="Arial" w:cs="Arial" w:eastAsia="Arial" w:hAnsi="Arial"/>
                <w:sz w:val="18"/>
                <w:szCs w:val="18"/>
                <w:color w:val="auto"/>
              </w:rPr>
              <w:t>1,365</w:t>
            </w:r>
          </w:p>
        </w:tc>
        <w:tc>
          <w:tcPr>
            <w:tcW w:w="580" w:type="dxa"/>
            <w:vAlign w:val="bottom"/>
            <w:shd w:val="clear" w:color="auto" w:fill="EAF9E8"/>
          </w:tcPr>
          <w:p>
            <w:pPr>
              <w:jc w:val="right"/>
              <w:ind w:right="15"/>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8"/>
                <w:szCs w:val="18"/>
                <w:color w:val="auto"/>
              </w:rPr>
              <w:t>(1,925)</w:t>
            </w:r>
          </w:p>
        </w:tc>
        <w:tc>
          <w:tcPr>
            <w:tcW w:w="200" w:type="dxa"/>
            <w:vAlign w:val="bottom"/>
          </w:tcPr>
          <w:p>
            <w:pPr>
              <w:spacing w:after="0"/>
              <w:rPr>
                <w:sz w:val="18"/>
                <w:szCs w:val="18"/>
                <w:color w:val="auto"/>
              </w:rPr>
            </w:pPr>
          </w:p>
        </w:tc>
        <w:tc>
          <w:tcPr>
            <w:tcW w:w="860" w:type="dxa"/>
            <w:vAlign w:val="bottom"/>
          </w:tcPr>
          <w:p>
            <w:pPr>
              <w:jc w:val="right"/>
              <w:ind w:right="117"/>
              <w:spacing w:after="0"/>
              <w:rPr>
                <w:sz w:val="20"/>
                <w:szCs w:val="20"/>
                <w:color w:val="auto"/>
              </w:rPr>
            </w:pPr>
            <w:r>
              <w:rPr>
                <w:rFonts w:ascii="Arial" w:cs="Arial" w:eastAsia="Arial" w:hAnsi="Arial"/>
                <w:sz w:val="18"/>
                <w:szCs w:val="18"/>
                <w:color w:val="auto"/>
              </w:rPr>
              <w:t>(2,052)</w:t>
            </w:r>
          </w:p>
        </w:tc>
        <w:tc>
          <w:tcPr>
            <w:tcW w:w="1080" w:type="dxa"/>
            <w:vAlign w:val="bottom"/>
          </w:tcPr>
          <w:p>
            <w:pPr>
              <w:jc w:val="right"/>
              <w:ind w:right="257"/>
              <w:spacing w:after="0"/>
              <w:rPr>
                <w:sz w:val="20"/>
                <w:szCs w:val="20"/>
                <w:color w:val="auto"/>
              </w:rPr>
            </w:pPr>
            <w:r>
              <w:rPr>
                <w:rFonts w:ascii="Arial" w:cs="Arial" w:eastAsia="Arial" w:hAnsi="Arial"/>
                <w:sz w:val="18"/>
                <w:szCs w:val="18"/>
                <w:color w:val="auto"/>
              </w:rPr>
              <w:t>(127)</w:t>
            </w:r>
          </w:p>
        </w:tc>
        <w:tc>
          <w:tcPr>
            <w:tcW w:w="58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r>
      <w:tr>
        <w:trPr>
          <w:trHeight w:val="216"/>
        </w:trPr>
        <w:tc>
          <w:tcPr>
            <w:tcW w:w="4460" w:type="dxa"/>
            <w:vAlign w:val="bottom"/>
            <w:shd w:val="clear" w:color="auto" w:fill="EAF9E8"/>
          </w:tcPr>
          <w:p>
            <w:pPr>
              <w:spacing w:after="0"/>
              <w:rPr>
                <w:sz w:val="20"/>
                <w:szCs w:val="20"/>
                <w:color w:val="auto"/>
              </w:rPr>
            </w:pPr>
            <w:r>
              <w:rPr>
                <w:rFonts w:ascii="Arial" w:cs="Arial" w:eastAsia="Arial" w:hAnsi="Arial"/>
                <w:sz w:val="18"/>
                <w:szCs w:val="18"/>
                <w:color w:val="auto"/>
              </w:rPr>
              <w:t>Income tax provision</w:t>
            </w:r>
          </w:p>
        </w:tc>
        <w:tc>
          <w:tcPr>
            <w:tcW w:w="1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79"/>
              <w:spacing w:after="0"/>
              <w:rPr>
                <w:sz w:val="20"/>
                <w:szCs w:val="20"/>
                <w:color w:val="auto"/>
              </w:rPr>
            </w:pPr>
            <w:r>
              <w:rPr>
                <w:rFonts w:ascii="Arial" w:cs="Arial" w:eastAsia="Arial" w:hAnsi="Arial"/>
                <w:sz w:val="18"/>
                <w:szCs w:val="18"/>
                <w:color w:val="auto"/>
              </w:rPr>
              <w:t>6,716</w:t>
            </w:r>
          </w:p>
        </w:tc>
        <w:tc>
          <w:tcPr>
            <w:tcW w:w="20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177"/>
              <w:spacing w:after="0"/>
              <w:rPr>
                <w:sz w:val="20"/>
                <w:szCs w:val="20"/>
                <w:color w:val="auto"/>
              </w:rPr>
            </w:pPr>
            <w:r>
              <w:rPr>
                <w:rFonts w:ascii="Arial" w:cs="Arial" w:eastAsia="Arial" w:hAnsi="Arial"/>
                <w:sz w:val="18"/>
                <w:szCs w:val="18"/>
                <w:color w:val="auto"/>
              </w:rPr>
              <w:t>5,921</w:t>
            </w:r>
          </w:p>
        </w:tc>
        <w:tc>
          <w:tcPr>
            <w:tcW w:w="1080" w:type="dxa"/>
            <w:vAlign w:val="bottom"/>
            <w:shd w:val="clear" w:color="auto" w:fill="EAF9E8"/>
          </w:tcPr>
          <w:p>
            <w:pPr>
              <w:jc w:val="right"/>
              <w:ind w:right="317"/>
              <w:spacing w:after="0"/>
              <w:rPr>
                <w:sz w:val="20"/>
                <w:szCs w:val="20"/>
                <w:color w:val="auto"/>
              </w:rPr>
            </w:pPr>
            <w:r>
              <w:rPr>
                <w:rFonts w:ascii="Arial" w:cs="Arial" w:eastAsia="Arial" w:hAnsi="Arial"/>
                <w:sz w:val="18"/>
                <w:szCs w:val="18"/>
                <w:color w:val="auto"/>
              </w:rPr>
              <w:t>795</w:t>
            </w:r>
          </w:p>
        </w:tc>
        <w:tc>
          <w:tcPr>
            <w:tcW w:w="580" w:type="dxa"/>
            <w:vAlign w:val="bottom"/>
            <w:shd w:val="clear" w:color="auto" w:fill="EAF9E8"/>
          </w:tcPr>
          <w:p>
            <w:pPr>
              <w:jc w:val="right"/>
              <w:ind w:right="15"/>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8"/>
                <w:szCs w:val="18"/>
                <w:color w:val="auto"/>
              </w:rPr>
            </w:pPr>
          </w:p>
        </w:tc>
      </w:t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79"/>
              <w:spacing w:after="0"/>
              <w:rPr>
                <w:sz w:val="20"/>
                <w:szCs w:val="20"/>
                <w:color w:val="auto"/>
              </w:rPr>
            </w:pPr>
            <w:r>
              <w:rPr>
                <w:rFonts w:ascii="Arial" w:cs="Arial" w:eastAsia="Arial" w:hAnsi="Arial"/>
                <w:sz w:val="18"/>
                <w:szCs w:val="18"/>
                <w:color w:val="auto"/>
              </w:rPr>
              <w:t>10,735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7"/>
              <w:spacing w:after="0"/>
              <w:rPr>
                <w:sz w:val="20"/>
                <w:szCs w:val="20"/>
                <w:color w:val="auto"/>
              </w:rPr>
            </w:pPr>
            <w:r>
              <w:rPr>
                <w:rFonts w:ascii="Arial" w:cs="Arial" w:eastAsia="Arial" w:hAnsi="Arial"/>
                <w:sz w:val="18"/>
                <w:szCs w:val="18"/>
                <w:color w:val="auto"/>
              </w:rPr>
              <w:t>10,038</w:t>
            </w:r>
          </w:p>
        </w:tc>
        <w:tc>
          <w:tcPr>
            <w:tcW w:w="1080" w:type="dxa"/>
            <w:vAlign w:val="bottom"/>
          </w:tcPr>
          <w:p>
            <w:pPr>
              <w:jc w:val="right"/>
              <w:ind w:right="317"/>
              <w:spacing w:after="0"/>
              <w:rPr>
                <w:sz w:val="20"/>
                <w:szCs w:val="20"/>
                <w:color w:val="auto"/>
              </w:rPr>
            </w:pPr>
            <w:r>
              <w:rPr>
                <w:rFonts w:ascii="Arial" w:cs="Arial" w:eastAsia="Arial" w:hAnsi="Arial"/>
                <w:sz w:val="18"/>
                <w:szCs w:val="18"/>
                <w:color w:val="auto"/>
              </w:rPr>
              <w:t>697</w:t>
            </w: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9"/>
                <w:szCs w:val="19"/>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31" w:lineRule="exact"/>
        <w:rPr>
          <w:sz w:val="20"/>
          <w:szCs w:val="20"/>
          <w:color w:val="auto"/>
        </w:rPr>
      </w:pPr>
    </w:p>
    <w:p>
      <w:pPr>
        <w:ind w:right="2219"/>
        <w:spacing w:after="0" w:line="294" w:lineRule="auto"/>
        <w:rPr>
          <w:sz w:val="20"/>
          <w:szCs w:val="20"/>
          <w:color w:val="auto"/>
        </w:rPr>
      </w:pPr>
      <w:r>
        <w:rPr>
          <w:rFonts w:ascii="Arial" w:cs="Arial" w:eastAsia="Arial" w:hAnsi="Arial"/>
          <w:sz w:val="16"/>
          <w:szCs w:val="16"/>
          <w:color w:val="auto"/>
        </w:rPr>
        <w:t>For the year ended December 31, 2005, operating revenue increased $25.4 million, or 21.0%, primarily due to the growth in the Company’s PCS and Converged Services segments. For the year ended December 31, 2005, PCS operating revenues increased $14.3 million, or 17.8%, and Converged Services operating revenues increased $9.0 million, compared to 2004. One month of Converged Services results are included in 2004 following the Company’s acquisition of NTC Communications on November 30, 2004.</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1" w:lineRule="exact"/>
        <w:rPr>
          <w:sz w:val="20"/>
          <w:szCs w:val="20"/>
          <w:color w:val="auto"/>
        </w:rPr>
      </w:pPr>
    </w:p>
    <w:p>
      <w:pPr>
        <w:ind w:right="2119"/>
        <w:spacing w:after="0" w:line="289" w:lineRule="auto"/>
        <w:rPr>
          <w:sz w:val="20"/>
          <w:szCs w:val="20"/>
          <w:color w:val="auto"/>
        </w:rPr>
      </w:pPr>
      <w:r>
        <w:rPr>
          <w:rFonts w:ascii="Arial" w:cs="Arial" w:eastAsia="Arial" w:hAnsi="Arial"/>
          <w:sz w:val="16"/>
          <w:szCs w:val="16"/>
          <w:color w:val="auto"/>
        </w:rPr>
        <w:t>For the year ended December 31, 2005, operating expenses increased $24.0 million, or 23.3%, primarily due to the growth in the Company’s PCS and Converged Services segments. For the year ended December 31, 2005, PCS operating expenses increased $10.7 million, or 14.5%, and Converged Services operating expenses increased $12.8 million, compared to 2004, which only included one month Converged Services operating expenses. Due to the significant increase in the share price of the Company’s common stock in 2005, the Company recorded an increase of $1.1 million in compensation expense related to the Stock Appreciation Rights (“SARs”) held by employees. The increase in operating expenses was offset in part by the Company’s receipt of $0.8 million for the settlement of a claim</w:t>
      </w:r>
    </w:p>
    <w:p>
      <w:pPr>
        <w:sectPr>
          <w:pgSz w:w="11900" w:h="16838" w:orient="portrait"/>
          <w:cols w:equalWidth="0" w:num="1">
            <w:col w:w="10219"/>
          </w:cols>
          <w:pgMar w:left="240" w:top="590" w:right="1440" w:bottom="1440" w:gutter="0" w:footer="0" w:header="0"/>
        </w:sectPr>
      </w:pPr>
    </w:p>
    <w:p>
      <w:pPr>
        <w:spacing w:after="0" w:line="172"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5166995" cy="469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90" w:right="1440" w:bottom="1440" w:gutter="0" w:footer="0" w:header="0"/>
          <w:type w:val="continuous"/>
        </w:sectPr>
      </w:pPr>
    </w:p>
    <w:bookmarkStart w:id="47" w:name="page48"/>
    <w:bookmarkEnd w:id="47"/>
    <w:p>
      <w:pPr>
        <w:ind w:right="2699"/>
        <w:spacing w:after="0" w:line="268" w:lineRule="auto"/>
        <w:rPr>
          <w:sz w:val="20"/>
          <w:szCs w:val="20"/>
          <w:color w:val="auto"/>
        </w:rPr>
      </w:pPr>
      <w:r>
        <w:rPr>
          <w:rFonts w:ascii="Arial" w:cs="Arial" w:eastAsia="Arial" w:hAnsi="Arial"/>
          <w:sz w:val="18"/>
          <w:szCs w:val="18"/>
          <w:color w:val="auto"/>
        </w:rPr>
        <w:t>against Verizon. See Note 18 to the consolidated financial statements appearing elsewhere in this report for additional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31" w:lineRule="exact"/>
        <w:rPr>
          <w:sz w:val="20"/>
          <w:szCs w:val="20"/>
          <w:color w:val="auto"/>
        </w:rPr>
      </w:pPr>
    </w:p>
    <w:p>
      <w:pPr>
        <w:jc w:val="both"/>
        <w:ind w:right="2219"/>
        <w:spacing w:after="0" w:line="306" w:lineRule="auto"/>
        <w:rPr>
          <w:sz w:val="20"/>
          <w:szCs w:val="20"/>
          <w:color w:val="auto"/>
        </w:rPr>
      </w:pPr>
      <w:r>
        <w:rPr>
          <w:rFonts w:ascii="Arial" w:cs="Arial" w:eastAsia="Arial" w:hAnsi="Arial"/>
          <w:sz w:val="16"/>
          <w:szCs w:val="16"/>
          <w:color w:val="auto"/>
        </w:rPr>
        <w:t>The restatement discussed in Note 2 to the consolidated financial statements appearing elsewhere in this report, is reflected in those segments affected by the restatement, which are the PCS segment and the Mobile segment. The other segments, Telephone, Converged Services, Holding and other were not affected by the restatement.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PCS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3"/>
          </w:tcPr>
          <w:p>
            <w:pPr>
              <w:jc w:val="right"/>
              <w:ind w:right="394"/>
              <w:spacing w:after="0"/>
              <w:rPr>
                <w:sz w:val="20"/>
                <w:szCs w:val="20"/>
                <w:color w:val="auto"/>
              </w:rPr>
            </w:pPr>
            <w:r>
              <w:rPr>
                <w:rFonts w:ascii="Arial" w:cs="Arial" w:eastAsia="Arial" w:hAnsi="Arial"/>
                <w:sz w:val="14"/>
                <w:szCs w:val="14"/>
                <w:b w:val="1"/>
                <w:bCs w:val="1"/>
                <w:color w:val="auto"/>
              </w:rPr>
              <w:t>Year Ended</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3"/>
          </w:tcPr>
          <w:p>
            <w:pPr>
              <w:jc w:val="right"/>
              <w:ind w:right="334"/>
              <w:spacing w:after="0" w:line="149" w:lineRule="exact"/>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Change</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2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580" w:type="dxa"/>
            <w:vAlign w:val="bottom"/>
          </w:tcPr>
          <w:p>
            <w:pPr>
              <w:jc w:val="right"/>
              <w:ind w:right="157"/>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880" w:type="dxa"/>
            <w:vAlign w:val="bottom"/>
          </w:tcPr>
          <w:p>
            <w:pPr>
              <w:jc w:val="right"/>
              <w:ind w:right="576"/>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214"/>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(Restated)</w:t>
            </w: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EAF9E8"/>
          </w:tcPr>
          <w:p>
            <w:pPr>
              <w:spacing w:after="0"/>
              <w:rPr>
                <w:sz w:val="20"/>
                <w:szCs w:val="20"/>
                <w:color w:val="auto"/>
              </w:rPr>
            </w:pPr>
            <w:r>
              <w:rPr>
                <w:rFonts w:ascii="Arial" w:cs="Arial" w:eastAsia="Arial" w:hAnsi="Arial"/>
                <w:sz w:val="18"/>
                <w:szCs w:val="18"/>
                <w:color w:val="auto"/>
              </w:rPr>
              <w:t>Segment operating revenues</w:t>
            </w:r>
          </w:p>
        </w:tc>
        <w:tc>
          <w:tcPr>
            <w:tcW w:w="16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rPr>
              <w:t>Wireless service revenue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61,606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52,724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6"/>
              <w:spacing w:after="0"/>
              <w:rPr>
                <w:sz w:val="20"/>
                <w:szCs w:val="20"/>
                <w:color w:val="auto"/>
              </w:rPr>
            </w:pPr>
            <w:r>
              <w:rPr>
                <w:rFonts w:ascii="Arial" w:cs="Arial" w:eastAsia="Arial" w:hAnsi="Arial"/>
                <w:sz w:val="18"/>
                <w:szCs w:val="18"/>
                <w:color w:val="auto"/>
              </w:rPr>
              <w:t>8,882</w:t>
            </w:r>
          </w:p>
        </w:tc>
        <w:tc>
          <w:tcPr>
            <w:tcW w:w="500" w:type="dxa"/>
            <w:vAlign w:val="bottom"/>
          </w:tcPr>
          <w:p>
            <w:pPr>
              <w:jc w:val="right"/>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Travel and roaming revenue</w:t>
            </w:r>
          </w:p>
        </w:tc>
        <w:tc>
          <w:tcPr>
            <w:tcW w:w="160" w:type="dxa"/>
            <w:vAlign w:val="bottom"/>
            <w:shd w:val="clear" w:color="auto" w:fill="EAF9E8"/>
          </w:tcPr>
          <w:p>
            <w:pPr>
              <w:spacing w:after="0"/>
              <w:rPr>
                <w:sz w:val="18"/>
                <w:szCs w:val="18"/>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27,220</w:t>
            </w:r>
          </w:p>
        </w:tc>
        <w:tc>
          <w:tcPr>
            <w:tcW w:w="320" w:type="dxa"/>
            <w:vAlign w:val="bottom"/>
            <w:shd w:val="clear" w:color="auto" w:fill="EAF9E8"/>
          </w:tcPr>
          <w:p>
            <w:pPr>
              <w:spacing w:after="0"/>
              <w:rPr>
                <w:sz w:val="18"/>
                <w:szCs w:val="18"/>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22,863</w:t>
            </w:r>
          </w:p>
        </w:tc>
        <w:tc>
          <w:tcPr>
            <w:tcW w:w="340" w:type="dxa"/>
            <w:vAlign w:val="bottom"/>
            <w:shd w:val="clear" w:color="auto" w:fill="EAF9E8"/>
          </w:tcPr>
          <w:p>
            <w:pPr>
              <w:spacing w:after="0"/>
              <w:rPr>
                <w:sz w:val="18"/>
                <w:szCs w:val="18"/>
                <w:color w:val="auto"/>
              </w:rPr>
            </w:pPr>
          </w:p>
        </w:tc>
        <w:tc>
          <w:tcPr>
            <w:tcW w:w="880" w:type="dxa"/>
            <w:vAlign w:val="bottom"/>
            <w:shd w:val="clear" w:color="auto" w:fill="EAF9E8"/>
          </w:tcPr>
          <w:p>
            <w:pPr>
              <w:jc w:val="right"/>
              <w:ind w:right="316"/>
              <w:spacing w:after="0"/>
              <w:rPr>
                <w:sz w:val="20"/>
                <w:szCs w:val="20"/>
                <w:color w:val="auto"/>
              </w:rPr>
            </w:pPr>
            <w:r>
              <w:rPr>
                <w:rFonts w:ascii="Arial" w:cs="Arial" w:eastAsia="Arial" w:hAnsi="Arial"/>
                <w:sz w:val="18"/>
                <w:szCs w:val="18"/>
                <w:color w:val="auto"/>
              </w:rPr>
              <w:t>4,357</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rPr>
              <w:t>Equipment revenue</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3,459</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3,190</w:t>
            </w:r>
          </w:p>
        </w:tc>
        <w:tc>
          <w:tcPr>
            <w:tcW w:w="340" w:type="dxa"/>
            <w:vAlign w:val="bottom"/>
          </w:tcPr>
          <w:p>
            <w:pPr>
              <w:spacing w:after="0"/>
              <w:rPr>
                <w:sz w:val="18"/>
                <w:szCs w:val="18"/>
                <w:color w:val="auto"/>
              </w:rPr>
            </w:pPr>
          </w:p>
        </w:tc>
        <w:tc>
          <w:tcPr>
            <w:tcW w:w="880" w:type="dxa"/>
            <w:vAlign w:val="bottom"/>
          </w:tcPr>
          <w:p>
            <w:pPr>
              <w:jc w:val="right"/>
              <w:ind w:right="316"/>
              <w:spacing w:after="0"/>
              <w:rPr>
                <w:sz w:val="20"/>
                <w:szCs w:val="20"/>
                <w:color w:val="auto"/>
              </w:rPr>
            </w:pPr>
            <w:r>
              <w:rPr>
                <w:rFonts w:ascii="Arial" w:cs="Arial" w:eastAsia="Arial" w:hAnsi="Arial"/>
                <w:sz w:val="18"/>
                <w:szCs w:val="18"/>
                <w:color w:val="auto"/>
              </w:rPr>
              <w:t>269</w:t>
            </w:r>
          </w:p>
        </w:tc>
        <w:tc>
          <w:tcPr>
            <w:tcW w:w="50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Other revenue</w:t>
            </w:r>
          </w:p>
        </w:tc>
        <w:tc>
          <w:tcPr>
            <w:tcW w:w="160" w:type="dxa"/>
            <w:vAlign w:val="bottom"/>
            <w:shd w:val="clear" w:color="auto" w:fill="EAF9E8"/>
          </w:tcPr>
          <w:p>
            <w:pPr>
              <w:spacing w:after="0"/>
              <w:rPr>
                <w:sz w:val="18"/>
                <w:szCs w:val="18"/>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2,134</w:t>
            </w:r>
          </w:p>
        </w:tc>
        <w:tc>
          <w:tcPr>
            <w:tcW w:w="320" w:type="dxa"/>
            <w:vAlign w:val="bottom"/>
            <w:shd w:val="clear" w:color="auto" w:fill="EAF9E8"/>
          </w:tcPr>
          <w:p>
            <w:pPr>
              <w:spacing w:after="0"/>
              <w:rPr>
                <w:sz w:val="18"/>
                <w:szCs w:val="18"/>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1,389</w:t>
            </w:r>
          </w:p>
        </w:tc>
        <w:tc>
          <w:tcPr>
            <w:tcW w:w="340" w:type="dxa"/>
            <w:vAlign w:val="bottom"/>
            <w:shd w:val="clear" w:color="auto" w:fill="EAF9E8"/>
          </w:tcPr>
          <w:p>
            <w:pPr>
              <w:spacing w:after="0"/>
              <w:rPr>
                <w:sz w:val="18"/>
                <w:szCs w:val="18"/>
                <w:color w:val="auto"/>
              </w:rPr>
            </w:pPr>
          </w:p>
        </w:tc>
        <w:tc>
          <w:tcPr>
            <w:tcW w:w="880" w:type="dxa"/>
            <w:vAlign w:val="bottom"/>
            <w:shd w:val="clear" w:color="auto" w:fill="EAF9E8"/>
          </w:tcPr>
          <w:p>
            <w:pPr>
              <w:jc w:val="right"/>
              <w:ind w:right="316"/>
              <w:spacing w:after="0"/>
              <w:rPr>
                <w:sz w:val="20"/>
                <w:szCs w:val="20"/>
                <w:color w:val="auto"/>
              </w:rPr>
            </w:pPr>
            <w:r>
              <w:rPr>
                <w:rFonts w:ascii="Arial" w:cs="Arial" w:eastAsia="Arial" w:hAnsi="Arial"/>
                <w:sz w:val="18"/>
                <w:szCs w:val="18"/>
                <w:color w:val="auto"/>
              </w:rPr>
              <w:t>745</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200" w:type="dxa"/>
            <w:vAlign w:val="bottom"/>
          </w:tcPr>
          <w:p>
            <w:pPr>
              <w:ind w:left="300"/>
              <w:spacing w:after="0"/>
              <w:rPr>
                <w:sz w:val="20"/>
                <w:szCs w:val="20"/>
                <w:color w:val="auto"/>
              </w:rPr>
            </w:pPr>
            <w:r>
              <w:rPr>
                <w:rFonts w:ascii="Arial" w:cs="Arial" w:eastAsia="Arial" w:hAnsi="Arial"/>
                <w:sz w:val="18"/>
                <w:szCs w:val="18"/>
                <w:color w:val="auto"/>
              </w:rPr>
              <w:t>Total segment operating revenues</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94,419</w:t>
            </w: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80,166</w:t>
            </w:r>
          </w:p>
        </w:tc>
        <w:tc>
          <w:tcPr>
            <w:tcW w:w="340" w:type="dxa"/>
            <w:vAlign w:val="bottom"/>
          </w:tcPr>
          <w:p>
            <w:pPr>
              <w:spacing w:after="0"/>
              <w:rPr>
                <w:sz w:val="24"/>
                <w:szCs w:val="24"/>
                <w:color w:val="auto"/>
              </w:rPr>
            </w:pPr>
          </w:p>
        </w:tc>
        <w:tc>
          <w:tcPr>
            <w:tcW w:w="880" w:type="dxa"/>
            <w:vAlign w:val="bottom"/>
          </w:tcPr>
          <w:p>
            <w:pPr>
              <w:jc w:val="right"/>
              <w:ind w:right="316"/>
              <w:spacing w:after="0"/>
              <w:rPr>
                <w:sz w:val="20"/>
                <w:szCs w:val="20"/>
                <w:color w:val="auto"/>
              </w:rPr>
            </w:pPr>
            <w:r>
              <w:rPr>
                <w:rFonts w:ascii="Arial" w:cs="Arial" w:eastAsia="Arial" w:hAnsi="Arial"/>
                <w:sz w:val="18"/>
                <w:szCs w:val="18"/>
                <w:color w:val="auto"/>
                <w:w w:val="83"/>
              </w:rPr>
              <w:t>14,253</w:t>
            </w:r>
          </w:p>
        </w:tc>
        <w:tc>
          <w:tcPr>
            <w:tcW w:w="500" w:type="dxa"/>
            <w:vAlign w:val="bottom"/>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220" w:type="dxa"/>
            <w:vAlign w:val="bottom"/>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EAF9E8"/>
          </w:tcPr>
          <w:p>
            <w:pPr>
              <w:spacing w:after="0"/>
              <w:rPr>
                <w:sz w:val="20"/>
                <w:szCs w:val="20"/>
                <w:color w:val="auto"/>
              </w:rPr>
            </w:pPr>
            <w:r>
              <w:rPr>
                <w:rFonts w:ascii="Arial" w:cs="Arial" w:eastAsia="Arial" w:hAnsi="Arial"/>
                <w:sz w:val="18"/>
                <w:szCs w:val="18"/>
                <w:color w:val="auto"/>
              </w:rPr>
              <w:t>Segment operating expenses</w:t>
            </w:r>
          </w:p>
        </w:tc>
        <w:tc>
          <w:tcPr>
            <w:tcW w:w="16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w w:val="95"/>
              </w:rPr>
              <w:t>Cost of goods and services, exclusive of depreciation</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300"/>
              <w:spacing w:after="0"/>
              <w:rPr>
                <w:sz w:val="20"/>
                <w:szCs w:val="20"/>
                <w:color w:val="auto"/>
              </w:rPr>
            </w:pPr>
            <w:r>
              <w:rPr>
                <w:rFonts w:ascii="Arial" w:cs="Arial" w:eastAsia="Arial" w:hAnsi="Arial"/>
                <w:sz w:val="18"/>
                <w:szCs w:val="18"/>
                <w:color w:val="auto"/>
              </w:rPr>
              <w:t>and amortization shown separately below</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43,149</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39,112</w:t>
            </w:r>
          </w:p>
        </w:tc>
        <w:tc>
          <w:tcPr>
            <w:tcW w:w="340" w:type="dxa"/>
            <w:vAlign w:val="bottom"/>
          </w:tcPr>
          <w:p>
            <w:pPr>
              <w:spacing w:after="0"/>
              <w:rPr>
                <w:sz w:val="19"/>
                <w:szCs w:val="19"/>
                <w:color w:val="auto"/>
              </w:rPr>
            </w:pPr>
          </w:p>
        </w:tc>
        <w:tc>
          <w:tcPr>
            <w:tcW w:w="880" w:type="dxa"/>
            <w:vAlign w:val="bottom"/>
          </w:tcPr>
          <w:p>
            <w:pPr>
              <w:jc w:val="right"/>
              <w:ind w:right="316"/>
              <w:spacing w:after="0"/>
              <w:rPr>
                <w:sz w:val="20"/>
                <w:szCs w:val="20"/>
                <w:color w:val="auto"/>
              </w:rPr>
            </w:pPr>
            <w:r>
              <w:rPr>
                <w:rFonts w:ascii="Arial" w:cs="Arial" w:eastAsia="Arial" w:hAnsi="Arial"/>
                <w:sz w:val="18"/>
                <w:szCs w:val="18"/>
                <w:color w:val="auto"/>
              </w:rPr>
              <w:t>4,037</w:t>
            </w:r>
          </w:p>
        </w:tc>
        <w:tc>
          <w:tcPr>
            <w:tcW w:w="50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Selling, general and administrative, exclusive of</w:t>
            </w:r>
          </w:p>
        </w:tc>
        <w:tc>
          <w:tcPr>
            <w:tcW w:w="16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EAF9E8"/>
          </w:tcPr>
          <w:p>
            <w:pPr>
              <w:ind w:left="300"/>
              <w:spacing w:after="0"/>
              <w:rPr>
                <w:sz w:val="20"/>
                <w:szCs w:val="20"/>
                <w:color w:val="auto"/>
              </w:rPr>
            </w:pPr>
            <w:r>
              <w:rPr>
                <w:rFonts w:ascii="Arial" w:cs="Arial" w:eastAsia="Arial" w:hAnsi="Arial"/>
                <w:sz w:val="18"/>
                <w:szCs w:val="18"/>
                <w:color w:val="auto"/>
              </w:rPr>
              <w:t>depreciation and amortization shown separately</w:t>
            </w:r>
          </w:p>
        </w:tc>
        <w:tc>
          <w:tcPr>
            <w:tcW w:w="16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shd w:val="clear" w:color="auto" w:fill="EAF9E8"/>
          </w:tcPr>
          <w:p>
            <w:pPr>
              <w:ind w:left="300"/>
              <w:spacing w:after="0"/>
              <w:rPr>
                <w:sz w:val="20"/>
                <w:szCs w:val="20"/>
                <w:color w:val="auto"/>
              </w:rPr>
            </w:pPr>
            <w:r>
              <w:rPr>
                <w:rFonts w:ascii="Arial" w:cs="Arial" w:eastAsia="Arial" w:hAnsi="Arial"/>
                <w:sz w:val="18"/>
                <w:szCs w:val="18"/>
                <w:color w:val="auto"/>
              </w:rPr>
              <w:t>below</w:t>
            </w:r>
          </w:p>
        </w:tc>
        <w:tc>
          <w:tcPr>
            <w:tcW w:w="160" w:type="dxa"/>
            <w:vAlign w:val="bottom"/>
            <w:shd w:val="clear" w:color="auto" w:fill="EAF9E8"/>
          </w:tcPr>
          <w:p>
            <w:pPr>
              <w:spacing w:after="0"/>
              <w:rPr>
                <w:sz w:val="19"/>
                <w:szCs w:val="19"/>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28,848</w:t>
            </w:r>
          </w:p>
        </w:tc>
        <w:tc>
          <w:tcPr>
            <w:tcW w:w="320" w:type="dxa"/>
            <w:vAlign w:val="bottom"/>
            <w:shd w:val="clear" w:color="auto" w:fill="EAF9E8"/>
          </w:tcPr>
          <w:p>
            <w:pPr>
              <w:spacing w:after="0"/>
              <w:rPr>
                <w:sz w:val="19"/>
                <w:szCs w:val="19"/>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22,952</w:t>
            </w:r>
          </w:p>
        </w:tc>
        <w:tc>
          <w:tcPr>
            <w:tcW w:w="340" w:type="dxa"/>
            <w:vAlign w:val="bottom"/>
            <w:shd w:val="clear" w:color="auto" w:fill="EAF9E8"/>
          </w:tcPr>
          <w:p>
            <w:pPr>
              <w:spacing w:after="0"/>
              <w:rPr>
                <w:sz w:val="19"/>
                <w:szCs w:val="19"/>
                <w:color w:val="auto"/>
              </w:rPr>
            </w:pPr>
          </w:p>
        </w:tc>
        <w:tc>
          <w:tcPr>
            <w:tcW w:w="880" w:type="dxa"/>
            <w:vAlign w:val="bottom"/>
            <w:shd w:val="clear" w:color="auto" w:fill="EAF9E8"/>
          </w:tcPr>
          <w:p>
            <w:pPr>
              <w:jc w:val="right"/>
              <w:ind w:right="316"/>
              <w:spacing w:after="0"/>
              <w:rPr>
                <w:sz w:val="20"/>
                <w:szCs w:val="20"/>
                <w:color w:val="auto"/>
              </w:rPr>
            </w:pPr>
            <w:r>
              <w:rPr>
                <w:rFonts w:ascii="Arial" w:cs="Arial" w:eastAsia="Arial" w:hAnsi="Arial"/>
                <w:sz w:val="18"/>
                <w:szCs w:val="18"/>
                <w:color w:val="auto"/>
              </w:rPr>
              <w:t>5,896</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12,693</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11,915</w:t>
            </w:r>
          </w:p>
        </w:tc>
        <w:tc>
          <w:tcPr>
            <w:tcW w:w="340" w:type="dxa"/>
            <w:vAlign w:val="bottom"/>
          </w:tcPr>
          <w:p>
            <w:pPr>
              <w:spacing w:after="0"/>
              <w:rPr>
                <w:sz w:val="19"/>
                <w:szCs w:val="19"/>
                <w:color w:val="auto"/>
              </w:rPr>
            </w:pPr>
          </w:p>
        </w:tc>
        <w:tc>
          <w:tcPr>
            <w:tcW w:w="880" w:type="dxa"/>
            <w:vAlign w:val="bottom"/>
          </w:tcPr>
          <w:p>
            <w:pPr>
              <w:jc w:val="right"/>
              <w:ind w:right="316"/>
              <w:spacing w:after="0"/>
              <w:rPr>
                <w:sz w:val="20"/>
                <w:szCs w:val="20"/>
                <w:color w:val="auto"/>
              </w:rPr>
            </w:pPr>
            <w:r>
              <w:rPr>
                <w:rFonts w:ascii="Arial" w:cs="Arial" w:eastAsia="Arial" w:hAnsi="Arial"/>
                <w:sz w:val="18"/>
                <w:szCs w:val="18"/>
                <w:color w:val="auto"/>
              </w:rPr>
              <w:t>778</w:t>
            </w:r>
          </w:p>
        </w:tc>
        <w:tc>
          <w:tcPr>
            <w:tcW w:w="50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EAF9E8"/>
          </w:tcPr>
          <w:p>
            <w:pPr>
              <w:ind w:left="300"/>
              <w:spacing w:after="0"/>
              <w:rPr>
                <w:sz w:val="20"/>
                <w:szCs w:val="20"/>
                <w:color w:val="auto"/>
              </w:rPr>
            </w:pPr>
            <w:r>
              <w:rPr>
                <w:rFonts w:ascii="Arial" w:cs="Arial" w:eastAsia="Arial" w:hAnsi="Arial"/>
                <w:sz w:val="18"/>
                <w:szCs w:val="18"/>
                <w:color w:val="auto"/>
              </w:rPr>
              <w:t>Total segment operating expenses</w:t>
            </w:r>
          </w:p>
        </w:tc>
        <w:tc>
          <w:tcPr>
            <w:tcW w:w="160" w:type="dxa"/>
            <w:vAlign w:val="bottom"/>
            <w:shd w:val="clear" w:color="auto" w:fill="EAF9E8"/>
          </w:tcPr>
          <w:p>
            <w:pPr>
              <w:spacing w:after="0"/>
              <w:rPr>
                <w:sz w:val="18"/>
                <w:szCs w:val="18"/>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84,690</w:t>
            </w:r>
          </w:p>
        </w:tc>
        <w:tc>
          <w:tcPr>
            <w:tcW w:w="320" w:type="dxa"/>
            <w:vAlign w:val="bottom"/>
            <w:shd w:val="clear" w:color="auto" w:fill="EAF9E8"/>
          </w:tcPr>
          <w:p>
            <w:pPr>
              <w:spacing w:after="0"/>
              <w:rPr>
                <w:sz w:val="18"/>
                <w:szCs w:val="18"/>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73,979</w:t>
            </w:r>
          </w:p>
        </w:tc>
        <w:tc>
          <w:tcPr>
            <w:tcW w:w="340" w:type="dxa"/>
            <w:vAlign w:val="bottom"/>
            <w:shd w:val="clear" w:color="auto" w:fill="EAF9E8"/>
          </w:tcPr>
          <w:p>
            <w:pPr>
              <w:spacing w:after="0"/>
              <w:rPr>
                <w:sz w:val="18"/>
                <w:szCs w:val="18"/>
                <w:color w:val="auto"/>
              </w:rPr>
            </w:pPr>
          </w:p>
        </w:tc>
        <w:tc>
          <w:tcPr>
            <w:tcW w:w="880" w:type="dxa"/>
            <w:vAlign w:val="bottom"/>
            <w:shd w:val="clear" w:color="auto" w:fill="EAF9E8"/>
          </w:tcPr>
          <w:p>
            <w:pPr>
              <w:jc w:val="right"/>
              <w:ind w:right="316"/>
              <w:spacing w:after="0"/>
              <w:rPr>
                <w:sz w:val="20"/>
                <w:szCs w:val="20"/>
                <w:color w:val="auto"/>
              </w:rPr>
            </w:pPr>
            <w:r>
              <w:rPr>
                <w:rFonts w:ascii="Arial" w:cs="Arial" w:eastAsia="Arial" w:hAnsi="Arial"/>
                <w:sz w:val="18"/>
                <w:szCs w:val="18"/>
                <w:color w:val="auto"/>
                <w:w w:val="83"/>
              </w:rPr>
              <w:t>10,711</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220" w:type="dxa"/>
            <w:vAlign w:val="bottom"/>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20" w:type="dxa"/>
            <w:vAlign w:val="bottom"/>
            <w:gridSpan w:val="2"/>
          </w:tcPr>
          <w:p>
            <w:pPr>
              <w:spacing w:after="0"/>
              <w:rPr>
                <w:sz w:val="20"/>
                <w:szCs w:val="20"/>
                <w:color w:val="auto"/>
              </w:rPr>
            </w:pPr>
            <w:r>
              <w:rPr>
                <w:rFonts w:ascii="Arial" w:cs="Arial" w:eastAsia="Arial" w:hAnsi="Arial"/>
                <w:sz w:val="18"/>
                <w:szCs w:val="18"/>
                <w:color w:val="auto"/>
              </w:rPr>
              <w:t>Segment operating income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9,729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6,187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6"/>
              <w:spacing w:after="0"/>
              <w:rPr>
                <w:sz w:val="20"/>
                <w:szCs w:val="20"/>
                <w:color w:val="auto"/>
              </w:rPr>
            </w:pPr>
            <w:r>
              <w:rPr>
                <w:rFonts w:ascii="Arial" w:cs="Arial" w:eastAsia="Arial" w:hAnsi="Arial"/>
                <w:sz w:val="18"/>
                <w:szCs w:val="18"/>
                <w:color w:val="auto"/>
              </w:rPr>
              <w:t>3,542</w:t>
            </w:r>
          </w:p>
        </w:tc>
        <w:tc>
          <w:tcPr>
            <w:tcW w:w="500" w:type="dxa"/>
            <w:vAlign w:val="bottom"/>
          </w:tcPr>
          <w:p>
            <w:pPr>
              <w:jc w:val="right"/>
              <w:spacing w:after="0"/>
              <w:rPr>
                <w:sz w:val="20"/>
                <w:szCs w:val="20"/>
                <w:color w:val="auto"/>
              </w:rPr>
            </w:pPr>
            <w:r>
              <w:rPr>
                <w:rFonts w:ascii="Arial" w:cs="Arial" w:eastAsia="Arial" w:hAnsi="Arial"/>
                <w:sz w:val="18"/>
                <w:szCs w:val="18"/>
                <w:color w:val="auto"/>
              </w:rPr>
              <w:t>57.2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2678430</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319"/>
        <w:spacing w:after="0" w:line="294" w:lineRule="auto"/>
        <w:rPr>
          <w:sz w:val="20"/>
          <w:szCs w:val="20"/>
          <w:color w:val="auto"/>
        </w:rPr>
      </w:pPr>
      <w:r>
        <w:rPr>
          <w:rFonts w:ascii="Arial" w:cs="Arial" w:eastAsia="Arial" w:hAnsi="Arial"/>
          <w:sz w:val="16"/>
          <w:szCs w:val="16"/>
          <w:color w:val="auto"/>
        </w:rPr>
        <w:t>The results for the year ended December 31, 2004 have been restated to reflect the correction of certain errors in the Company’s accounting for operating leases. See Note 2 to the consolidated financial statements appearing elsewhere in this report for additional information. The effect of these restatements on the PCS segment’s operating income for the year ended December 31, 2004 was to increase the cost of goods and services and decrease segment operating income by $210 thousand.</w:t>
      </w:r>
    </w:p>
    <w:p>
      <w:pPr>
        <w:spacing w:after="0" w:line="170" w:lineRule="exact"/>
        <w:rPr>
          <w:sz w:val="20"/>
          <w:szCs w:val="20"/>
          <w:color w:val="auto"/>
        </w:rPr>
      </w:pPr>
    </w:p>
    <w:p>
      <w:pPr>
        <w:jc w:val="both"/>
        <w:ind w:right="2299"/>
        <w:spacing w:after="0" w:line="370" w:lineRule="auto"/>
        <w:rPr>
          <w:sz w:val="20"/>
          <w:szCs w:val="20"/>
          <w:color w:val="auto"/>
        </w:rPr>
      </w:pPr>
      <w:r>
        <w:rPr>
          <w:rFonts w:ascii="Arial" w:cs="Arial" w:eastAsia="Arial" w:hAnsi="Arial"/>
          <w:sz w:val="15"/>
          <w:szCs w:val="15"/>
          <w:color w:val="auto"/>
        </w:rPr>
        <w:t>Shenandoah PCS Company, as a PCS affiliate of Sprint Nextel, provides digital wireless service to a portion of a four-state area covering the region from Harrisburg, York and Altoona, Pennsylvania, to Harrisonburg, Virginia.</w:t>
      </w:r>
    </w:p>
    <w:p>
      <w:pPr>
        <w:spacing w:after="0" w:line="116" w:lineRule="exact"/>
        <w:rPr>
          <w:sz w:val="20"/>
          <w:szCs w:val="20"/>
          <w:color w:val="auto"/>
        </w:rPr>
      </w:pPr>
    </w:p>
    <w:p>
      <w:pPr>
        <w:ind w:right="2159"/>
        <w:spacing w:after="0" w:line="298" w:lineRule="auto"/>
        <w:rPr>
          <w:sz w:val="20"/>
          <w:szCs w:val="20"/>
          <w:color w:val="auto"/>
        </w:rPr>
      </w:pPr>
      <w:r>
        <w:rPr>
          <w:rFonts w:ascii="Arial" w:cs="Arial" w:eastAsia="Arial" w:hAnsi="Arial"/>
          <w:sz w:val="16"/>
          <w:szCs w:val="16"/>
          <w:color w:val="auto"/>
        </w:rPr>
        <w:t>The Company receives revenues from Sprint Nextel for subscribers that obtain service in the Company’s network coverage area and other Sprint Nextel subscribers that use the Company’s network when they use PCS service within the Company’s service area. The Company relies on Sprint Nextel to provide timely, accurate and complete information for the Company to record the appropriate revenue and expenses for each financial period.</w:t>
      </w:r>
    </w:p>
    <w:p>
      <w:pPr>
        <w:spacing w:after="0" w:line="167" w:lineRule="exact"/>
        <w:rPr>
          <w:sz w:val="20"/>
          <w:szCs w:val="20"/>
          <w:color w:val="auto"/>
        </w:rPr>
      </w:pPr>
    </w:p>
    <w:p>
      <w:pPr>
        <w:ind w:right="2399"/>
        <w:spacing w:after="0" w:line="256" w:lineRule="auto"/>
        <w:rPr>
          <w:sz w:val="20"/>
          <w:szCs w:val="20"/>
          <w:color w:val="auto"/>
        </w:rPr>
      </w:pPr>
      <w:r>
        <w:rPr>
          <w:rFonts w:ascii="Arial" w:cs="Arial" w:eastAsia="Arial" w:hAnsi="Arial"/>
          <w:sz w:val="18"/>
          <w:szCs w:val="18"/>
          <w:color w:val="auto"/>
        </w:rPr>
        <w:t>The Company had 311 PCS base stations in service at December 31, 2005, compared to 271 base stations in service at December 31, 2004. The increase in base stations was primarily the result of supplementing network capacity and further extending coverage along more heavily traveled secondary roads in the Company’s market areas.</w:t>
      </w:r>
    </w:p>
    <w:p>
      <w:pPr>
        <w:spacing w:after="0" w:line="197" w:lineRule="exact"/>
        <w:rPr>
          <w:sz w:val="20"/>
          <w:szCs w:val="20"/>
          <w:color w:val="auto"/>
        </w:rPr>
      </w:pPr>
    </w:p>
    <w:p>
      <w:pPr>
        <w:ind w:right="2179"/>
        <w:spacing w:after="0" w:line="256" w:lineRule="auto"/>
        <w:rPr>
          <w:sz w:val="20"/>
          <w:szCs w:val="20"/>
          <w:color w:val="auto"/>
        </w:rPr>
      </w:pPr>
      <w:r>
        <w:rPr>
          <w:rFonts w:ascii="Arial" w:cs="Arial" w:eastAsia="Arial" w:hAnsi="Arial"/>
          <w:sz w:val="18"/>
          <w:szCs w:val="18"/>
          <w:color w:val="auto"/>
        </w:rPr>
        <w:t>Through Sprint Nextel, the Company began receiving revenue from wholesale resellers of wireless PCS service in late 2002. These resellers pay a flat rate per minute of use for all traffic their subscribers generate on the Company’s network. The Company’s cost to handle this traffic is the incremental cost to provide the necessary network capacity.</w:t>
      </w:r>
    </w:p>
    <w:p>
      <w:pPr>
        <w:spacing w:after="0" w:line="197" w:lineRule="exact"/>
        <w:rPr>
          <w:sz w:val="20"/>
          <w:szCs w:val="20"/>
          <w:color w:val="auto"/>
        </w:rPr>
      </w:pPr>
    </w:p>
    <w:p>
      <w:pPr>
        <w:ind w:right="2219"/>
        <w:spacing w:after="0" w:line="255" w:lineRule="auto"/>
        <w:rPr>
          <w:sz w:val="20"/>
          <w:szCs w:val="20"/>
          <w:color w:val="auto"/>
        </w:rPr>
      </w:pPr>
      <w:r>
        <w:rPr>
          <w:rFonts w:ascii="Arial" w:cs="Arial" w:eastAsia="Arial" w:hAnsi="Arial"/>
          <w:sz w:val="18"/>
          <w:szCs w:val="18"/>
          <w:color w:val="auto"/>
        </w:rPr>
        <w:t>The Company’s net travel and wholesale roaming, including the long distance and 3G data portions of that traffic, increased to a $12.3 million net contribution to operating income in 2005, compared to a $10.2 million net contribution to operating income in 2004. The Company’s travel receivable minutes increased 17.3% to 333.6 million and the travel payable minutes increased by 20.1% to 242.3 million. The increases in travel minutes receivable and payable are</w:t>
      </w:r>
    </w:p>
    <w:p>
      <w:pPr>
        <w:sectPr>
          <w:pgSz w:w="11900" w:h="16838" w:orient="portrait"/>
          <w:cols w:equalWidth="0" w:num="1">
            <w:col w:w="10219"/>
          </w:cols>
          <w:pgMar w:left="240" w:top="590" w:right="1440" w:bottom="1440" w:gutter="0" w:footer="0" w:header="0"/>
        </w:sectPr>
      </w:pPr>
    </w:p>
    <w:p>
      <w:pPr>
        <w:spacing w:after="0" w:line="197"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5166995" cy="469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90" w:right="1440" w:bottom="1440" w:gutter="0" w:footer="0" w:header="0"/>
          <w:type w:val="continuous"/>
        </w:sectPr>
      </w:pPr>
    </w:p>
    <w:bookmarkStart w:id="48" w:name="page49"/>
    <w:bookmarkEnd w:id="48"/>
    <w:p>
      <w:pPr>
        <w:ind w:right="2219"/>
        <w:spacing w:after="0" w:line="259" w:lineRule="auto"/>
        <w:rPr>
          <w:sz w:val="20"/>
          <w:szCs w:val="20"/>
          <w:color w:val="auto"/>
        </w:rPr>
      </w:pPr>
      <w:r>
        <w:rPr>
          <w:rFonts w:ascii="Arial" w:cs="Arial" w:eastAsia="Arial" w:hAnsi="Arial"/>
          <w:sz w:val="18"/>
          <w:szCs w:val="18"/>
          <w:color w:val="auto"/>
        </w:rPr>
        <w:t>primarily the result of an increase in usage of the Company’s network facilities by subscribers based in other markets and growth in subscribers in the Company’s markets using PCS service outside of the Company’s service area.</w:t>
      </w:r>
    </w:p>
    <w:p>
      <w:pPr>
        <w:spacing w:after="0" w:line="194" w:lineRule="exact"/>
        <w:rPr>
          <w:sz w:val="20"/>
          <w:szCs w:val="20"/>
          <w:color w:val="auto"/>
        </w:rPr>
      </w:pPr>
    </w:p>
    <w:p>
      <w:pPr>
        <w:ind w:right="2139"/>
        <w:spacing w:after="0" w:line="256" w:lineRule="auto"/>
        <w:rPr>
          <w:sz w:val="20"/>
          <w:szCs w:val="20"/>
          <w:color w:val="auto"/>
        </w:rPr>
      </w:pPr>
      <w:r>
        <w:rPr>
          <w:rFonts w:ascii="Arial" w:cs="Arial" w:eastAsia="Arial" w:hAnsi="Arial"/>
          <w:sz w:val="18"/>
          <w:szCs w:val="18"/>
          <w:color w:val="auto"/>
        </w:rPr>
        <w:t>On a per-subscriber basis, the Company’s average of travel payable minutes increased to 180 minutes per month in 2005, which represented an increase of one minute per month from 2004. A continuation of this trend could negatively affect the results of the PCS operation and overall results of the Company absent any changes in the Company’s arrangements with Sprint Nextel.</w:t>
      </w:r>
    </w:p>
    <w:p>
      <w:pPr>
        <w:spacing w:after="0" w:line="197" w:lineRule="exact"/>
        <w:rPr>
          <w:sz w:val="20"/>
          <w:szCs w:val="20"/>
          <w:color w:val="auto"/>
        </w:rPr>
      </w:pPr>
    </w:p>
    <w:p>
      <w:pPr>
        <w:ind w:right="2179"/>
        <w:spacing w:after="0" w:line="298" w:lineRule="auto"/>
        <w:rPr>
          <w:sz w:val="20"/>
          <w:szCs w:val="20"/>
          <w:color w:val="auto"/>
        </w:rPr>
      </w:pPr>
      <w:r>
        <w:rPr>
          <w:rFonts w:ascii="Arial" w:cs="Arial" w:eastAsia="Arial" w:hAnsi="Arial"/>
          <w:sz w:val="16"/>
          <w:szCs w:val="16"/>
          <w:color w:val="auto"/>
        </w:rPr>
        <w:t>The Company’s average PCS retail customer turnover, or churn rate, was 2.0% in 2005, compared to 2.1% in 2004. In 2005, there was an increase in PCS bad debt expense to 4.0% of PCS service revenues compared to 3.0% in 2004. Although management continues to monitor receivables, collection efforts and new subscriber credit ratings, there is no certainty that the bad debt expense will not continue to increase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31" w:lineRule="exact"/>
        <w:rPr>
          <w:sz w:val="20"/>
          <w:szCs w:val="20"/>
          <w:color w:val="auto"/>
        </w:rPr>
      </w:pPr>
    </w:p>
    <w:p>
      <w:pPr>
        <w:ind w:right="2139"/>
        <w:spacing w:after="0" w:line="298" w:lineRule="auto"/>
        <w:rPr>
          <w:sz w:val="20"/>
          <w:szCs w:val="20"/>
          <w:color w:val="auto"/>
        </w:rPr>
      </w:pPr>
      <w:r>
        <w:rPr>
          <w:rFonts w:ascii="Arial" w:cs="Arial" w:eastAsia="Arial" w:hAnsi="Arial"/>
          <w:sz w:val="16"/>
          <w:szCs w:val="16"/>
          <w:color w:val="auto"/>
        </w:rPr>
        <w:t>As of December 31, 2005, the Company had 122,975 retail PCS subscribers compared to 102,613 subscribers at December 31, 2004. The PCS operation added 20,362 net retail customers in 2005 compared to 17,474 net retail subscribers added in 2004. In addition, net wholesale users increased by 11,389 in 2005 compared to 14,479 added in 2004. In 2005, wireless service revenues from retail customers increased $8.9 million, or 16.9%.</w:t>
      </w:r>
    </w:p>
    <w:p>
      <w:pPr>
        <w:spacing w:after="0" w:line="167" w:lineRule="exact"/>
        <w:rPr>
          <w:sz w:val="20"/>
          <w:szCs w:val="20"/>
          <w:color w:val="auto"/>
        </w:rPr>
      </w:pPr>
    </w:p>
    <w:p>
      <w:pPr>
        <w:ind w:right="2159"/>
        <w:spacing w:after="0" w:line="255" w:lineRule="auto"/>
        <w:rPr>
          <w:sz w:val="20"/>
          <w:szCs w:val="20"/>
          <w:color w:val="auto"/>
        </w:rPr>
      </w:pPr>
      <w:r>
        <w:rPr>
          <w:rFonts w:ascii="Arial" w:cs="Arial" w:eastAsia="Arial" w:hAnsi="Arial"/>
          <w:sz w:val="18"/>
          <w:szCs w:val="18"/>
          <w:color w:val="auto"/>
        </w:rPr>
        <w:t>PCS travel and roaming revenues increased $4.4 million, or 19.1% in 2005. The travel and roaming revenue increase resulted from an increase in travel usage. For 2005, the travel rate the Company received from Sprint Nextel was $0.058 per minute, which was the same rate as in 2004. Roaming revenue declined $0.4 million, or 14%, due to decreasing roaming rates and a decrease in volume as other carriers continue to expand their networks in the Company’s service area.</w:t>
      </w:r>
    </w:p>
    <w:p>
      <w:pPr>
        <w:spacing w:after="0" w:line="197" w:lineRule="exact"/>
        <w:rPr>
          <w:sz w:val="20"/>
          <w:szCs w:val="20"/>
          <w:color w:val="auto"/>
        </w:rPr>
      </w:pPr>
    </w:p>
    <w:p>
      <w:pPr>
        <w:ind w:right="2319"/>
        <w:spacing w:after="0" w:line="268" w:lineRule="auto"/>
        <w:rPr>
          <w:sz w:val="20"/>
          <w:szCs w:val="20"/>
          <w:color w:val="auto"/>
        </w:rPr>
      </w:pPr>
      <w:r>
        <w:rPr>
          <w:rFonts w:ascii="Arial" w:cs="Arial" w:eastAsia="Arial" w:hAnsi="Arial"/>
          <w:sz w:val="18"/>
          <w:szCs w:val="18"/>
          <w:color w:val="auto"/>
        </w:rPr>
        <w:t>During 2005, the Company’s PCS segment recorded Universal Service Fund revenues, covering the period from late 2004 to December 31, 2005, of $0.5 million.</w:t>
      </w:r>
    </w:p>
    <w:p>
      <w:pPr>
        <w:spacing w:after="0" w:line="186" w:lineRule="exact"/>
        <w:rPr>
          <w:sz w:val="20"/>
          <w:szCs w:val="20"/>
          <w:color w:val="auto"/>
        </w:rPr>
      </w:pPr>
    </w:p>
    <w:p>
      <w:pPr>
        <w:ind w:right="2199"/>
        <w:spacing w:after="0" w:line="291" w:lineRule="auto"/>
        <w:rPr>
          <w:sz w:val="20"/>
          <w:szCs w:val="20"/>
          <w:color w:val="auto"/>
        </w:rPr>
      </w:pPr>
      <w:r>
        <w:rPr>
          <w:rFonts w:ascii="Arial" w:cs="Arial" w:eastAsia="Arial" w:hAnsi="Arial"/>
          <w:sz w:val="16"/>
          <w:szCs w:val="16"/>
          <w:color w:val="auto"/>
        </w:rPr>
        <w:t>PCS equipment revenue increased $0.3 million, or 8.4%. The increase was primarily due to the addition of new PCS subscribers in 2005 and more subscribers upgrading their handsets to access new features provided with the service. The effect of these factors was offset in part by a lower average price received for telephone equipment in 2005. During 2005, as a result of adding new subscribers, the Company sold 36,338 handsets compared to 24,039 in 2004. In addition, as a result of warranties and upgrades, the Company sold 14,336 handsets in 2005 compared to 12,168 in 2004.</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and services</w:t>
      </w:r>
    </w:p>
    <w:p>
      <w:pPr>
        <w:spacing w:after="0" w:line="231" w:lineRule="exact"/>
        <w:rPr>
          <w:sz w:val="20"/>
          <w:szCs w:val="20"/>
          <w:color w:val="auto"/>
        </w:rPr>
      </w:pPr>
    </w:p>
    <w:p>
      <w:pPr>
        <w:ind w:right="2159"/>
        <w:spacing w:after="0" w:line="256" w:lineRule="auto"/>
        <w:rPr>
          <w:sz w:val="20"/>
          <w:szCs w:val="20"/>
          <w:color w:val="auto"/>
        </w:rPr>
      </w:pPr>
      <w:r>
        <w:rPr>
          <w:rFonts w:ascii="Arial" w:cs="Arial" w:eastAsia="Arial" w:hAnsi="Arial"/>
          <w:sz w:val="18"/>
          <w:szCs w:val="18"/>
          <w:color w:val="auto"/>
        </w:rPr>
        <w:t>Cost of PCS goods and services increased $4.0 million, or 10.3% in 2005. PCS travel costs increased $3.1 million, or 22.6%, to $17.0 million. The travel costs increased due to an increase in the Company’s subscribers and an increase in the average travel minutes used by the Company’s subscribers on the Sprint Nextel or Sprint Nextel affiliate networks not operated by the Company.</w:t>
      </w:r>
    </w:p>
    <w:p>
      <w:pPr>
        <w:spacing w:after="0" w:line="197" w:lineRule="exact"/>
        <w:rPr>
          <w:sz w:val="20"/>
          <w:szCs w:val="20"/>
          <w:color w:val="auto"/>
        </w:rPr>
      </w:pPr>
    </w:p>
    <w:p>
      <w:pPr>
        <w:ind w:right="2199"/>
        <w:spacing w:after="0" w:line="259" w:lineRule="auto"/>
        <w:rPr>
          <w:sz w:val="20"/>
          <w:szCs w:val="20"/>
          <w:color w:val="auto"/>
        </w:rPr>
      </w:pPr>
      <w:r>
        <w:rPr>
          <w:rFonts w:ascii="Arial" w:cs="Arial" w:eastAsia="Arial" w:hAnsi="Arial"/>
          <w:sz w:val="18"/>
          <w:szCs w:val="18"/>
          <w:color w:val="auto"/>
        </w:rPr>
        <w:t>Cost of goods and services experienced additional increases due to the cost of the PCS phones sold to new and existing customers. The cost of end user equipment increased $1.7 million from 2004. During 2005, the Company added 5,130 more gross new PCS subscribers than in 2004.</w:t>
      </w:r>
    </w:p>
    <w:p>
      <w:pPr>
        <w:spacing w:after="0" w:line="194" w:lineRule="exact"/>
        <w:rPr>
          <w:sz w:val="20"/>
          <w:szCs w:val="20"/>
          <w:color w:val="auto"/>
        </w:rPr>
      </w:pPr>
    </w:p>
    <w:p>
      <w:pPr>
        <w:ind w:right="2339"/>
        <w:spacing w:after="0" w:line="259" w:lineRule="auto"/>
        <w:rPr>
          <w:sz w:val="20"/>
          <w:szCs w:val="20"/>
          <w:color w:val="auto"/>
        </w:rPr>
      </w:pPr>
      <w:r>
        <w:rPr>
          <w:rFonts w:ascii="Arial" w:cs="Arial" w:eastAsia="Arial" w:hAnsi="Arial"/>
          <w:sz w:val="18"/>
          <w:szCs w:val="18"/>
          <w:color w:val="auto"/>
        </w:rPr>
        <w:t>The increase in cost of goods and services was offset in part by the Company’s receipt of $0.8 million for the settlement of a claim from Verizon. See Note 18 to the consolidated financial statements appearing elsewhere in this report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31" w:lineRule="exact"/>
        <w:rPr>
          <w:sz w:val="20"/>
          <w:szCs w:val="20"/>
          <w:color w:val="auto"/>
        </w:rPr>
      </w:pPr>
    </w:p>
    <w:p>
      <w:pPr>
        <w:ind w:right="2119"/>
        <w:spacing w:after="0" w:line="294" w:lineRule="auto"/>
        <w:rPr>
          <w:sz w:val="20"/>
          <w:szCs w:val="20"/>
          <w:color w:val="auto"/>
        </w:rPr>
      </w:pPr>
      <w:r>
        <w:rPr>
          <w:rFonts w:ascii="Arial" w:cs="Arial" w:eastAsia="Arial" w:hAnsi="Arial"/>
          <w:sz w:val="16"/>
          <w:szCs w:val="16"/>
          <w:color w:val="auto"/>
        </w:rPr>
        <w:t>Selling, general and administrative costs increased $5.9 million, or 25.7%, compared to 2004. The increase was primarily attributable to an increase in the amount paid to Sprint Nextel for the administration of the customer base of $1.0 million due to an increase in customers, (which was partially offset by a reduction in the cost per customer totaling $0.3 million), an increase in commissions paid to Radio Shack of $1.0 million, an increase of $0.7 million for commissions paid to national and local third-party retailers, and an</w:t>
      </w:r>
    </w:p>
    <w:p>
      <w:pPr>
        <w:sectPr>
          <w:pgSz w:w="11900" w:h="16838" w:orient="portrait"/>
          <w:cols w:equalWidth="0" w:num="1">
            <w:col w:w="10219"/>
          </w:cols>
          <w:pgMar w:left="240" w:top="590" w:right="1440" w:bottom="1440" w:gutter="0" w:footer="0" w:header="0"/>
        </w:sectPr>
      </w:pPr>
    </w:p>
    <w:p>
      <w:pPr>
        <w:spacing w:after="0" w:line="170"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5166995" cy="469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90" w:right="1440" w:bottom="1440" w:gutter="0" w:footer="0" w:header="0"/>
          <w:type w:val="continuous"/>
        </w:sectPr>
      </w:pPr>
    </w:p>
    <w:bookmarkStart w:id="49" w:name="page50"/>
    <w:bookmarkEnd w:id="49"/>
    <w:p>
      <w:pPr>
        <w:ind w:right="2379"/>
        <w:spacing w:after="0" w:line="268" w:lineRule="auto"/>
        <w:rPr>
          <w:sz w:val="20"/>
          <w:szCs w:val="20"/>
          <w:color w:val="auto"/>
        </w:rPr>
      </w:pPr>
      <w:r>
        <w:rPr>
          <w:rFonts w:ascii="Arial" w:cs="Arial" w:eastAsia="Arial" w:hAnsi="Arial"/>
          <w:sz w:val="18"/>
          <w:szCs w:val="18"/>
          <w:color w:val="auto"/>
        </w:rPr>
        <w:t>increase in bad debt expense of $0.7 million. The remaining $2.4 million increase primarily reflected additional employee expenses and allocated overhead.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Telephone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80" w:type="dxa"/>
            <w:vAlign w:val="bottom"/>
          </w:tcPr>
          <w:p>
            <w:pPr>
              <w:jc w:val="center"/>
              <w:ind w:right="652"/>
              <w:spacing w:after="0"/>
              <w:rPr>
                <w:sz w:val="20"/>
                <w:szCs w:val="20"/>
                <w:color w:val="auto"/>
              </w:rPr>
            </w:pPr>
            <w:r>
              <w:rPr>
                <w:rFonts w:ascii="Arial" w:cs="Arial" w:eastAsia="Arial" w:hAnsi="Arial"/>
                <w:sz w:val="14"/>
                <w:szCs w:val="14"/>
                <w:b w:val="1"/>
                <w:bCs w:val="1"/>
                <w:color w:val="auto"/>
                <w:w w:val="85"/>
              </w:rPr>
              <w:t>Year Ended</w:t>
            </w: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49"/>
        </w:trPr>
        <w:tc>
          <w:tcPr>
            <w:tcW w:w="4500" w:type="dxa"/>
            <w:vAlign w:val="bottom"/>
          </w:tcPr>
          <w:p>
            <w:pPr>
              <w:spacing w:after="0"/>
              <w:rPr>
                <w:sz w:val="12"/>
                <w:szCs w:val="12"/>
                <w:color w:val="auto"/>
              </w:rPr>
            </w:pPr>
          </w:p>
        </w:tc>
        <w:tc>
          <w:tcPr>
            <w:tcW w:w="1900" w:type="dxa"/>
            <w:vAlign w:val="bottom"/>
            <w:gridSpan w:val="2"/>
          </w:tcPr>
          <w:p>
            <w:pPr>
              <w:jc w:val="center"/>
              <w:ind w:right="13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580" w:type="dxa"/>
            <w:vAlign w:val="bottom"/>
          </w:tcPr>
          <w:p>
            <w:pPr>
              <w:spacing w:after="0"/>
              <w:rPr>
                <w:sz w:val="12"/>
                <w:szCs w:val="12"/>
                <w:color w:val="auto"/>
              </w:rPr>
            </w:pPr>
          </w:p>
        </w:tc>
        <w:tc>
          <w:tcPr>
            <w:tcW w:w="1160" w:type="dxa"/>
            <w:vAlign w:val="bottom"/>
          </w:tcPr>
          <w:p>
            <w:pPr>
              <w:jc w:val="right"/>
              <w:ind w:right="572"/>
              <w:spacing w:after="0" w:line="149" w:lineRule="exact"/>
              <w:rPr>
                <w:sz w:val="20"/>
                <w:szCs w:val="20"/>
                <w:color w:val="auto"/>
              </w:rPr>
            </w:pPr>
            <w:r>
              <w:rPr>
                <w:rFonts w:ascii="Arial" w:cs="Arial" w:eastAsia="Arial" w:hAnsi="Arial"/>
                <w:sz w:val="14"/>
                <w:szCs w:val="14"/>
                <w:b w:val="1"/>
                <w:bCs w:val="1"/>
                <w:color w:val="auto"/>
                <w:w w:val="97"/>
              </w:rPr>
              <w:t>Change</w:t>
            </w:r>
          </w:p>
        </w:tc>
      </w:tr>
      <w:tr>
        <w:trPr>
          <w:trHeight w:val="174"/>
        </w:trPr>
        <w:tc>
          <w:tcPr>
            <w:tcW w:w="45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1380" w:type="dxa"/>
            <w:vAlign w:val="bottom"/>
          </w:tcPr>
          <w:p>
            <w:pPr>
              <w:jc w:val="right"/>
              <w:ind w:right="332"/>
              <w:spacing w:after="0"/>
              <w:rPr>
                <w:sz w:val="20"/>
                <w:szCs w:val="20"/>
                <w:color w:val="auto"/>
              </w:rPr>
            </w:pPr>
            <w:r>
              <w:rPr>
                <w:rFonts w:ascii="Arial" w:cs="Arial" w:eastAsia="Arial" w:hAnsi="Arial"/>
                <w:sz w:val="14"/>
                <w:szCs w:val="14"/>
                <w:b w:val="1"/>
                <w:bCs w:val="1"/>
                <w:color w:val="auto"/>
              </w:rPr>
              <w:t>2004</w:t>
            </w: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292"/>
              <w:spacing w:after="0"/>
              <w:rPr>
                <w:sz w:val="20"/>
                <w:szCs w:val="20"/>
                <w:color w:val="auto"/>
              </w:rPr>
            </w:pPr>
            <w:r>
              <w:rPr>
                <w:rFonts w:ascii="Arial" w:cs="Arial" w:eastAsia="Arial" w:hAnsi="Arial"/>
                <w:sz w:val="14"/>
                <w:szCs w:val="14"/>
                <w:b w:val="1"/>
                <w:bCs w:val="1"/>
                <w:color w:val="auto"/>
              </w:rPr>
              <w:t>%</w:t>
            </w:r>
          </w:p>
        </w:tc>
      </w:tr>
      <w:tr>
        <w:trPr>
          <w:trHeight w:val="95"/>
        </w:trPr>
        <w:tc>
          <w:tcPr>
            <w:tcW w:w="45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shd w:val="clear" w:color="auto" w:fill="EAF9E8"/>
          </w:tcPr>
          <w:p>
            <w:pPr>
              <w:spacing w:after="0"/>
              <w:rPr>
                <w:sz w:val="20"/>
                <w:szCs w:val="20"/>
                <w:color w:val="auto"/>
              </w:rPr>
            </w:pPr>
            <w:r>
              <w:rPr>
                <w:rFonts w:ascii="Arial" w:cs="Arial" w:eastAsia="Arial" w:hAnsi="Arial"/>
                <w:sz w:val="18"/>
                <w:szCs w:val="18"/>
                <w:color w:val="auto"/>
              </w:rPr>
              <w:t>Segment operating revenues</w:t>
            </w:r>
          </w:p>
        </w:tc>
        <w:tc>
          <w:tcPr>
            <w:tcW w:w="8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40"/>
              <w:spacing w:after="0"/>
              <w:rPr>
                <w:sz w:val="20"/>
                <w:szCs w:val="20"/>
                <w:color w:val="auto"/>
              </w:rPr>
            </w:pPr>
            <w:r>
              <w:rPr>
                <w:rFonts w:ascii="Arial" w:cs="Arial" w:eastAsia="Arial" w:hAnsi="Arial"/>
                <w:sz w:val="18"/>
                <w:szCs w:val="18"/>
                <w:color w:val="auto"/>
              </w:rPr>
              <w:t>Service revenue – wireline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6,850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6,817</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33</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Access revenue</w:t>
            </w:r>
          </w:p>
        </w:tc>
        <w:tc>
          <w:tcPr>
            <w:tcW w:w="80" w:type="dxa"/>
            <w:vAlign w:val="bottom"/>
            <w:shd w:val="clear" w:color="auto" w:fill="EAF9E8"/>
          </w:tcPr>
          <w:p>
            <w:pPr>
              <w:spacing w:after="0"/>
              <w:rPr>
                <w:sz w:val="18"/>
                <w:szCs w:val="18"/>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12,801</w:t>
            </w:r>
          </w:p>
        </w:tc>
        <w:tc>
          <w:tcPr>
            <w:tcW w:w="360" w:type="dxa"/>
            <w:vAlign w:val="bottom"/>
            <w:shd w:val="clear" w:color="auto" w:fill="EAF9E8"/>
          </w:tcPr>
          <w:p>
            <w:pPr>
              <w:spacing w:after="0"/>
              <w:rPr>
                <w:sz w:val="18"/>
                <w:szCs w:val="18"/>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11,928</w:t>
            </w:r>
          </w:p>
        </w:tc>
        <w:tc>
          <w:tcPr>
            <w:tcW w:w="420" w:type="dxa"/>
            <w:vAlign w:val="bottom"/>
            <w:shd w:val="clear" w:color="auto" w:fill="EAF9E8"/>
          </w:tcPr>
          <w:p>
            <w:pPr>
              <w:spacing w:after="0"/>
              <w:rPr>
                <w:sz w:val="18"/>
                <w:szCs w:val="18"/>
                <w:color w:val="auto"/>
              </w:rPr>
            </w:pPr>
          </w:p>
        </w:tc>
        <w:tc>
          <w:tcPr>
            <w:tcW w:w="76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rPr>
              <w:t>873</w:t>
            </w:r>
          </w:p>
        </w:tc>
        <w:tc>
          <w:tcPr>
            <w:tcW w:w="72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40"/>
              <w:spacing w:after="0"/>
              <w:rPr>
                <w:sz w:val="20"/>
                <w:szCs w:val="20"/>
                <w:color w:val="auto"/>
              </w:rPr>
            </w:pPr>
            <w:r>
              <w:rPr>
                <w:rFonts w:ascii="Arial" w:cs="Arial" w:eastAsia="Arial" w:hAnsi="Arial"/>
                <w:sz w:val="18"/>
                <w:szCs w:val="18"/>
                <w:color w:val="auto"/>
              </w:rPr>
              <w:t>Facilities lease revenue</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6,155</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5,941</w:t>
            </w:r>
          </w:p>
        </w:tc>
        <w:tc>
          <w:tcPr>
            <w:tcW w:w="42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214</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Equipment revenue</w:t>
            </w:r>
          </w:p>
        </w:tc>
        <w:tc>
          <w:tcPr>
            <w:tcW w:w="80" w:type="dxa"/>
            <w:vAlign w:val="bottom"/>
            <w:shd w:val="clear" w:color="auto" w:fill="EAF9E8"/>
          </w:tcPr>
          <w:p>
            <w:pPr>
              <w:spacing w:after="0"/>
              <w:rPr>
                <w:sz w:val="18"/>
                <w:szCs w:val="18"/>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w:t>
            </w:r>
          </w:p>
        </w:tc>
        <w:tc>
          <w:tcPr>
            <w:tcW w:w="360" w:type="dxa"/>
            <w:vAlign w:val="bottom"/>
            <w:shd w:val="clear" w:color="auto" w:fill="EAF9E8"/>
          </w:tcPr>
          <w:p>
            <w:pPr>
              <w:spacing w:after="0"/>
              <w:rPr>
                <w:sz w:val="18"/>
                <w:szCs w:val="18"/>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w:t>
            </w:r>
          </w:p>
        </w:tc>
        <w:tc>
          <w:tcPr>
            <w:tcW w:w="420" w:type="dxa"/>
            <w:vAlign w:val="bottom"/>
            <w:shd w:val="clear" w:color="auto" w:fill="EAF9E8"/>
          </w:tcPr>
          <w:p>
            <w:pPr>
              <w:spacing w:after="0"/>
              <w:rPr>
                <w:sz w:val="18"/>
                <w:szCs w:val="18"/>
                <w:color w:val="auto"/>
              </w:rPr>
            </w:pPr>
          </w:p>
        </w:tc>
        <w:tc>
          <w:tcPr>
            <w:tcW w:w="76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rPr>
              <w:t>(9)</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ind w:left="140"/>
              <w:spacing w:after="0"/>
              <w:rPr>
                <w:sz w:val="20"/>
                <w:szCs w:val="20"/>
                <w:color w:val="auto"/>
              </w:rPr>
            </w:pPr>
            <w:r>
              <w:rPr>
                <w:rFonts w:ascii="Arial" w:cs="Arial" w:eastAsia="Arial" w:hAnsi="Arial"/>
                <w:sz w:val="18"/>
                <w:szCs w:val="18"/>
                <w:color w:val="auto"/>
              </w:rPr>
              <w:t>Other revenue</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3,171</w:t>
            </w: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2,663</w:t>
            </w:r>
          </w:p>
        </w:tc>
        <w:tc>
          <w:tcPr>
            <w:tcW w:w="420" w:type="dxa"/>
            <w:vAlign w:val="bottom"/>
          </w:tcPr>
          <w:p>
            <w:pPr>
              <w:spacing w:after="0"/>
              <w:rPr>
                <w:sz w:val="19"/>
                <w:szCs w:val="19"/>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508</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EAF9E8"/>
          </w:tcPr>
          <w:p>
            <w:pPr>
              <w:ind w:left="300"/>
              <w:spacing w:after="0"/>
              <w:rPr>
                <w:sz w:val="20"/>
                <w:szCs w:val="20"/>
                <w:color w:val="auto"/>
              </w:rPr>
            </w:pPr>
            <w:r>
              <w:rPr>
                <w:rFonts w:ascii="Arial" w:cs="Arial" w:eastAsia="Arial" w:hAnsi="Arial"/>
                <w:sz w:val="18"/>
                <w:szCs w:val="18"/>
                <w:color w:val="auto"/>
              </w:rPr>
              <w:t>Total segment operating revenues</w:t>
            </w:r>
          </w:p>
        </w:tc>
        <w:tc>
          <w:tcPr>
            <w:tcW w:w="80" w:type="dxa"/>
            <w:vAlign w:val="bottom"/>
            <w:shd w:val="clear" w:color="auto" w:fill="EAF9E8"/>
          </w:tcPr>
          <w:p>
            <w:pPr>
              <w:spacing w:after="0"/>
              <w:rPr>
                <w:sz w:val="18"/>
                <w:szCs w:val="18"/>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28,994</w:t>
            </w:r>
          </w:p>
        </w:tc>
        <w:tc>
          <w:tcPr>
            <w:tcW w:w="360" w:type="dxa"/>
            <w:vAlign w:val="bottom"/>
            <w:shd w:val="clear" w:color="auto" w:fill="EAF9E8"/>
          </w:tcPr>
          <w:p>
            <w:pPr>
              <w:spacing w:after="0"/>
              <w:rPr>
                <w:sz w:val="18"/>
                <w:szCs w:val="18"/>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27,375</w:t>
            </w:r>
          </w:p>
        </w:tc>
        <w:tc>
          <w:tcPr>
            <w:tcW w:w="420" w:type="dxa"/>
            <w:vAlign w:val="bottom"/>
            <w:shd w:val="clear" w:color="auto" w:fill="EAF9E8"/>
          </w:tcPr>
          <w:p>
            <w:pPr>
              <w:spacing w:after="0"/>
              <w:rPr>
                <w:sz w:val="18"/>
                <w:szCs w:val="18"/>
                <w:color w:val="auto"/>
              </w:rPr>
            </w:pPr>
          </w:p>
        </w:tc>
        <w:tc>
          <w:tcPr>
            <w:tcW w:w="76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rPr>
              <w:t>1,619</w:t>
            </w:r>
          </w:p>
        </w:tc>
        <w:tc>
          <w:tcPr>
            <w:tcW w:w="72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Segment operating expenses</w:t>
            </w:r>
          </w:p>
        </w:tc>
        <w:tc>
          <w:tcPr>
            <w:tcW w:w="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45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shd w:val="clear" w:color="auto" w:fill="EAF9E8"/>
          </w:tcPr>
          <w:p>
            <w:pPr>
              <w:ind w:left="140"/>
              <w:spacing w:after="0"/>
              <w:rPr>
                <w:sz w:val="20"/>
                <w:szCs w:val="20"/>
                <w:color w:val="auto"/>
              </w:rPr>
            </w:pPr>
            <w:r>
              <w:rPr>
                <w:rFonts w:ascii="Arial" w:cs="Arial" w:eastAsia="Arial" w:hAnsi="Arial"/>
                <w:sz w:val="18"/>
                <w:szCs w:val="18"/>
                <w:color w:val="auto"/>
                <w:w w:val="94"/>
              </w:rPr>
              <w:t>Cost of goods and services, exclusive of depreciation and</w:t>
            </w:r>
          </w:p>
        </w:tc>
        <w:tc>
          <w:tcPr>
            <w:tcW w:w="8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shd w:val="clear" w:color="auto" w:fill="EAF9E8"/>
          </w:tcPr>
          <w:p>
            <w:pPr>
              <w:ind w:left="300"/>
              <w:spacing w:after="0"/>
              <w:rPr>
                <w:sz w:val="20"/>
                <w:szCs w:val="20"/>
                <w:color w:val="auto"/>
              </w:rPr>
            </w:pPr>
            <w:r>
              <w:rPr>
                <w:rFonts w:ascii="Arial" w:cs="Arial" w:eastAsia="Arial" w:hAnsi="Arial"/>
                <w:sz w:val="18"/>
                <w:szCs w:val="18"/>
                <w:color w:val="auto"/>
              </w:rPr>
              <w:t>amortization shown separately below</w:t>
            </w:r>
          </w:p>
        </w:tc>
        <w:tc>
          <w:tcPr>
            <w:tcW w:w="80" w:type="dxa"/>
            <w:vAlign w:val="bottom"/>
            <w:shd w:val="clear" w:color="auto" w:fill="EAF9E8"/>
          </w:tcPr>
          <w:p>
            <w:pPr>
              <w:spacing w:after="0"/>
              <w:rPr>
                <w:sz w:val="19"/>
                <w:szCs w:val="19"/>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6,620</w:t>
            </w:r>
          </w:p>
        </w:tc>
        <w:tc>
          <w:tcPr>
            <w:tcW w:w="360" w:type="dxa"/>
            <w:vAlign w:val="bottom"/>
            <w:shd w:val="clear" w:color="auto" w:fill="EAF9E8"/>
          </w:tcPr>
          <w:p>
            <w:pPr>
              <w:spacing w:after="0"/>
              <w:rPr>
                <w:sz w:val="19"/>
                <w:szCs w:val="19"/>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4,098</w:t>
            </w:r>
          </w:p>
        </w:tc>
        <w:tc>
          <w:tcPr>
            <w:tcW w:w="420" w:type="dxa"/>
            <w:vAlign w:val="bottom"/>
            <w:shd w:val="clear" w:color="auto" w:fill="EAF9E8"/>
          </w:tcPr>
          <w:p>
            <w:pPr>
              <w:spacing w:after="0"/>
              <w:rPr>
                <w:sz w:val="19"/>
                <w:szCs w:val="19"/>
                <w:color w:val="auto"/>
              </w:rPr>
            </w:pPr>
          </w:p>
        </w:tc>
        <w:tc>
          <w:tcPr>
            <w:tcW w:w="76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rPr>
              <w:t>2,522</w:t>
            </w:r>
          </w:p>
        </w:tc>
        <w:tc>
          <w:tcPr>
            <w:tcW w:w="72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61.5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tcPr>
          <w:p>
            <w:pPr>
              <w:ind w:left="140"/>
              <w:spacing w:after="0"/>
              <w:rPr>
                <w:sz w:val="20"/>
                <w:szCs w:val="20"/>
                <w:color w:val="auto"/>
              </w:rPr>
            </w:pPr>
            <w:r>
              <w:rPr>
                <w:rFonts w:ascii="Arial" w:cs="Arial" w:eastAsia="Arial" w:hAnsi="Arial"/>
                <w:sz w:val="18"/>
                <w:szCs w:val="18"/>
                <w:color w:val="auto"/>
              </w:rPr>
              <w:t>Selling, general and administrative, exclusive of</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ind w:left="300"/>
              <w:spacing w:after="0"/>
              <w:rPr>
                <w:sz w:val="20"/>
                <w:szCs w:val="20"/>
                <w:color w:val="auto"/>
              </w:rPr>
            </w:pPr>
            <w:r>
              <w:rPr>
                <w:rFonts w:ascii="Arial" w:cs="Arial" w:eastAsia="Arial" w:hAnsi="Arial"/>
                <w:sz w:val="18"/>
                <w:szCs w:val="18"/>
                <w:color w:val="auto"/>
                <w:w w:val="96"/>
              </w:rPr>
              <w:t>depreciation and amortization shown separately below</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5,313</w:t>
            </w: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8,129</w:t>
            </w:r>
          </w:p>
        </w:tc>
        <w:tc>
          <w:tcPr>
            <w:tcW w:w="42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w w:val="98"/>
              </w:rPr>
              <w:t>(2,816)</w:t>
            </w:r>
          </w:p>
        </w:tc>
        <w:tc>
          <w:tcPr>
            <w:tcW w:w="720" w:type="dxa"/>
            <w:vAlign w:val="bottom"/>
          </w:tcPr>
          <w:p>
            <w:pPr>
              <w:jc w:val="right"/>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EAF9E8"/>
          </w:tcPr>
          <w:p>
            <w:pPr>
              <w:spacing w:after="0"/>
              <w:rPr>
                <w:sz w:val="18"/>
                <w:szCs w:val="18"/>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4,430</w:t>
            </w:r>
          </w:p>
        </w:tc>
        <w:tc>
          <w:tcPr>
            <w:tcW w:w="360" w:type="dxa"/>
            <w:vAlign w:val="bottom"/>
            <w:shd w:val="clear" w:color="auto" w:fill="EAF9E8"/>
          </w:tcPr>
          <w:p>
            <w:pPr>
              <w:spacing w:after="0"/>
              <w:rPr>
                <w:sz w:val="18"/>
                <w:szCs w:val="18"/>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4,633</w:t>
            </w:r>
          </w:p>
        </w:tc>
        <w:tc>
          <w:tcPr>
            <w:tcW w:w="420" w:type="dxa"/>
            <w:vAlign w:val="bottom"/>
            <w:shd w:val="clear" w:color="auto" w:fill="EAF9E8"/>
          </w:tcPr>
          <w:p>
            <w:pPr>
              <w:spacing w:after="0"/>
              <w:rPr>
                <w:sz w:val="18"/>
                <w:szCs w:val="18"/>
                <w:color w:val="auto"/>
              </w:rPr>
            </w:pPr>
          </w:p>
        </w:tc>
        <w:tc>
          <w:tcPr>
            <w:tcW w:w="76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rPr>
              <w:t>(203)</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480" w:type="dxa"/>
            <w:vAlign w:val="bottom"/>
          </w:tcPr>
          <w:p>
            <w:pPr>
              <w:ind w:left="300"/>
              <w:spacing w:after="0"/>
              <w:rPr>
                <w:sz w:val="20"/>
                <w:szCs w:val="20"/>
                <w:color w:val="auto"/>
              </w:rPr>
            </w:pPr>
            <w:r>
              <w:rPr>
                <w:rFonts w:ascii="Arial" w:cs="Arial" w:eastAsia="Arial" w:hAnsi="Arial"/>
                <w:sz w:val="18"/>
                <w:szCs w:val="18"/>
                <w:color w:val="auto"/>
              </w:rPr>
              <w:t>Total segment operating expenses</w:t>
            </w: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16,363</w:t>
            </w: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16,860</w:t>
            </w:r>
          </w:p>
        </w:tc>
        <w:tc>
          <w:tcPr>
            <w:tcW w:w="420" w:type="dxa"/>
            <w:vAlign w:val="bottom"/>
          </w:tcPr>
          <w:p>
            <w:pPr>
              <w:spacing w:after="0"/>
              <w:rPr>
                <w:sz w:val="24"/>
                <w:szCs w:val="24"/>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(497)</w:t>
            </w: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500" w:type="dxa"/>
            <w:vAlign w:val="bottom"/>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EAF9E8"/>
          </w:tcPr>
          <w:p>
            <w:pPr>
              <w:spacing w:after="0"/>
              <w:rPr>
                <w:sz w:val="20"/>
                <w:szCs w:val="20"/>
                <w:color w:val="auto"/>
              </w:rPr>
            </w:pPr>
            <w:r>
              <w:rPr>
                <w:rFonts w:ascii="Arial" w:cs="Arial" w:eastAsia="Arial" w:hAnsi="Arial"/>
                <w:sz w:val="18"/>
                <w:szCs w:val="18"/>
                <w:color w:val="auto"/>
              </w:rPr>
              <w:t>Segment operating income</w:t>
            </w:r>
          </w:p>
        </w:tc>
        <w:tc>
          <w:tcPr>
            <w:tcW w:w="8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12,631</w:t>
            </w:r>
          </w:p>
        </w:tc>
        <w:tc>
          <w:tcPr>
            <w:tcW w:w="3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10,515</w:t>
            </w:r>
          </w:p>
        </w:tc>
        <w:tc>
          <w:tcPr>
            <w:tcW w:w="4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rPr>
              <w:t>2,116</w:t>
            </w:r>
          </w:p>
        </w:tc>
        <w:tc>
          <w:tcPr>
            <w:tcW w:w="72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2850515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right="2119"/>
        <w:spacing w:after="0" w:line="335" w:lineRule="auto"/>
        <w:rPr>
          <w:sz w:val="20"/>
          <w:szCs w:val="20"/>
          <w:color w:val="auto"/>
        </w:rPr>
      </w:pPr>
      <w:r>
        <w:rPr>
          <w:rFonts w:ascii="Arial" w:cs="Arial" w:eastAsia="Arial" w:hAnsi="Arial"/>
          <w:sz w:val="15"/>
          <w:szCs w:val="15"/>
          <w:color w:val="auto"/>
        </w:rPr>
        <w:t>Shenandoah Telephone Company provides both regulated and unregulated telephone services and leases fiber optic facilities primarily throughout the northern Shenandoah Valley. The telephone segment’s results were not affected by the restatement discussed in Note 2 to the consolidated financial statements appearing elsewhere in this report.</w:t>
      </w:r>
    </w:p>
    <w:p>
      <w:pPr>
        <w:spacing w:after="0" w:line="142" w:lineRule="exact"/>
        <w:rPr>
          <w:sz w:val="20"/>
          <w:szCs w:val="20"/>
          <w:color w:val="auto"/>
        </w:rPr>
      </w:pPr>
    </w:p>
    <w:p>
      <w:pPr>
        <w:ind w:right="2139"/>
        <w:spacing w:after="0" w:line="291" w:lineRule="auto"/>
        <w:rPr>
          <w:sz w:val="20"/>
          <w:szCs w:val="20"/>
          <w:color w:val="auto"/>
        </w:rPr>
      </w:pPr>
      <w:r>
        <w:rPr>
          <w:rFonts w:ascii="Arial" w:cs="Arial" w:eastAsia="Arial" w:hAnsi="Arial"/>
          <w:sz w:val="16"/>
          <w:szCs w:val="16"/>
          <w:color w:val="auto"/>
        </w:rPr>
        <w:t>Although growth in new housing starts in the Company’s local telephone area resulted in a net increase of 49 access lines during 2005, the trend over past periods has been a decline in subscribers, principally due to consumer migration to wireless and DSL services from traditional telephone services. The construction of new homes within Shenandoah County appears to have moderated and even reversed this trend in the short term. Based on industry experience, however, the Company anticipates that the long-term trend toward declining telephone subscriber counts may dominate for the foreseeable future.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31" w:lineRule="exact"/>
        <w:rPr>
          <w:sz w:val="20"/>
          <w:szCs w:val="20"/>
          <w:color w:val="auto"/>
        </w:rPr>
      </w:pPr>
    </w:p>
    <w:p>
      <w:pPr>
        <w:ind w:right="2219"/>
        <w:spacing w:after="0" w:line="256" w:lineRule="auto"/>
        <w:rPr>
          <w:sz w:val="20"/>
          <w:szCs w:val="20"/>
          <w:color w:val="auto"/>
        </w:rPr>
      </w:pPr>
      <w:r>
        <w:rPr>
          <w:rFonts w:ascii="Arial" w:cs="Arial" w:eastAsia="Arial" w:hAnsi="Arial"/>
          <w:sz w:val="18"/>
          <w:szCs w:val="18"/>
          <w:color w:val="auto"/>
        </w:rPr>
        <w:t>Total switched minutes of use on the local telephone network increased by 16.2% compared to 2004 and access revenues increased $0.9 million, or 7.3%. The mix of minutes that terminate to wireless carriers compared to total minutes shifted from 46.6% to 50.8%. The increase in minutes was primarily attributable to the increase in wireless traffic transiting the Company’s telephone network.</w:t>
      </w:r>
    </w:p>
    <w:p>
      <w:pPr>
        <w:spacing w:after="0" w:line="197" w:lineRule="exact"/>
        <w:rPr>
          <w:sz w:val="20"/>
          <w:szCs w:val="20"/>
          <w:color w:val="auto"/>
        </w:rPr>
      </w:pPr>
    </w:p>
    <w:p>
      <w:pPr>
        <w:ind w:right="2379"/>
        <w:spacing w:after="0" w:line="332" w:lineRule="auto"/>
        <w:rPr>
          <w:sz w:val="20"/>
          <w:szCs w:val="20"/>
          <w:color w:val="auto"/>
        </w:rPr>
      </w:pPr>
      <w:r>
        <w:rPr>
          <w:rFonts w:ascii="Arial" w:cs="Arial" w:eastAsia="Arial" w:hAnsi="Arial"/>
          <w:sz w:val="16"/>
          <w:szCs w:val="16"/>
          <w:color w:val="auto"/>
        </w:rPr>
        <w:t>DSL revenue, included in “access revenue,” increased $0.3 million to $0.8 million for 2005. Directory revenue, included in “other revenues,” increased by $0.3 million, or 17.9%, to $2.1 million for 2005.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and services</w:t>
      </w:r>
    </w:p>
    <w:p>
      <w:pPr>
        <w:spacing w:after="0" w:line="231" w:lineRule="exact"/>
        <w:rPr>
          <w:sz w:val="20"/>
          <w:szCs w:val="20"/>
          <w:color w:val="auto"/>
        </w:rPr>
      </w:pPr>
    </w:p>
    <w:p>
      <w:pPr>
        <w:ind w:right="2159"/>
        <w:spacing w:after="0" w:line="289" w:lineRule="auto"/>
        <w:rPr>
          <w:sz w:val="20"/>
          <w:szCs w:val="20"/>
          <w:color w:val="auto"/>
        </w:rPr>
      </w:pPr>
      <w:r>
        <w:rPr>
          <w:rFonts w:ascii="Arial" w:cs="Arial" w:eastAsia="Arial" w:hAnsi="Arial"/>
          <w:sz w:val="16"/>
          <w:szCs w:val="16"/>
          <w:color w:val="auto"/>
        </w:rPr>
        <w:t>Cost of goods and services increased in 2005 by $2.5 million, or 61.5%, due primarily to the new allocation methodology adopted by the Company in 2005. The Company filed a new affiliate agreement with the Virginia State Corporation Commission to change the approach of allocating shared resources and costs between the Company’s subsidiaries. The change pooled all employees into a single subsidiary and now allocates shared costs to the appropriate subsidiary, at loaded labor rates. This change in allocation methodology more accurately reflects costs related to labor, in the proper subsidiary and on the proper expense line with the cost of goods and services line increasing, while selling, general and administrative expenses often decreased by similar amounts. See Note 1 to the consolidated financial statements appearing elsewhere in this report for additional information.</w:t>
      </w:r>
    </w:p>
    <w:p>
      <w:pPr>
        <w:sectPr>
          <w:pgSz w:w="11900" w:h="16838" w:orient="portrait"/>
          <w:cols w:equalWidth="0" w:num="1">
            <w:col w:w="10219"/>
          </w:cols>
          <w:pgMar w:left="240" w:top="590" w:right="1440" w:bottom="1440" w:gutter="0" w:footer="0" w:header="0"/>
        </w:sectPr>
      </w:pPr>
    </w:p>
    <w:p>
      <w:pPr>
        <w:spacing w:after="0" w:line="172"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5166995" cy="469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90" w:right="1440"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31" w:lineRule="exact"/>
        <w:rPr>
          <w:sz w:val="20"/>
          <w:szCs w:val="20"/>
          <w:color w:val="auto"/>
        </w:rPr>
      </w:pPr>
    </w:p>
    <w:p>
      <w:pPr>
        <w:ind w:right="2119"/>
        <w:spacing w:after="0" w:line="256" w:lineRule="auto"/>
        <w:rPr>
          <w:sz w:val="20"/>
          <w:szCs w:val="20"/>
          <w:color w:val="auto"/>
        </w:rPr>
      </w:pPr>
      <w:r>
        <w:rPr>
          <w:rFonts w:ascii="Arial" w:cs="Arial" w:eastAsia="Arial" w:hAnsi="Arial"/>
          <w:sz w:val="18"/>
          <w:szCs w:val="18"/>
          <w:color w:val="auto"/>
        </w:rPr>
        <w:t>Selling, general and administrative expense decreased in 2005 by $2.8 million, or 34.6% due primarily to the new allocation methodology adopted by the Company in 2005. This reduction was nearly offset by the increase in cost of goods and services mentioned above. See Note 1 to the consolidated financial statements appearing elsewhere in this report for additional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Converged Services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3"/>
          </w:tcPr>
          <w:p>
            <w:pPr>
              <w:jc w:val="right"/>
              <w:ind w:right="614"/>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3"/>
          </w:tcPr>
          <w:p>
            <w:pPr>
              <w:jc w:val="right"/>
              <w:ind w:right="554"/>
              <w:spacing w:after="0" w:line="149"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37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277"/>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780" w:type="dxa"/>
            <w:vAlign w:val="bottom"/>
          </w:tcPr>
          <w:p>
            <w:pPr>
              <w:jc w:val="right"/>
              <w:ind w:right="354"/>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760" w:type="dxa"/>
            <w:vAlign w:val="bottom"/>
          </w:tcPr>
          <w:p>
            <w:pPr>
              <w:jc w:val="right"/>
              <w:ind w:right="356"/>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EAF9E8"/>
          </w:tcPr>
          <w:p>
            <w:pPr>
              <w:spacing w:after="0"/>
              <w:rPr>
                <w:sz w:val="20"/>
                <w:szCs w:val="20"/>
                <w:color w:val="auto"/>
              </w:rPr>
            </w:pPr>
            <w:r>
              <w:rPr>
                <w:rFonts w:ascii="Arial" w:cs="Arial" w:eastAsia="Arial" w:hAnsi="Arial"/>
                <w:sz w:val="18"/>
                <w:szCs w:val="18"/>
                <w:color w:val="auto"/>
              </w:rPr>
              <w:t>Segment operating revenues</w:t>
            </w: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40"/>
              <w:spacing w:after="0"/>
              <w:rPr>
                <w:sz w:val="20"/>
                <w:szCs w:val="20"/>
                <w:color w:val="auto"/>
              </w:rPr>
            </w:pPr>
            <w:r>
              <w:rPr>
                <w:rFonts w:ascii="Arial" w:cs="Arial" w:eastAsia="Arial" w:hAnsi="Arial"/>
                <w:sz w:val="18"/>
                <w:szCs w:val="18"/>
                <w:color w:val="auto"/>
              </w:rPr>
              <w:t>Service revenue – wireline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7"/>
              <w:spacing w:after="0"/>
              <w:rPr>
                <w:sz w:val="20"/>
                <w:szCs w:val="20"/>
                <w:color w:val="auto"/>
              </w:rPr>
            </w:pPr>
            <w:r>
              <w:rPr>
                <w:rFonts w:ascii="Arial" w:cs="Arial" w:eastAsia="Arial" w:hAnsi="Arial"/>
                <w:sz w:val="18"/>
                <w:szCs w:val="18"/>
                <w:color w:val="auto"/>
              </w:rPr>
              <w:t>9,631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4"/>
              <w:spacing w:after="0"/>
              <w:rPr>
                <w:sz w:val="20"/>
                <w:szCs w:val="20"/>
                <w:color w:val="auto"/>
              </w:rPr>
            </w:pPr>
            <w:r>
              <w:rPr>
                <w:rFonts w:ascii="Arial" w:cs="Arial" w:eastAsia="Arial" w:hAnsi="Arial"/>
                <w:sz w:val="18"/>
                <w:szCs w:val="18"/>
                <w:color w:val="auto"/>
              </w:rPr>
              <w:t>731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8,900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Equipment revenue</w:t>
            </w: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77"/>
              <w:spacing w:after="0"/>
              <w:rPr>
                <w:sz w:val="20"/>
                <w:szCs w:val="20"/>
                <w:color w:val="auto"/>
              </w:rPr>
            </w:pPr>
            <w:r>
              <w:rPr>
                <w:rFonts w:ascii="Arial" w:cs="Arial" w:eastAsia="Arial" w:hAnsi="Arial"/>
                <w:sz w:val="18"/>
                <w:szCs w:val="18"/>
                <w:color w:val="auto"/>
              </w:rPr>
              <w:t>12</w:t>
            </w:r>
          </w:p>
        </w:tc>
        <w:tc>
          <w:tcPr>
            <w:tcW w:w="200" w:type="dxa"/>
            <w:vAlign w:val="bottom"/>
            <w:shd w:val="clear" w:color="auto" w:fill="EAF9E8"/>
          </w:tcPr>
          <w:p>
            <w:pPr>
              <w:spacing w:after="0"/>
              <w:rPr>
                <w:sz w:val="18"/>
                <w:szCs w:val="18"/>
                <w:color w:val="auto"/>
              </w:rPr>
            </w:pPr>
          </w:p>
        </w:tc>
        <w:tc>
          <w:tcPr>
            <w:tcW w:w="780" w:type="dxa"/>
            <w:vAlign w:val="bottom"/>
            <w:shd w:val="clear" w:color="auto" w:fill="EAF9E8"/>
          </w:tcPr>
          <w:p>
            <w:pPr>
              <w:jc w:val="right"/>
              <w:ind w:right="114"/>
              <w:spacing w:after="0"/>
              <w:rPr>
                <w:sz w:val="20"/>
                <w:szCs w:val="20"/>
                <w:color w:val="auto"/>
              </w:rPr>
            </w:pPr>
            <w:r>
              <w:rPr>
                <w:rFonts w:ascii="Arial" w:cs="Arial" w:eastAsia="Arial" w:hAnsi="Arial"/>
                <w:sz w:val="18"/>
                <w:szCs w:val="18"/>
                <w:color w:val="auto"/>
              </w:rPr>
              <w:t>(1)</w:t>
            </w:r>
          </w:p>
        </w:tc>
        <w:tc>
          <w:tcPr>
            <w:tcW w:w="100" w:type="dxa"/>
            <w:vAlign w:val="bottom"/>
            <w:shd w:val="clear" w:color="auto" w:fill="EAF9E8"/>
          </w:tcPr>
          <w:p>
            <w:pPr>
              <w:spacing w:after="0"/>
              <w:rPr>
                <w:sz w:val="18"/>
                <w:szCs w:val="18"/>
                <w:color w:val="auto"/>
              </w:rPr>
            </w:pPr>
          </w:p>
        </w:tc>
        <w:tc>
          <w:tcPr>
            <w:tcW w:w="760" w:type="dxa"/>
            <w:vAlign w:val="bottom"/>
            <w:shd w:val="clear" w:color="auto" w:fill="EAF9E8"/>
          </w:tcPr>
          <w:p>
            <w:pPr>
              <w:jc w:val="right"/>
              <w:ind w:right="16"/>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ind w:left="140"/>
              <w:spacing w:after="0"/>
              <w:rPr>
                <w:sz w:val="20"/>
                <w:szCs w:val="20"/>
                <w:color w:val="auto"/>
              </w:rPr>
            </w:pPr>
            <w:r>
              <w:rPr>
                <w:rFonts w:ascii="Arial" w:cs="Arial" w:eastAsia="Arial" w:hAnsi="Arial"/>
                <w:sz w:val="18"/>
                <w:szCs w:val="18"/>
                <w:color w:val="auto"/>
              </w:rPr>
              <w:t>Other revenue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ind w:right="77"/>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9"/>
                <w:szCs w:val="19"/>
                <w:color w:val="auto"/>
              </w:rPr>
            </w:pPr>
          </w:p>
        </w:tc>
        <w:tc>
          <w:tcPr>
            <w:tcW w:w="780" w:type="dxa"/>
            <w:vAlign w:val="bottom"/>
          </w:tcPr>
          <w:p>
            <w:pPr>
              <w:jc w:val="right"/>
              <w:ind w:right="17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AF9E8"/>
          </w:tcPr>
          <w:p>
            <w:pPr>
              <w:ind w:left="300"/>
              <w:spacing w:after="0"/>
              <w:rPr>
                <w:sz w:val="20"/>
                <w:szCs w:val="20"/>
                <w:color w:val="auto"/>
              </w:rPr>
            </w:pPr>
            <w:r>
              <w:rPr>
                <w:rFonts w:ascii="Arial" w:cs="Arial" w:eastAsia="Arial" w:hAnsi="Arial"/>
                <w:sz w:val="18"/>
                <w:szCs w:val="18"/>
                <w:color w:val="auto"/>
              </w:rPr>
              <w:t>Total segment operating revenues</w:t>
            </w: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77"/>
              <w:spacing w:after="0"/>
              <w:rPr>
                <w:sz w:val="20"/>
                <w:szCs w:val="20"/>
                <w:color w:val="auto"/>
              </w:rPr>
            </w:pPr>
            <w:r>
              <w:rPr>
                <w:rFonts w:ascii="Arial" w:cs="Arial" w:eastAsia="Arial" w:hAnsi="Arial"/>
                <w:sz w:val="18"/>
                <w:szCs w:val="18"/>
                <w:color w:val="auto"/>
              </w:rPr>
              <w:t>9,822</w:t>
            </w:r>
          </w:p>
        </w:tc>
        <w:tc>
          <w:tcPr>
            <w:tcW w:w="200" w:type="dxa"/>
            <w:vAlign w:val="bottom"/>
            <w:shd w:val="clear" w:color="auto" w:fill="EAF9E8"/>
          </w:tcPr>
          <w:p>
            <w:pPr>
              <w:spacing w:after="0"/>
              <w:rPr>
                <w:sz w:val="18"/>
                <w:szCs w:val="18"/>
                <w:color w:val="auto"/>
              </w:rPr>
            </w:pPr>
          </w:p>
        </w:tc>
        <w:tc>
          <w:tcPr>
            <w:tcW w:w="780" w:type="dxa"/>
            <w:vAlign w:val="bottom"/>
            <w:shd w:val="clear" w:color="auto" w:fill="EAF9E8"/>
          </w:tcPr>
          <w:p>
            <w:pPr>
              <w:jc w:val="right"/>
              <w:ind w:right="174"/>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EAF9E8"/>
          </w:tcPr>
          <w:p>
            <w:pPr>
              <w:spacing w:after="0"/>
              <w:rPr>
                <w:sz w:val="18"/>
                <w:szCs w:val="18"/>
                <w:color w:val="auto"/>
              </w:rPr>
            </w:pPr>
          </w:p>
        </w:tc>
        <w:tc>
          <w:tcPr>
            <w:tcW w:w="760" w:type="dxa"/>
            <w:vAlign w:val="bottom"/>
            <w:shd w:val="clear" w:color="auto" w:fill="EAF9E8"/>
          </w:tcPr>
          <w:p>
            <w:pPr>
              <w:jc w:val="right"/>
              <w:ind w:right="16"/>
              <w:spacing w:after="0"/>
              <w:rPr>
                <w:sz w:val="20"/>
                <w:szCs w:val="20"/>
                <w:color w:val="auto"/>
              </w:rPr>
            </w:pPr>
            <w:r>
              <w:rPr>
                <w:rFonts w:ascii="Arial" w:cs="Arial" w:eastAsia="Arial" w:hAnsi="Arial"/>
                <w:sz w:val="18"/>
                <w:szCs w:val="18"/>
                <w:color w:val="auto"/>
              </w:rPr>
              <w:t>9,086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700" w:type="dxa"/>
            <w:vAlign w:val="bottom"/>
            <w:gridSpan w:val="2"/>
            <w:vMerge w:val="restart"/>
          </w:tcPr>
          <w:p>
            <w:pPr>
              <w:spacing w:after="0"/>
              <w:rPr>
                <w:sz w:val="20"/>
                <w:szCs w:val="20"/>
                <w:color w:val="auto"/>
              </w:rPr>
            </w:pPr>
            <w:r>
              <w:rPr>
                <w:rFonts w:ascii="Arial" w:cs="Arial" w:eastAsia="Arial" w:hAnsi="Arial"/>
                <w:sz w:val="18"/>
                <w:szCs w:val="18"/>
                <w:color w:val="auto"/>
              </w:rPr>
              <w:t>Segment operating expenses</w:t>
            </w:r>
          </w:p>
        </w:tc>
        <w:tc>
          <w:tcPr>
            <w:tcW w:w="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37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Cost of goods and services, exclusive of</w:t>
            </w: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AF9E8"/>
          </w:tcPr>
          <w:p>
            <w:pPr>
              <w:ind w:left="300"/>
              <w:spacing w:after="0"/>
              <w:rPr>
                <w:sz w:val="20"/>
                <w:szCs w:val="20"/>
                <w:color w:val="auto"/>
              </w:rPr>
            </w:pPr>
            <w:r>
              <w:rPr>
                <w:rFonts w:ascii="Arial" w:cs="Arial" w:eastAsia="Arial" w:hAnsi="Arial"/>
                <w:sz w:val="18"/>
                <w:szCs w:val="18"/>
                <w:color w:val="auto"/>
              </w:rPr>
              <w:t>depreciation and amortization shown</w:t>
            </w: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80" w:type="dxa"/>
            <w:vAlign w:val="bottom"/>
            <w:shd w:val="clear" w:color="auto" w:fill="EAF9E8"/>
          </w:tcPr>
          <w:p>
            <w:pPr>
              <w:ind w:left="300"/>
              <w:spacing w:after="0"/>
              <w:rPr>
                <w:sz w:val="20"/>
                <w:szCs w:val="20"/>
                <w:color w:val="auto"/>
              </w:rPr>
            </w:pPr>
            <w:r>
              <w:rPr>
                <w:rFonts w:ascii="Arial" w:cs="Arial" w:eastAsia="Arial" w:hAnsi="Arial"/>
                <w:sz w:val="18"/>
                <w:szCs w:val="18"/>
                <w:color w:val="auto"/>
              </w:rPr>
              <w:t>separately below</w:t>
            </w:r>
          </w:p>
        </w:tc>
        <w:tc>
          <w:tcPr>
            <w:tcW w:w="14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740" w:type="dxa"/>
            <w:vAlign w:val="bottom"/>
            <w:shd w:val="clear" w:color="auto" w:fill="EAF9E8"/>
          </w:tcPr>
          <w:p>
            <w:pPr>
              <w:jc w:val="right"/>
              <w:ind w:right="77"/>
              <w:spacing w:after="0"/>
              <w:rPr>
                <w:sz w:val="20"/>
                <w:szCs w:val="20"/>
                <w:color w:val="auto"/>
              </w:rPr>
            </w:pPr>
            <w:r>
              <w:rPr>
                <w:rFonts w:ascii="Arial" w:cs="Arial" w:eastAsia="Arial" w:hAnsi="Arial"/>
                <w:sz w:val="18"/>
                <w:szCs w:val="18"/>
                <w:color w:val="auto"/>
              </w:rPr>
              <w:t>6,783</w:t>
            </w:r>
          </w:p>
        </w:tc>
        <w:tc>
          <w:tcPr>
            <w:tcW w:w="200" w:type="dxa"/>
            <w:vAlign w:val="bottom"/>
            <w:shd w:val="clear" w:color="auto" w:fill="EAF9E8"/>
          </w:tcPr>
          <w:p>
            <w:pPr>
              <w:spacing w:after="0"/>
              <w:rPr>
                <w:sz w:val="19"/>
                <w:szCs w:val="19"/>
                <w:color w:val="auto"/>
              </w:rPr>
            </w:pPr>
          </w:p>
        </w:tc>
        <w:tc>
          <w:tcPr>
            <w:tcW w:w="780" w:type="dxa"/>
            <w:vAlign w:val="bottom"/>
            <w:shd w:val="clear" w:color="auto" w:fill="EAF9E8"/>
          </w:tcPr>
          <w:p>
            <w:pPr>
              <w:jc w:val="right"/>
              <w:ind w:right="174"/>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EAF9E8"/>
          </w:tcPr>
          <w:p>
            <w:pPr>
              <w:spacing w:after="0"/>
              <w:rPr>
                <w:sz w:val="19"/>
                <w:szCs w:val="19"/>
                <w:color w:val="auto"/>
              </w:rPr>
            </w:pPr>
          </w:p>
        </w:tc>
        <w:tc>
          <w:tcPr>
            <w:tcW w:w="760" w:type="dxa"/>
            <w:vAlign w:val="bottom"/>
            <w:shd w:val="clear" w:color="auto" w:fill="EAF9E8"/>
          </w:tcPr>
          <w:p>
            <w:pPr>
              <w:jc w:val="right"/>
              <w:ind w:right="16"/>
              <w:spacing w:after="0"/>
              <w:rPr>
                <w:sz w:val="20"/>
                <w:szCs w:val="20"/>
                <w:color w:val="auto"/>
              </w:rPr>
            </w:pPr>
            <w:r>
              <w:rPr>
                <w:rFonts w:ascii="Arial" w:cs="Arial" w:eastAsia="Arial" w:hAnsi="Arial"/>
                <w:sz w:val="18"/>
                <w:szCs w:val="18"/>
                <w:color w:val="auto"/>
              </w:rPr>
              <w:t>6,431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80" w:type="dxa"/>
            <w:vAlign w:val="bottom"/>
          </w:tcPr>
          <w:p>
            <w:pPr>
              <w:ind w:left="140"/>
              <w:spacing w:after="0"/>
              <w:rPr>
                <w:sz w:val="20"/>
                <w:szCs w:val="20"/>
                <w:color w:val="auto"/>
              </w:rPr>
            </w:pPr>
            <w:r>
              <w:rPr>
                <w:rFonts w:ascii="Arial" w:cs="Arial" w:eastAsia="Arial" w:hAnsi="Arial"/>
                <w:sz w:val="18"/>
                <w:szCs w:val="18"/>
                <w:color w:val="auto"/>
                <w:w w:val="92"/>
              </w:rPr>
              <w:t>Selling, general and administrative, exclusive of</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300"/>
              <w:spacing w:after="0"/>
              <w:rPr>
                <w:sz w:val="20"/>
                <w:szCs w:val="20"/>
                <w:color w:val="auto"/>
              </w:rPr>
            </w:pPr>
            <w:r>
              <w:rPr>
                <w:rFonts w:ascii="Arial" w:cs="Arial" w:eastAsia="Arial" w:hAnsi="Arial"/>
                <w:sz w:val="18"/>
                <w:szCs w:val="18"/>
                <w:color w:val="auto"/>
              </w:rPr>
              <w:t>depreciation and amortization shown</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ind w:left="300"/>
              <w:spacing w:after="0"/>
              <w:rPr>
                <w:sz w:val="20"/>
                <w:szCs w:val="20"/>
                <w:color w:val="auto"/>
              </w:rPr>
            </w:pPr>
            <w:r>
              <w:rPr>
                <w:rFonts w:ascii="Arial" w:cs="Arial" w:eastAsia="Arial" w:hAnsi="Arial"/>
                <w:sz w:val="18"/>
                <w:szCs w:val="18"/>
                <w:color w:val="auto"/>
              </w:rPr>
              <w:t>separately below</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ind w:right="77"/>
              <w:spacing w:after="0"/>
              <w:rPr>
                <w:sz w:val="20"/>
                <w:szCs w:val="20"/>
                <w:color w:val="auto"/>
              </w:rPr>
            </w:pPr>
            <w:r>
              <w:rPr>
                <w:rFonts w:ascii="Arial" w:cs="Arial" w:eastAsia="Arial" w:hAnsi="Arial"/>
                <w:sz w:val="18"/>
                <w:szCs w:val="18"/>
                <w:color w:val="auto"/>
              </w:rPr>
              <w:t>4,378</w:t>
            </w:r>
          </w:p>
        </w:tc>
        <w:tc>
          <w:tcPr>
            <w:tcW w:w="200" w:type="dxa"/>
            <w:vAlign w:val="bottom"/>
          </w:tcPr>
          <w:p>
            <w:pPr>
              <w:spacing w:after="0"/>
              <w:rPr>
                <w:sz w:val="19"/>
                <w:szCs w:val="19"/>
                <w:color w:val="auto"/>
              </w:rPr>
            </w:pPr>
          </w:p>
        </w:tc>
        <w:tc>
          <w:tcPr>
            <w:tcW w:w="780" w:type="dxa"/>
            <w:vAlign w:val="bottom"/>
          </w:tcPr>
          <w:p>
            <w:pPr>
              <w:jc w:val="right"/>
              <w:ind w:right="174"/>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4,059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77"/>
              <w:spacing w:after="0"/>
              <w:rPr>
                <w:sz w:val="20"/>
                <w:szCs w:val="20"/>
                <w:color w:val="auto"/>
              </w:rPr>
            </w:pPr>
            <w:r>
              <w:rPr>
                <w:rFonts w:ascii="Arial" w:cs="Arial" w:eastAsia="Arial" w:hAnsi="Arial"/>
                <w:sz w:val="18"/>
                <w:szCs w:val="18"/>
                <w:color w:val="auto"/>
              </w:rPr>
              <w:t>2,575</w:t>
            </w:r>
          </w:p>
        </w:tc>
        <w:tc>
          <w:tcPr>
            <w:tcW w:w="200" w:type="dxa"/>
            <w:vAlign w:val="bottom"/>
            <w:shd w:val="clear" w:color="auto" w:fill="EAF9E8"/>
          </w:tcPr>
          <w:p>
            <w:pPr>
              <w:spacing w:after="0"/>
              <w:rPr>
                <w:sz w:val="18"/>
                <w:szCs w:val="18"/>
                <w:color w:val="auto"/>
              </w:rPr>
            </w:pPr>
          </w:p>
        </w:tc>
        <w:tc>
          <w:tcPr>
            <w:tcW w:w="780" w:type="dxa"/>
            <w:vAlign w:val="bottom"/>
            <w:shd w:val="clear" w:color="auto" w:fill="EAF9E8"/>
          </w:tcPr>
          <w:p>
            <w:pPr>
              <w:jc w:val="right"/>
              <w:ind w:right="174"/>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EAF9E8"/>
          </w:tcPr>
          <w:p>
            <w:pPr>
              <w:spacing w:after="0"/>
              <w:rPr>
                <w:sz w:val="18"/>
                <w:szCs w:val="18"/>
                <w:color w:val="auto"/>
              </w:rPr>
            </w:pPr>
          </w:p>
        </w:tc>
        <w:tc>
          <w:tcPr>
            <w:tcW w:w="760" w:type="dxa"/>
            <w:vAlign w:val="bottom"/>
            <w:shd w:val="clear" w:color="auto" w:fill="EAF9E8"/>
          </w:tcPr>
          <w:p>
            <w:pPr>
              <w:jc w:val="right"/>
              <w:ind w:right="16"/>
              <w:spacing w:after="0"/>
              <w:rPr>
                <w:sz w:val="20"/>
                <w:szCs w:val="20"/>
                <w:color w:val="auto"/>
              </w:rPr>
            </w:pPr>
            <w:r>
              <w:rPr>
                <w:rFonts w:ascii="Arial" w:cs="Arial" w:eastAsia="Arial" w:hAnsi="Arial"/>
                <w:sz w:val="18"/>
                <w:szCs w:val="18"/>
                <w:color w:val="auto"/>
              </w:rPr>
              <w:t>2,343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680" w:type="dxa"/>
            <w:vAlign w:val="bottom"/>
          </w:tcPr>
          <w:p>
            <w:pPr>
              <w:ind w:left="300"/>
              <w:spacing w:after="0"/>
              <w:rPr>
                <w:sz w:val="20"/>
                <w:szCs w:val="20"/>
                <w:color w:val="auto"/>
              </w:rPr>
            </w:pPr>
            <w:r>
              <w:rPr>
                <w:rFonts w:ascii="Arial" w:cs="Arial" w:eastAsia="Arial" w:hAnsi="Arial"/>
                <w:sz w:val="18"/>
                <w:szCs w:val="18"/>
                <w:color w:val="auto"/>
              </w:rPr>
              <w:t>Total segment operating expenses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ind w:right="77"/>
              <w:spacing w:after="0"/>
              <w:rPr>
                <w:sz w:val="20"/>
                <w:szCs w:val="20"/>
                <w:color w:val="auto"/>
              </w:rPr>
            </w:pPr>
            <w:r>
              <w:rPr>
                <w:rFonts w:ascii="Arial" w:cs="Arial" w:eastAsia="Arial" w:hAnsi="Arial"/>
                <w:sz w:val="18"/>
                <w:szCs w:val="18"/>
                <w:color w:val="auto"/>
              </w:rPr>
              <w:t>13,736</w:t>
            </w:r>
          </w:p>
        </w:tc>
        <w:tc>
          <w:tcPr>
            <w:tcW w:w="200" w:type="dxa"/>
            <w:vAlign w:val="bottom"/>
          </w:tcPr>
          <w:p>
            <w:pPr>
              <w:spacing w:after="0"/>
              <w:rPr>
                <w:sz w:val="24"/>
                <w:szCs w:val="24"/>
                <w:color w:val="auto"/>
              </w:rPr>
            </w:pPr>
          </w:p>
        </w:tc>
        <w:tc>
          <w:tcPr>
            <w:tcW w:w="780" w:type="dxa"/>
            <w:vAlign w:val="bottom"/>
          </w:tcPr>
          <w:p>
            <w:pPr>
              <w:jc w:val="right"/>
              <w:ind w:right="174"/>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24"/>
                <w:szCs w:val="24"/>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12, 833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70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EAF9E8"/>
          </w:tcPr>
          <w:p>
            <w:pPr>
              <w:spacing w:after="0"/>
              <w:rPr>
                <w:sz w:val="20"/>
                <w:szCs w:val="20"/>
                <w:color w:val="auto"/>
              </w:rPr>
            </w:pPr>
            <w:r>
              <w:rPr>
                <w:rFonts w:ascii="Arial" w:cs="Arial" w:eastAsia="Arial" w:hAnsi="Arial"/>
                <w:sz w:val="18"/>
                <w:szCs w:val="18"/>
                <w:color w:val="auto"/>
              </w:rPr>
              <w:t>Segment operating (loss)</w:t>
            </w:r>
          </w:p>
        </w:tc>
        <w:tc>
          <w:tcPr>
            <w:tcW w:w="2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AF9E8"/>
          </w:tcPr>
          <w:p>
            <w:pPr>
              <w:jc w:val="right"/>
              <w:ind w:right="17"/>
              <w:spacing w:after="0"/>
              <w:rPr>
                <w:sz w:val="20"/>
                <w:szCs w:val="20"/>
                <w:color w:val="auto"/>
              </w:rPr>
            </w:pPr>
            <w:r>
              <w:rPr>
                <w:rFonts w:ascii="Arial" w:cs="Arial" w:eastAsia="Arial" w:hAnsi="Arial"/>
                <w:sz w:val="18"/>
                <w:szCs w:val="18"/>
                <w:color w:val="auto"/>
              </w:rPr>
              <w:t>(3,914)</w:t>
            </w:r>
          </w:p>
        </w:tc>
        <w:tc>
          <w:tcPr>
            <w:tcW w:w="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AF9E8"/>
          </w:tcPr>
          <w:p>
            <w:pPr>
              <w:jc w:val="right"/>
              <w:ind w:right="114"/>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2430145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239"/>
        <w:spacing w:after="0" w:line="294" w:lineRule="auto"/>
        <w:rPr>
          <w:sz w:val="20"/>
          <w:szCs w:val="20"/>
          <w:color w:val="auto"/>
        </w:rPr>
      </w:pPr>
      <w:r>
        <w:rPr>
          <w:rFonts w:ascii="Arial" w:cs="Arial" w:eastAsia="Arial" w:hAnsi="Arial"/>
          <w:sz w:val="16"/>
          <w:szCs w:val="16"/>
          <w:color w:val="auto"/>
        </w:rPr>
        <w:t>The Converged Services segment primarily consists of the operations of NTC, which provides local and long distance voice, data and video services on an exclusive and non-exclusive basis to MDU communities throughout the southeastern United States including Virginia, North Carolina, Maryland, South Carolina, Georgia, Florida, Tennessee and Mississippi. The Converged Services segment’s results were not affected by the restatement detailed in Note 2 to the consolidated financial statements appearing elsewhere in this report.</w:t>
      </w:r>
    </w:p>
    <w:p>
      <w:pPr>
        <w:spacing w:after="0" w:line="170" w:lineRule="exact"/>
        <w:rPr>
          <w:sz w:val="20"/>
          <w:szCs w:val="20"/>
          <w:color w:val="auto"/>
        </w:rPr>
      </w:pPr>
    </w:p>
    <w:p>
      <w:pPr>
        <w:ind w:right="2239"/>
        <w:spacing w:after="0" w:line="256" w:lineRule="auto"/>
        <w:rPr>
          <w:sz w:val="20"/>
          <w:szCs w:val="20"/>
          <w:color w:val="auto"/>
        </w:rPr>
      </w:pPr>
      <w:r>
        <w:rPr>
          <w:rFonts w:ascii="Arial" w:cs="Arial" w:eastAsia="Arial" w:hAnsi="Arial"/>
          <w:sz w:val="18"/>
          <w:szCs w:val="18"/>
          <w:color w:val="auto"/>
        </w:rPr>
        <w:t>The Company purchased the remaining 83.9% of NTC that it did not previously own on November 30, 2004, and prior to that date had no other activities in this segment other than through its minority interest in NTC. Accordingly, 2004 operating results include one month of operating activity for NTC while the 2005 operating results include a full year of NTC’s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selected operating statistics for NTC at December 31, 2005.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At December 31, 2005</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gridSpan w:val="2"/>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Subscribers</w:t>
            </w: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4"/>
              </w:rPr>
              <w:t>Accounts</w:t>
            </w:r>
          </w:p>
        </w:tc>
        <w:tc>
          <w:tcPr>
            <w:tcW w:w="760" w:type="dxa"/>
            <w:vAlign w:val="bottom"/>
          </w:tcPr>
          <w:p>
            <w:pPr>
              <w:jc w:val="right"/>
              <w:ind w:right="24"/>
              <w:spacing w:after="0"/>
              <w:rPr>
                <w:sz w:val="20"/>
                <w:szCs w:val="20"/>
                <w:color w:val="auto"/>
              </w:rPr>
            </w:pPr>
            <w:r>
              <w:rPr>
                <w:rFonts w:ascii="Arial" w:cs="Arial" w:eastAsia="Arial" w:hAnsi="Arial"/>
                <w:sz w:val="14"/>
                <w:szCs w:val="14"/>
                <w:b w:val="1"/>
                <w:bCs w:val="1"/>
                <w:color w:val="auto"/>
              </w:rPr>
              <w:t>Network</w:t>
            </w:r>
          </w:p>
        </w:tc>
        <w:tc>
          <w:tcPr>
            <w:tcW w:w="620" w:type="dxa"/>
            <w:vAlign w:val="bottom"/>
          </w:tcPr>
          <w:p>
            <w:pPr>
              <w:ind w:left="100"/>
              <w:spacing w:after="0"/>
              <w:rPr>
                <w:sz w:val="20"/>
                <w:szCs w:val="20"/>
                <w:color w:val="auto"/>
              </w:rPr>
            </w:pPr>
            <w:r>
              <w:rPr>
                <w:rFonts w:ascii="Arial" w:cs="Arial" w:eastAsia="Arial" w:hAnsi="Arial"/>
                <w:sz w:val="14"/>
                <w:szCs w:val="14"/>
                <w:b w:val="1"/>
                <w:bCs w:val="1"/>
                <w:color w:val="auto"/>
              </w:rPr>
              <w:t>Video</w:t>
            </w:r>
          </w:p>
        </w:tc>
        <w:tc>
          <w:tcPr>
            <w:tcW w:w="580" w:type="dxa"/>
            <w:vAlign w:val="bottom"/>
            <w:gridSpan w:val="2"/>
          </w:tcPr>
          <w:p>
            <w:pPr>
              <w:ind w:left="80"/>
              <w:spacing w:after="0"/>
              <w:rPr>
                <w:sz w:val="20"/>
                <w:szCs w:val="20"/>
                <w:color w:val="auto"/>
              </w:rPr>
            </w:pPr>
            <w:r>
              <w:rPr>
                <w:rFonts w:ascii="Arial" w:cs="Arial" w:eastAsia="Arial" w:hAnsi="Arial"/>
                <w:sz w:val="14"/>
                <w:szCs w:val="14"/>
                <w:b w:val="1"/>
                <w:bCs w:val="1"/>
                <w:color w:val="auto"/>
              </w:rPr>
              <w:t>Phone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EAF9E8"/>
          </w:tcPr>
          <w:p>
            <w:pPr>
              <w:spacing w:after="0"/>
              <w:rPr>
                <w:sz w:val="20"/>
                <w:szCs w:val="20"/>
                <w:color w:val="auto"/>
              </w:rPr>
            </w:pPr>
            <w:r>
              <w:rPr>
                <w:rFonts w:ascii="Arial" w:cs="Arial" w:eastAsia="Arial" w:hAnsi="Arial"/>
                <w:sz w:val="18"/>
                <w:szCs w:val="18"/>
                <w:color w:val="auto"/>
              </w:rPr>
              <w:t>Bulk Accounts (1)</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w:t>
            </w:r>
          </w:p>
        </w:tc>
        <w:tc>
          <w:tcPr>
            <w:tcW w:w="760" w:type="dxa"/>
            <w:vAlign w:val="bottom"/>
            <w:shd w:val="clear" w:color="auto" w:fill="EAF9E8"/>
          </w:tcPr>
          <w:p>
            <w:pPr>
              <w:jc w:val="right"/>
              <w:ind w:right="4"/>
              <w:spacing w:after="0"/>
              <w:rPr>
                <w:sz w:val="20"/>
                <w:szCs w:val="20"/>
                <w:color w:val="auto"/>
              </w:rPr>
            </w:pPr>
            <w:r>
              <w:rPr>
                <w:rFonts w:ascii="Arial" w:cs="Arial" w:eastAsia="Arial" w:hAnsi="Arial"/>
                <w:sz w:val="18"/>
                <w:szCs w:val="18"/>
                <w:color w:val="auto"/>
              </w:rPr>
              <w:t>10,701</w:t>
            </w:r>
          </w:p>
        </w:tc>
        <w:tc>
          <w:tcPr>
            <w:tcW w:w="620" w:type="dxa"/>
            <w:vAlign w:val="bottom"/>
            <w:shd w:val="clear" w:color="auto" w:fill="EAF9E8"/>
          </w:tcPr>
          <w:p>
            <w:pPr>
              <w:ind w:left="100"/>
              <w:spacing w:after="0"/>
              <w:rPr>
                <w:sz w:val="20"/>
                <w:szCs w:val="20"/>
                <w:color w:val="auto"/>
              </w:rPr>
            </w:pPr>
            <w:r>
              <w:rPr>
                <w:rFonts w:ascii="Arial" w:cs="Arial" w:eastAsia="Arial" w:hAnsi="Arial"/>
                <w:sz w:val="18"/>
                <w:szCs w:val="18"/>
                <w:color w:val="auto"/>
              </w:rPr>
              <w:t>2,997</w:t>
            </w:r>
          </w:p>
        </w:tc>
        <w:tc>
          <w:tcPr>
            <w:tcW w:w="560" w:type="dxa"/>
            <w:vAlign w:val="bottom"/>
            <w:shd w:val="clear" w:color="auto" w:fill="EAF9E8"/>
          </w:tcPr>
          <w:p>
            <w:pPr>
              <w:ind w:left="100"/>
              <w:spacing w:after="0"/>
              <w:rPr>
                <w:sz w:val="20"/>
                <w:szCs w:val="20"/>
                <w:color w:val="auto"/>
              </w:rPr>
            </w:pPr>
            <w:r>
              <w:rPr>
                <w:rFonts w:ascii="Arial" w:cs="Arial" w:eastAsia="Arial" w:hAnsi="Arial"/>
                <w:sz w:val="18"/>
                <w:szCs w:val="18"/>
                <w:color w:val="auto"/>
                <w:w w:val="97"/>
              </w:rPr>
              <w:t>6,423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Retail Accounts (2)</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10,009</w:t>
            </w:r>
          </w:p>
        </w:tc>
        <w:tc>
          <w:tcPr>
            <w:tcW w:w="760" w:type="dxa"/>
            <w:vAlign w:val="bottom"/>
          </w:tcPr>
          <w:p>
            <w:pPr>
              <w:jc w:val="right"/>
              <w:ind w:right="4"/>
              <w:spacing w:after="0"/>
              <w:rPr>
                <w:sz w:val="20"/>
                <w:szCs w:val="20"/>
                <w:color w:val="auto"/>
              </w:rPr>
            </w:pPr>
            <w:r>
              <w:rPr>
                <w:rFonts w:ascii="Arial" w:cs="Arial" w:eastAsia="Arial" w:hAnsi="Arial"/>
                <w:sz w:val="18"/>
                <w:szCs w:val="18"/>
                <w:color w:val="auto"/>
              </w:rPr>
              <w:t>11,625</w:t>
            </w:r>
          </w:p>
        </w:tc>
        <w:tc>
          <w:tcPr>
            <w:tcW w:w="620" w:type="dxa"/>
            <w:vAlign w:val="bottom"/>
          </w:tcPr>
          <w:p>
            <w:pPr>
              <w:ind w:left="100"/>
              <w:spacing w:after="0"/>
              <w:rPr>
                <w:sz w:val="20"/>
                <w:szCs w:val="20"/>
                <w:color w:val="auto"/>
              </w:rPr>
            </w:pPr>
            <w:r>
              <w:rPr>
                <w:rFonts w:ascii="Arial" w:cs="Arial" w:eastAsia="Arial" w:hAnsi="Arial"/>
                <w:sz w:val="18"/>
                <w:szCs w:val="18"/>
                <w:color w:val="auto"/>
              </w:rPr>
              <w:t>5,464</w:t>
            </w:r>
          </w:p>
        </w:tc>
        <w:tc>
          <w:tcPr>
            <w:tcW w:w="560" w:type="dxa"/>
            <w:vAlign w:val="bottom"/>
          </w:tcPr>
          <w:p>
            <w:pPr>
              <w:ind w:left="100"/>
              <w:spacing w:after="0"/>
              <w:rPr>
                <w:sz w:val="20"/>
                <w:szCs w:val="20"/>
                <w:color w:val="auto"/>
              </w:rPr>
            </w:pPr>
            <w:r>
              <w:rPr>
                <w:rFonts w:ascii="Arial" w:cs="Arial" w:eastAsia="Arial" w:hAnsi="Arial"/>
                <w:sz w:val="18"/>
                <w:szCs w:val="18"/>
                <w:color w:val="auto"/>
                <w:w w:val="97"/>
              </w:rPr>
              <w:t>3,491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EAF9E8"/>
          </w:tcPr>
          <w:p>
            <w:pPr>
              <w:spacing w:after="0"/>
              <w:rPr>
                <w:sz w:val="20"/>
                <w:szCs w:val="20"/>
                <w:color w:val="auto"/>
              </w:rPr>
            </w:pPr>
            <w:r>
              <w:rPr>
                <w:rFonts w:ascii="Arial" w:cs="Arial" w:eastAsia="Arial" w:hAnsi="Arial"/>
                <w:sz w:val="18"/>
                <w:szCs w:val="18"/>
                <w:color w:val="auto"/>
              </w:rPr>
              <w:t>NTC Properties Served (3)</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109</w:t>
            </w:r>
          </w:p>
        </w:tc>
        <w:tc>
          <w:tcPr>
            <w:tcW w:w="760" w:type="dxa"/>
            <w:vAlign w:val="bottom"/>
            <w:shd w:val="clear" w:color="auto" w:fill="EAF9E8"/>
          </w:tcPr>
          <w:p>
            <w:pPr>
              <w:spacing w:after="0"/>
              <w:rPr>
                <w:sz w:val="18"/>
                <w:szCs w:val="18"/>
                <w:color w:val="auto"/>
              </w:rPr>
            </w:pPr>
          </w:p>
        </w:tc>
        <w:tc>
          <w:tcPr>
            <w:tcW w:w="62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2179" w:firstLine="8"/>
        <w:spacing w:after="0" w:line="268" w:lineRule="auto"/>
        <w:tabs>
          <w:tab w:leader="none" w:pos="2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 Service is provided under a single contract with the property owner who typically provides service to tenants as part of their lease.</w:t>
      </w:r>
    </w:p>
    <w:p>
      <w:pPr>
        <w:spacing w:after="0" w:line="118"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Service is provided under contract with individual subscribers.</w:t>
      </w:r>
    </w:p>
    <w:p>
      <w:pPr>
        <w:spacing w:after="0" w:line="180" w:lineRule="exact"/>
        <w:rPr>
          <w:rFonts w:ascii="Arial" w:cs="Arial" w:eastAsia="Arial" w:hAnsi="Arial"/>
          <w:sz w:val="16"/>
          <w:szCs w:val="16"/>
          <w:color w:val="auto"/>
        </w:rPr>
      </w:pPr>
    </w:p>
    <w:p>
      <w:pPr>
        <w:ind w:left="220" w:hanging="212"/>
        <w:spacing w:after="0"/>
        <w:tabs>
          <w:tab w:leader="none" w:pos="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Indicates MDU complexes where NTC provides service.</w:t>
      </w:r>
    </w:p>
    <w:p>
      <w:pPr>
        <w:sectPr>
          <w:pgSz w:w="11900" w:h="16838" w:orient="portrait"/>
          <w:cols w:equalWidth="0" w:num="1">
            <w:col w:w="10219"/>
          </w:cols>
          <w:pgMar w:left="240" w:top="584" w:right="1440" w:bottom="1440" w:gutter="0" w:footer="0" w:header="0"/>
        </w:sectPr>
      </w:pPr>
    </w:p>
    <w:p>
      <w:pPr>
        <w:spacing w:after="0" w:line="248"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5166995" cy="469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Operating Revenues</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Service revenues consist of voice, video and data services at MDU properties in the southeastern United States.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Average monthly revenue increased $32 thousand or 4.1% in 2005, compared to 2004.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and services</w:t>
      </w:r>
    </w:p>
    <w:p>
      <w:pPr>
        <w:spacing w:after="0" w:line="231" w:lineRule="exact"/>
        <w:rPr>
          <w:sz w:val="20"/>
          <w:szCs w:val="20"/>
          <w:color w:val="auto"/>
        </w:rPr>
      </w:pPr>
    </w:p>
    <w:p>
      <w:pPr>
        <w:ind w:right="2339"/>
        <w:spacing w:after="0" w:line="298" w:lineRule="auto"/>
        <w:rPr>
          <w:sz w:val="20"/>
          <w:szCs w:val="20"/>
          <w:color w:val="auto"/>
        </w:rPr>
      </w:pPr>
      <w:r>
        <w:rPr>
          <w:rFonts w:ascii="Arial" w:cs="Arial" w:eastAsia="Arial" w:hAnsi="Arial"/>
          <w:sz w:val="16"/>
          <w:szCs w:val="16"/>
          <w:color w:val="auto"/>
        </w:rPr>
        <w:t>Cost of goods and services reflects the cost of purchasing video and voice services, the network costs to provide Internet services to customers and network maintenance and repair. Total average monthly operating expenses increased $202 thousand to $1.1 million, or 21.5% compared to 2004. The Company is focused on eliminating redundant processes and integrating the operation to reduce costs of operation.</w:t>
      </w:r>
    </w:p>
    <w:p>
      <w:pPr>
        <w:sectPr>
          <w:pgSz w:w="11900" w:h="16838" w:orient="portrait"/>
          <w:cols w:equalWidth="0" w:num="1">
            <w:col w:w="10219"/>
          </w:cols>
          <w:pgMar w:left="240" w:top="584" w:right="1440" w:bottom="144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Segment operating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145405"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5405"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Tower lease revenue-affiliate</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Tower lease revenue-non-affiliate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5145405"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5405"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Other revenue</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segment operating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145405"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5405" cy="13716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Segment operating expenses</w:t>
      </w:r>
    </w:p>
    <w:p>
      <w:pPr>
        <w:spacing w:after="0" w:line="15" w:lineRule="exact"/>
        <w:rPr>
          <w:sz w:val="20"/>
          <w:szCs w:val="20"/>
          <w:color w:val="auto"/>
        </w:rPr>
      </w:pPr>
    </w:p>
    <w:p>
      <w:pPr>
        <w:ind w:left="320" w:right="260" w:hanging="155"/>
        <w:spacing w:after="0" w:line="281" w:lineRule="auto"/>
        <w:rPr>
          <w:sz w:val="20"/>
          <w:szCs w:val="20"/>
          <w:color w:val="auto"/>
        </w:rPr>
      </w:pPr>
      <w:r>
        <w:rPr>
          <w:rFonts w:ascii="Arial" w:cs="Arial" w:eastAsia="Arial" w:hAnsi="Arial"/>
          <w:sz w:val="16"/>
          <w:szCs w:val="16"/>
          <w:color w:val="auto"/>
        </w:rPr>
        <w:t>Cost of goods and services, exclusive of depreciation and amortization shown separately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5145405" cy="274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5405" cy="274320"/>
                    </a:xfrm>
                    <a:prstGeom prst="rect">
                      <a:avLst/>
                    </a:prstGeom>
                    <a:noFill/>
                  </pic:spPr>
                </pic:pic>
              </a:graphicData>
            </a:graphic>
          </wp:anchor>
        </w:drawing>
      </w:r>
    </w:p>
    <w:p>
      <w:pPr>
        <w:ind w:left="320" w:hanging="155"/>
        <w:spacing w:after="0" w:line="281" w:lineRule="auto"/>
        <w:rPr>
          <w:sz w:val="20"/>
          <w:szCs w:val="20"/>
          <w:color w:val="auto"/>
        </w:rPr>
      </w:pPr>
      <w:r>
        <w:rPr>
          <w:rFonts w:ascii="Arial" w:cs="Arial" w:eastAsia="Arial" w:hAnsi="Arial"/>
          <w:sz w:val="16"/>
          <w:szCs w:val="16"/>
          <w:color w:val="auto"/>
        </w:rPr>
        <w:t>Selling, general and administrative, exclusive of depreciation and amortization shown separately below</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5145405"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5405" cy="137160"/>
                    </a:xfrm>
                    <a:prstGeom prst="rect">
                      <a:avLst/>
                    </a:prstGeom>
                    <a:noFill/>
                  </pic:spPr>
                </pic:pic>
              </a:graphicData>
            </a:graphic>
          </wp:anchor>
        </w:drawing>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segment operating expenses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Segment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145405"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540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540" w:type="dxa"/>
            <w:vAlign w:val="bottom"/>
            <w:gridSpan w:val="3"/>
          </w:tcPr>
          <w:p>
            <w:pPr>
              <w:jc w:val="right"/>
              <w:ind w:right="396"/>
              <w:spacing w:after="0"/>
              <w:rPr>
                <w:sz w:val="20"/>
                <w:szCs w:val="20"/>
                <w:color w:val="auto"/>
              </w:rPr>
            </w:pPr>
            <w:r>
              <w:rPr>
                <w:rFonts w:ascii="Arial" w:cs="Arial" w:eastAsia="Arial" w:hAnsi="Arial"/>
                <w:sz w:val="14"/>
                <w:szCs w:val="14"/>
                <w:b w:val="1"/>
                <w:bCs w:val="1"/>
                <w:color w:val="auto"/>
              </w:rPr>
              <w:t>Year Ended</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49"/>
        </w:trPr>
        <w:tc>
          <w:tcPr>
            <w:tcW w:w="100" w:type="dxa"/>
            <w:vAlign w:val="bottom"/>
          </w:tcPr>
          <w:p>
            <w:pPr>
              <w:spacing w:after="0"/>
              <w:rPr>
                <w:sz w:val="12"/>
                <w:szCs w:val="12"/>
                <w:color w:val="auto"/>
              </w:rPr>
            </w:pPr>
          </w:p>
        </w:tc>
        <w:tc>
          <w:tcPr>
            <w:tcW w:w="1540" w:type="dxa"/>
            <w:vAlign w:val="bottom"/>
            <w:gridSpan w:val="3"/>
          </w:tcPr>
          <w:p>
            <w:pPr>
              <w:jc w:val="right"/>
              <w:ind w:right="336"/>
              <w:spacing w:after="0" w:line="149" w:lineRule="exact"/>
              <w:rPr>
                <w:sz w:val="20"/>
                <w:szCs w:val="20"/>
                <w:color w:val="auto"/>
              </w:rPr>
            </w:pPr>
            <w:r>
              <w:rPr>
                <w:rFonts w:ascii="Arial" w:cs="Arial" w:eastAsia="Arial" w:hAnsi="Arial"/>
                <w:sz w:val="14"/>
                <w:szCs w:val="14"/>
                <w:b w:val="1"/>
                <w:bCs w:val="1"/>
                <w:color w:val="auto"/>
              </w:rPr>
              <w:t>December 31,</w:t>
            </w:r>
          </w:p>
        </w:tc>
        <w:tc>
          <w:tcPr>
            <w:tcW w:w="880" w:type="dxa"/>
            <w:vAlign w:val="bottom"/>
          </w:tcPr>
          <w:p>
            <w:pPr>
              <w:spacing w:after="0"/>
              <w:rPr>
                <w:sz w:val="12"/>
                <w:szCs w:val="12"/>
                <w:color w:val="auto"/>
              </w:rPr>
            </w:pPr>
          </w:p>
        </w:tc>
        <w:tc>
          <w:tcPr>
            <w:tcW w:w="660" w:type="dxa"/>
            <w:vAlign w:val="bottom"/>
          </w:tcPr>
          <w:p>
            <w:pPr>
              <w:jc w:val="right"/>
              <w:ind w:right="76"/>
              <w:spacing w:after="0" w:line="149" w:lineRule="exact"/>
              <w:rPr>
                <w:sz w:val="20"/>
                <w:szCs w:val="20"/>
                <w:color w:val="auto"/>
              </w:rPr>
            </w:pPr>
            <w:r>
              <w:rPr>
                <w:rFonts w:ascii="Arial" w:cs="Arial" w:eastAsia="Arial" w:hAnsi="Arial"/>
                <w:sz w:val="14"/>
                <w:szCs w:val="14"/>
                <w:b w:val="1"/>
                <w:bCs w:val="1"/>
                <w:color w:val="auto"/>
                <w:w w:val="93"/>
              </w:rPr>
              <w:t>Change</w:t>
            </w:r>
          </w:p>
        </w:tc>
      </w:tr>
      <w:tr>
        <w:trPr>
          <w:trHeight w:val="174"/>
        </w:trPr>
        <w:tc>
          <w:tcPr>
            <w:tcW w:w="100" w:type="dxa"/>
            <w:vAlign w:val="bottom"/>
          </w:tcPr>
          <w:p>
            <w:pPr>
              <w:spacing w:after="0"/>
              <w:rPr>
                <w:sz w:val="15"/>
                <w:szCs w:val="15"/>
                <w:color w:val="auto"/>
              </w:rPr>
            </w:pPr>
          </w:p>
        </w:tc>
        <w:tc>
          <w:tcPr>
            <w:tcW w:w="620" w:type="dxa"/>
            <w:vAlign w:val="bottom"/>
          </w:tcPr>
          <w:p>
            <w:pPr>
              <w:jc w:val="right"/>
              <w:ind w:right="157"/>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5"/>
                <w:szCs w:val="15"/>
                <w:color w:val="auto"/>
              </w:rPr>
            </w:pPr>
          </w:p>
        </w:tc>
        <w:tc>
          <w:tcPr>
            <w:tcW w:w="600" w:type="dxa"/>
            <w:vAlign w:val="bottom"/>
          </w:tcPr>
          <w:p>
            <w:pPr>
              <w:jc w:val="right"/>
              <w:ind w:right="136"/>
              <w:spacing w:after="0"/>
              <w:rPr>
                <w:sz w:val="20"/>
                <w:szCs w:val="20"/>
                <w:color w:val="auto"/>
              </w:rPr>
            </w:pPr>
            <w:r>
              <w:rPr>
                <w:rFonts w:ascii="Arial" w:cs="Arial" w:eastAsia="Arial" w:hAnsi="Arial"/>
                <w:sz w:val="14"/>
                <w:szCs w:val="14"/>
                <w:b w:val="1"/>
                <w:bCs w:val="1"/>
                <w:color w:val="auto"/>
              </w:rPr>
              <w:t>2004</w:t>
            </w:r>
          </w:p>
        </w:tc>
        <w:tc>
          <w:tcPr>
            <w:tcW w:w="880" w:type="dxa"/>
            <w:vAlign w:val="bottom"/>
          </w:tcPr>
          <w:p>
            <w:pPr>
              <w:jc w:val="right"/>
              <w:ind w:right="314"/>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236"/>
              <w:spacing w:after="0"/>
              <w:rPr>
                <w:sz w:val="20"/>
                <w:szCs w:val="20"/>
                <w:color w:val="auto"/>
              </w:rPr>
            </w:pPr>
            <w:r>
              <w:rPr>
                <w:rFonts w:ascii="Arial" w:cs="Arial" w:eastAsia="Arial" w:hAnsi="Arial"/>
                <w:sz w:val="14"/>
                <w:szCs w:val="14"/>
                <w:b w:val="1"/>
                <w:bCs w:val="1"/>
                <w:color w:val="auto"/>
              </w:rPr>
              <w:t>%</w:t>
            </w:r>
          </w:p>
        </w:tc>
      </w:tr>
      <w:tr>
        <w:trPr>
          <w:trHeight w:val="95"/>
        </w:trPr>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r>
      <w:tr>
        <w:trPr>
          <w:trHeight w:val="263"/>
        </w:trPr>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4"/>
              </w:rPr>
              <w:t>(Restated)</w:t>
            </w:r>
          </w:p>
        </w:tc>
        <w:tc>
          <w:tcPr>
            <w:tcW w:w="88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411"/>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1,386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1,298</w:t>
            </w:r>
          </w:p>
        </w:tc>
        <w:tc>
          <w:tcPr>
            <w:tcW w:w="880" w:type="dxa"/>
            <w:vAlign w:val="bottom"/>
          </w:tcPr>
          <w:p>
            <w:pPr>
              <w:jc w:val="right"/>
              <w:ind w:right="154"/>
              <w:spacing w:after="0"/>
              <w:rPr>
                <w:sz w:val="20"/>
                <w:szCs w:val="20"/>
                <w:color w:val="auto"/>
              </w:rPr>
            </w:pPr>
            <w:r>
              <w:rPr>
                <w:rFonts w:ascii="Arial" w:cs="Arial" w:eastAsia="Arial" w:hAnsi="Arial"/>
                <w:sz w:val="18"/>
                <w:szCs w:val="18"/>
                <w:color w:val="auto"/>
              </w:rPr>
              <w:t>$  88</w:t>
            </w:r>
          </w:p>
        </w:tc>
        <w:tc>
          <w:tcPr>
            <w:tcW w:w="660" w:type="dxa"/>
            <w:vAlign w:val="bottom"/>
          </w:tcPr>
          <w:p>
            <w:pPr>
              <w:jc w:val="right"/>
              <w:ind w:right="36"/>
              <w:spacing w:after="0"/>
              <w:rPr>
                <w:sz w:val="20"/>
                <w:szCs w:val="20"/>
                <w:color w:val="auto"/>
              </w:rPr>
            </w:pPr>
            <w:r>
              <w:rPr>
                <w:rFonts w:ascii="Arial" w:cs="Arial" w:eastAsia="Arial" w:hAnsi="Arial"/>
                <w:sz w:val="18"/>
                <w:szCs w:val="18"/>
                <w:color w:val="auto"/>
              </w:rPr>
              <w:t>6.8</w:t>
            </w:r>
          </w:p>
        </w:tc>
      </w:tr>
      <w:tr>
        <w:trPr>
          <w:trHeight w:val="216"/>
        </w:trPr>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3,147</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2,915</w:t>
            </w:r>
          </w:p>
        </w:tc>
        <w:tc>
          <w:tcPr>
            <w:tcW w:w="880" w:type="dxa"/>
            <w:vAlign w:val="bottom"/>
          </w:tcPr>
          <w:p>
            <w:pPr>
              <w:jc w:val="right"/>
              <w:ind w:right="154"/>
              <w:spacing w:after="0"/>
              <w:rPr>
                <w:sz w:val="20"/>
                <w:szCs w:val="20"/>
                <w:color w:val="auto"/>
              </w:rPr>
            </w:pPr>
            <w:r>
              <w:rPr>
                <w:rFonts w:ascii="Arial" w:cs="Arial" w:eastAsia="Arial" w:hAnsi="Arial"/>
                <w:sz w:val="18"/>
                <w:szCs w:val="18"/>
                <w:color w:val="auto"/>
              </w:rPr>
              <w:t>232</w:t>
            </w:r>
          </w:p>
        </w:tc>
        <w:tc>
          <w:tcPr>
            <w:tcW w:w="660" w:type="dxa"/>
            <w:vAlign w:val="bottom"/>
          </w:tcPr>
          <w:p>
            <w:pPr>
              <w:jc w:val="right"/>
              <w:ind w:right="36"/>
              <w:spacing w:after="0"/>
              <w:rPr>
                <w:sz w:val="20"/>
                <w:szCs w:val="20"/>
                <w:color w:val="auto"/>
              </w:rPr>
            </w:pPr>
            <w:r>
              <w:rPr>
                <w:rFonts w:ascii="Arial" w:cs="Arial" w:eastAsia="Arial" w:hAnsi="Arial"/>
                <w:sz w:val="18"/>
                <w:szCs w:val="18"/>
                <w:color w:val="auto"/>
              </w:rPr>
              <w:t>8.0</w:t>
            </w:r>
          </w:p>
        </w:tc>
      </w:tr>
      <w:tr>
        <w:trPr>
          <w:trHeight w:val="222"/>
        </w:trPr>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146</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178</w:t>
            </w: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(32)</w:t>
            </w:r>
          </w:p>
        </w:tc>
        <w:tc>
          <w:tcPr>
            <w:tcW w:w="66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110"/>
        </w:trPr>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r>
      <w:tr>
        <w:trPr>
          <w:trHeight w:val="316"/>
        </w:trPr>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4,679</w:t>
            </w: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4,391</w:t>
            </w:r>
          </w:p>
        </w:tc>
        <w:tc>
          <w:tcPr>
            <w:tcW w:w="880" w:type="dxa"/>
            <w:vAlign w:val="bottom"/>
          </w:tcPr>
          <w:p>
            <w:pPr>
              <w:jc w:val="right"/>
              <w:ind w:right="154"/>
              <w:spacing w:after="0"/>
              <w:rPr>
                <w:sz w:val="20"/>
                <w:szCs w:val="20"/>
                <w:color w:val="auto"/>
              </w:rPr>
            </w:pPr>
            <w:r>
              <w:rPr>
                <w:rFonts w:ascii="Arial" w:cs="Arial" w:eastAsia="Arial" w:hAnsi="Arial"/>
                <w:sz w:val="18"/>
                <w:szCs w:val="18"/>
                <w:color w:val="auto"/>
              </w:rPr>
              <w:t>288</w:t>
            </w:r>
          </w:p>
        </w:tc>
        <w:tc>
          <w:tcPr>
            <w:tcW w:w="660" w:type="dxa"/>
            <w:vAlign w:val="bottom"/>
          </w:tcPr>
          <w:p>
            <w:pPr>
              <w:jc w:val="right"/>
              <w:ind w:right="36"/>
              <w:spacing w:after="0"/>
              <w:rPr>
                <w:sz w:val="20"/>
                <w:szCs w:val="20"/>
                <w:color w:val="auto"/>
              </w:rPr>
            </w:pPr>
            <w:r>
              <w:rPr>
                <w:rFonts w:ascii="Arial" w:cs="Arial" w:eastAsia="Arial" w:hAnsi="Arial"/>
                <w:sz w:val="18"/>
                <w:szCs w:val="18"/>
                <w:color w:val="auto"/>
              </w:rPr>
              <w:t>6.6</w:t>
            </w:r>
          </w:p>
        </w:tc>
      </w:tr>
      <w:tr>
        <w:trPr>
          <w:trHeight w:val="110"/>
        </w:trPr>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r>
      <w:tr>
        <w:trPr>
          <w:trHeight w:val="748"/>
        </w:trPr>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1,414</w:t>
            </w: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1,114</w:t>
            </w:r>
          </w:p>
        </w:tc>
        <w:tc>
          <w:tcPr>
            <w:tcW w:w="880" w:type="dxa"/>
            <w:vAlign w:val="bottom"/>
          </w:tcPr>
          <w:p>
            <w:pPr>
              <w:jc w:val="right"/>
              <w:ind w:right="154"/>
              <w:spacing w:after="0"/>
              <w:rPr>
                <w:sz w:val="20"/>
                <w:szCs w:val="20"/>
                <w:color w:val="auto"/>
              </w:rPr>
            </w:pPr>
            <w:r>
              <w:rPr>
                <w:rFonts w:ascii="Arial" w:cs="Arial" w:eastAsia="Arial" w:hAnsi="Arial"/>
                <w:sz w:val="18"/>
                <w:szCs w:val="18"/>
                <w:color w:val="auto"/>
              </w:rPr>
              <w:t>300</w:t>
            </w:r>
          </w:p>
        </w:tc>
        <w:tc>
          <w:tcPr>
            <w:tcW w:w="660" w:type="dxa"/>
            <w:vAlign w:val="bottom"/>
          </w:tcPr>
          <w:p>
            <w:pPr>
              <w:jc w:val="right"/>
              <w:ind w:right="36"/>
              <w:spacing w:after="0"/>
              <w:rPr>
                <w:sz w:val="20"/>
                <w:szCs w:val="20"/>
                <w:color w:val="auto"/>
              </w:rPr>
            </w:pPr>
            <w:r>
              <w:rPr>
                <w:rFonts w:ascii="Arial" w:cs="Arial" w:eastAsia="Arial" w:hAnsi="Arial"/>
                <w:sz w:val="18"/>
                <w:szCs w:val="18"/>
                <w:color w:val="auto"/>
              </w:rPr>
              <w:t>26.9</w:t>
            </w:r>
          </w:p>
        </w:tc>
      </w:tr>
      <w:tr>
        <w:trPr>
          <w:trHeight w:val="426"/>
        </w:trPr>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559</w:t>
            </w: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632</w:t>
            </w: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(73)</w:t>
            </w:r>
          </w:p>
        </w:tc>
        <w:tc>
          <w:tcPr>
            <w:tcW w:w="6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22"/>
        </w:trPr>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713</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611</w:t>
            </w:r>
          </w:p>
        </w:tc>
        <w:tc>
          <w:tcPr>
            <w:tcW w:w="880" w:type="dxa"/>
            <w:vAlign w:val="bottom"/>
          </w:tcPr>
          <w:p>
            <w:pPr>
              <w:jc w:val="right"/>
              <w:ind w:right="154"/>
              <w:spacing w:after="0"/>
              <w:rPr>
                <w:sz w:val="20"/>
                <w:szCs w:val="20"/>
                <w:color w:val="auto"/>
              </w:rPr>
            </w:pPr>
            <w:r>
              <w:rPr>
                <w:rFonts w:ascii="Arial" w:cs="Arial" w:eastAsia="Arial" w:hAnsi="Arial"/>
                <w:sz w:val="18"/>
                <w:szCs w:val="18"/>
                <w:color w:val="auto"/>
              </w:rPr>
              <w:t>102</w:t>
            </w:r>
          </w:p>
        </w:tc>
        <w:tc>
          <w:tcPr>
            <w:tcW w:w="660" w:type="dxa"/>
            <w:vAlign w:val="bottom"/>
          </w:tcPr>
          <w:p>
            <w:pPr>
              <w:jc w:val="right"/>
              <w:ind w:right="36"/>
              <w:spacing w:after="0"/>
              <w:rPr>
                <w:sz w:val="20"/>
                <w:szCs w:val="20"/>
                <w:color w:val="auto"/>
              </w:rPr>
            </w:pPr>
            <w:r>
              <w:rPr>
                <w:rFonts w:ascii="Arial" w:cs="Arial" w:eastAsia="Arial" w:hAnsi="Arial"/>
                <w:sz w:val="18"/>
                <w:szCs w:val="18"/>
                <w:color w:val="auto"/>
              </w:rPr>
              <w:t>16.7</w:t>
            </w:r>
          </w:p>
        </w:tc>
      </w:tr>
      <w:tr>
        <w:trPr>
          <w:trHeight w:val="110"/>
        </w:trPr>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r>
      <w:tr>
        <w:trPr>
          <w:trHeight w:val="316"/>
        </w:trPr>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2,686</w:t>
            </w: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2,357</w:t>
            </w:r>
          </w:p>
        </w:tc>
        <w:tc>
          <w:tcPr>
            <w:tcW w:w="880" w:type="dxa"/>
            <w:vAlign w:val="bottom"/>
          </w:tcPr>
          <w:p>
            <w:pPr>
              <w:jc w:val="right"/>
              <w:ind w:right="154"/>
              <w:spacing w:after="0"/>
              <w:rPr>
                <w:sz w:val="20"/>
                <w:szCs w:val="20"/>
                <w:color w:val="auto"/>
              </w:rPr>
            </w:pPr>
            <w:r>
              <w:rPr>
                <w:rFonts w:ascii="Arial" w:cs="Arial" w:eastAsia="Arial" w:hAnsi="Arial"/>
                <w:sz w:val="18"/>
                <w:szCs w:val="18"/>
                <w:color w:val="auto"/>
              </w:rPr>
              <w:t>329</w:t>
            </w:r>
          </w:p>
        </w:tc>
        <w:tc>
          <w:tcPr>
            <w:tcW w:w="660" w:type="dxa"/>
            <w:vAlign w:val="bottom"/>
          </w:tcPr>
          <w:p>
            <w:pPr>
              <w:jc w:val="right"/>
              <w:ind w:right="36"/>
              <w:spacing w:after="0"/>
              <w:rPr>
                <w:sz w:val="20"/>
                <w:szCs w:val="20"/>
                <w:color w:val="auto"/>
              </w:rPr>
            </w:pPr>
            <w:r>
              <w:rPr>
                <w:rFonts w:ascii="Arial" w:cs="Arial" w:eastAsia="Arial" w:hAnsi="Arial"/>
                <w:sz w:val="18"/>
                <w:szCs w:val="18"/>
                <w:color w:val="auto"/>
              </w:rPr>
              <w:t>14.0</w:t>
            </w:r>
          </w:p>
        </w:tc>
      </w:tr>
      <w:tr>
        <w:trPr>
          <w:trHeight w:val="110"/>
        </w:trPr>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r>
      <w:tr>
        <w:trPr>
          <w:trHeight w:val="316"/>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1,993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2,034</w:t>
            </w: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 (41)</w:t>
            </w: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120"/>
        </w:trPr>
        <w:tc>
          <w:tcPr>
            <w:tcW w:w="1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438150</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661035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1038225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1201420</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1261110</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1441450</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1604645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1656080</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2007235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1938655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60" w:space="500"/>
            <w:col w:w="5259"/>
          </w:cols>
          <w:pgMar w:left="240" w:top="584" w:right="1440" w:bottom="1440" w:gutter="0" w:footer="0" w:header="0"/>
          <w:type w:val="continuous"/>
        </w:sectPr>
      </w:pPr>
    </w:p>
    <w:p>
      <w:pPr>
        <w:spacing w:after="0" w:line="113" w:lineRule="exact"/>
        <w:rPr>
          <w:sz w:val="20"/>
          <w:szCs w:val="20"/>
          <w:color w:val="auto"/>
        </w:rPr>
      </w:pPr>
    </w:p>
    <w:p>
      <w:pPr>
        <w:ind w:right="2139"/>
        <w:spacing w:after="0" w:line="268" w:lineRule="auto"/>
        <w:rPr>
          <w:sz w:val="20"/>
          <w:szCs w:val="20"/>
          <w:color w:val="auto"/>
        </w:rPr>
      </w:pPr>
      <w:r>
        <w:rPr>
          <w:rFonts w:ascii="Arial" w:cs="Arial" w:eastAsia="Arial" w:hAnsi="Arial"/>
          <w:sz w:val="18"/>
          <w:szCs w:val="18"/>
          <w:color w:val="auto"/>
        </w:rPr>
        <w:t>The Mobile company provides tower rental space to affiliated and non-affiliated companies in the Company’s PCS markets and paging services throughout the northern Shenandoah Valley.</w:t>
      </w:r>
    </w:p>
    <w:p>
      <w:pPr>
        <w:spacing w:after="0" w:line="186" w:lineRule="exact"/>
        <w:rPr>
          <w:sz w:val="20"/>
          <w:szCs w:val="20"/>
          <w:color w:val="auto"/>
        </w:rPr>
      </w:pPr>
    </w:p>
    <w:p>
      <w:pPr>
        <w:ind w:right="2199"/>
        <w:spacing w:after="0" w:line="254" w:lineRule="auto"/>
        <w:rPr>
          <w:sz w:val="20"/>
          <w:szCs w:val="20"/>
          <w:color w:val="auto"/>
        </w:rPr>
      </w:pPr>
      <w:r>
        <w:rPr>
          <w:rFonts w:ascii="Arial" w:cs="Arial" w:eastAsia="Arial" w:hAnsi="Arial"/>
          <w:sz w:val="18"/>
          <w:szCs w:val="18"/>
          <w:color w:val="auto"/>
        </w:rPr>
        <w:t>The results for the year ended December 31, 2004 have been restated to reflect the correction of certain errors in the Company’s accounting for operating leases. See Note 2 to the consolidated financial statements appearing elsewhere in this report for additional information. The effect of these restatements on the Mobile segment’s operating income for the year ended December 31, 2004 was to increase tower lease revenue- non-affiliate by $20 thousand and cost of goods and services by $171 thousand and to decrease segment operating income by $151 thousand.</w:t>
      </w:r>
    </w:p>
    <w:p>
      <w:pPr>
        <w:spacing w:after="0" w:line="198" w:lineRule="exact"/>
        <w:rPr>
          <w:sz w:val="20"/>
          <w:szCs w:val="20"/>
          <w:color w:val="auto"/>
        </w:rPr>
      </w:pPr>
    </w:p>
    <w:p>
      <w:pPr>
        <w:ind w:right="2399"/>
        <w:spacing w:after="0" w:line="268" w:lineRule="auto"/>
        <w:rPr>
          <w:sz w:val="20"/>
          <w:szCs w:val="20"/>
          <w:color w:val="auto"/>
        </w:rPr>
      </w:pPr>
      <w:r>
        <w:rPr>
          <w:rFonts w:ascii="Arial" w:cs="Arial" w:eastAsia="Arial" w:hAnsi="Arial"/>
          <w:sz w:val="18"/>
          <w:szCs w:val="18"/>
          <w:color w:val="auto"/>
        </w:rPr>
        <w:t>At December 31, 2005, the Mobile segment had 99 towers and 151 non-affiliate tenants compared to 91 towers and 143 non-affiliate tenants at December 31, 2004.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31" w:lineRule="exact"/>
        <w:rPr>
          <w:sz w:val="20"/>
          <w:szCs w:val="20"/>
          <w:color w:val="auto"/>
        </w:rPr>
      </w:pPr>
    </w:p>
    <w:p>
      <w:pPr>
        <w:ind w:right="2259"/>
        <w:spacing w:after="0" w:line="268" w:lineRule="auto"/>
        <w:rPr>
          <w:sz w:val="20"/>
          <w:szCs w:val="20"/>
          <w:color w:val="auto"/>
        </w:rPr>
      </w:pPr>
      <w:r>
        <w:rPr>
          <w:rFonts w:ascii="Arial" w:cs="Arial" w:eastAsia="Arial" w:hAnsi="Arial"/>
          <w:sz w:val="18"/>
          <w:szCs w:val="18"/>
          <w:color w:val="auto"/>
        </w:rPr>
        <w:t>The segment’s operating revenues increased due to the increased number of non-affiliate tenants leasing space on the towers compared to 2004.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and services</w:t>
      </w:r>
    </w:p>
    <w:p>
      <w:pPr>
        <w:spacing w:after="0" w:line="231" w:lineRule="exact"/>
        <w:rPr>
          <w:sz w:val="20"/>
          <w:szCs w:val="20"/>
          <w:color w:val="auto"/>
        </w:rPr>
      </w:pPr>
    </w:p>
    <w:p>
      <w:pPr>
        <w:ind w:right="2199"/>
        <w:spacing w:after="0" w:line="256" w:lineRule="auto"/>
        <w:rPr>
          <w:sz w:val="20"/>
          <w:szCs w:val="20"/>
          <w:color w:val="auto"/>
        </w:rPr>
      </w:pPr>
      <w:r>
        <w:rPr>
          <w:rFonts w:ascii="Arial" w:cs="Arial" w:eastAsia="Arial" w:hAnsi="Arial"/>
          <w:sz w:val="18"/>
          <w:szCs w:val="18"/>
          <w:color w:val="auto"/>
        </w:rPr>
        <w:t>The cost of goods and services increased due to additional towers in place, which increased 8.8% compared to 2004. The remaining cost increase was due primarily to the new allocation methodology adopted by the Company in 2005. See Note 1 to the consolidated financial statements appearing elsewhere in this report for additional information.</w:t>
      </w:r>
    </w:p>
    <w:p>
      <w:pPr>
        <w:sectPr>
          <w:pgSz w:w="11900" w:h="16838" w:orient="portrait"/>
          <w:cols w:equalWidth="0" w:num="1">
            <w:col w:w="10219"/>
          </w:cols>
          <w:pgMar w:left="240" w:top="584" w:right="1440" w:bottom="1440" w:gutter="0" w:footer="0" w:header="0"/>
          <w:type w:val="continuous"/>
        </w:sectPr>
      </w:pPr>
    </w:p>
    <w:p>
      <w:pPr>
        <w:spacing w:after="0" w:line="197"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5166995" cy="469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31" w:lineRule="exact"/>
        <w:rPr>
          <w:sz w:val="20"/>
          <w:szCs w:val="20"/>
          <w:color w:val="auto"/>
        </w:rPr>
      </w:pPr>
    </w:p>
    <w:p>
      <w:pPr>
        <w:jc w:val="both"/>
        <w:ind w:right="2339"/>
        <w:spacing w:after="0" w:line="259" w:lineRule="auto"/>
        <w:rPr>
          <w:sz w:val="20"/>
          <w:szCs w:val="20"/>
          <w:color w:val="auto"/>
        </w:rPr>
      </w:pPr>
      <w:r>
        <w:rPr>
          <w:rFonts w:ascii="Arial" w:cs="Arial" w:eastAsia="Arial" w:hAnsi="Arial"/>
          <w:sz w:val="18"/>
          <w:szCs w:val="18"/>
          <w:color w:val="auto"/>
        </w:rPr>
        <w:t>Selling, general and administrative costs decreased primarily due to the new allocation methodology adopted by the Company in 2005. See Note 1 to the consolidated financial statements appearing elsewhere in this report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31" w:lineRule="exact"/>
        <w:rPr>
          <w:sz w:val="20"/>
          <w:szCs w:val="20"/>
          <w:color w:val="auto"/>
        </w:rPr>
      </w:pPr>
    </w:p>
    <w:p>
      <w:pPr>
        <w:ind w:right="2779"/>
        <w:spacing w:after="0" w:line="268" w:lineRule="auto"/>
        <w:rPr>
          <w:sz w:val="20"/>
          <w:szCs w:val="20"/>
          <w:color w:val="auto"/>
        </w:rPr>
      </w:pPr>
      <w:r>
        <w:rPr>
          <w:rFonts w:ascii="Arial" w:cs="Arial" w:eastAsia="Arial" w:hAnsi="Arial"/>
          <w:sz w:val="18"/>
          <w:szCs w:val="18"/>
          <w:color w:val="auto"/>
        </w:rPr>
        <w:t>The depreciation and amortization expense increased due to the addition of new towers and the additional leasehold improvements being amortized.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Compared to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31" w:lineRule="exact"/>
        <w:rPr>
          <w:sz w:val="20"/>
          <w:szCs w:val="20"/>
          <w:color w:val="auto"/>
        </w:rPr>
      </w:pPr>
    </w:p>
    <w:p>
      <w:pPr>
        <w:ind w:right="2119"/>
        <w:spacing w:after="0" w:line="290" w:lineRule="auto"/>
        <w:rPr>
          <w:sz w:val="20"/>
          <w:szCs w:val="20"/>
          <w:color w:val="auto"/>
        </w:rPr>
      </w:pPr>
      <w:r>
        <w:rPr>
          <w:rFonts w:ascii="Arial" w:cs="Arial" w:eastAsia="Arial" w:hAnsi="Arial"/>
          <w:sz w:val="16"/>
          <w:szCs w:val="16"/>
          <w:color w:val="auto"/>
        </w:rPr>
        <w:t>The results for the years ended December 31, 2004 and 2003 have been restated to reflect the correction of certain errors in the Company’s accounting for operating leases. See Note 2 to the consolidated financial statements appearing elsewhere in this report for additional information. The effect of these restatements on the Company’s statements of income for the years ended December 31, 2004 and 2003, was to increase operating revenues by $20 thousand and $44 thousand, respectively, increase cost of goods and services by $382 thousand and $404 thousand, respectively, decrease the income tax provision by $157 thousand and $138 thousand, respectively, and decrease net income by $205 thousand and $222 thousand,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The Company’s consolidated results for the years ended December 31, 2004 and 2003 are summarized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3"/>
          </w:tcPr>
          <w:p>
            <w:pPr>
              <w:jc w:val="right"/>
              <w:ind w:right="534"/>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3"/>
          </w:tcPr>
          <w:p>
            <w:pPr>
              <w:jc w:val="right"/>
              <w:ind w:right="474"/>
              <w:spacing w:after="0" w:line="149" w:lineRule="exact"/>
              <w:rPr>
                <w:sz w:val="20"/>
                <w:szCs w:val="20"/>
                <w:color w:val="auto"/>
              </w:rPr>
            </w:pPr>
            <w:r>
              <w:rPr>
                <w:rFonts w:ascii="Arial" w:cs="Arial" w:eastAsia="Arial" w:hAnsi="Arial"/>
                <w:sz w:val="14"/>
                <w:szCs w:val="14"/>
                <w:b w:val="1"/>
                <w:bCs w:val="1"/>
                <w:color w:val="auto"/>
              </w:rPr>
              <w:t>December 31,</w:t>
            </w:r>
          </w:p>
        </w:tc>
        <w:tc>
          <w:tcPr>
            <w:tcW w:w="10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Change</w:t>
            </w: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278"/>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740" w:type="dxa"/>
            <w:vAlign w:val="bottom"/>
          </w:tcPr>
          <w:p>
            <w:pPr>
              <w:jc w:val="right"/>
              <w:ind w:right="274"/>
              <w:spacing w:after="0"/>
              <w:rPr>
                <w:sz w:val="20"/>
                <w:szCs w:val="20"/>
                <w:color w:val="auto"/>
              </w:rPr>
            </w:pPr>
            <w:r>
              <w:rPr>
                <w:rFonts w:ascii="Arial" w:cs="Arial" w:eastAsia="Arial" w:hAnsi="Arial"/>
                <w:sz w:val="14"/>
                <w:szCs w:val="14"/>
                <w:b w:val="1"/>
                <w:bCs w:val="1"/>
                <w:color w:val="auto"/>
              </w:rPr>
              <w:t>2003</w:t>
            </w:r>
          </w:p>
        </w:tc>
        <w:tc>
          <w:tcPr>
            <w:tcW w:w="1080" w:type="dxa"/>
            <w:vAlign w:val="bottom"/>
          </w:tcPr>
          <w:p>
            <w:pPr>
              <w:jc w:val="right"/>
              <w:ind w:right="516"/>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814"/>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Borders>
              <w:bottom w:val="single" w:sz="8" w:color="808080"/>
            </w:tcBorders>
            <w:gridSpan w:val="2"/>
          </w:tcPr>
          <w:p>
            <w:pPr>
              <w:spacing w:after="0"/>
              <w:rPr>
                <w:sz w:val="8"/>
                <w:szCs w:val="8"/>
                <w:color w:val="auto"/>
              </w:rPr>
            </w:pPr>
          </w:p>
        </w:tc>
        <w:tc>
          <w:tcPr>
            <w:tcW w:w="920" w:type="dxa"/>
            <w:vAlign w:val="bottom"/>
            <w:tcBorders>
              <w:bottom w:val="single" w:sz="8" w:color="808080"/>
            </w:tcBorders>
            <w:gridSpan w:val="2"/>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gridSpan w:val="2"/>
          </w:tcPr>
          <w:p>
            <w:pPr>
              <w:jc w:val="right"/>
              <w:ind w:right="78"/>
              <w:spacing w:after="0"/>
              <w:rPr>
                <w:sz w:val="20"/>
                <w:szCs w:val="20"/>
                <w:color w:val="auto"/>
              </w:rPr>
            </w:pPr>
            <w:r>
              <w:rPr>
                <w:rFonts w:ascii="Arial" w:cs="Arial" w:eastAsia="Arial" w:hAnsi="Arial"/>
                <w:sz w:val="14"/>
                <w:szCs w:val="14"/>
                <w:b w:val="1"/>
                <w:bCs w:val="1"/>
                <w:color w:val="auto"/>
                <w:w w:val="93"/>
              </w:rPr>
              <w:t>(Restated)</w:t>
            </w:r>
          </w:p>
        </w:tc>
        <w:tc>
          <w:tcPr>
            <w:tcW w:w="920" w:type="dxa"/>
            <w:vAlign w:val="bottom"/>
            <w:gridSpan w:val="2"/>
          </w:tcPr>
          <w:p>
            <w:pPr>
              <w:jc w:val="right"/>
              <w:ind w:right="74"/>
              <w:spacing w:after="0"/>
              <w:rPr>
                <w:sz w:val="20"/>
                <w:szCs w:val="20"/>
                <w:color w:val="auto"/>
              </w:rPr>
            </w:pPr>
            <w:r>
              <w:rPr>
                <w:rFonts w:ascii="Arial" w:cs="Arial" w:eastAsia="Arial" w:hAnsi="Arial"/>
                <w:sz w:val="14"/>
                <w:szCs w:val="14"/>
                <w:b w:val="1"/>
                <w:bCs w:val="1"/>
                <w:color w:val="auto"/>
              </w:rPr>
              <w:t>(Restated)</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3840" w:type="dxa"/>
            <w:vAlign w:val="bottom"/>
          </w:tcPr>
          <w:p>
            <w:pPr>
              <w:spacing w:after="0"/>
              <w:rPr>
                <w:sz w:val="11"/>
                <w:szCs w:val="11"/>
                <w:color w:val="auto"/>
              </w:rPr>
            </w:pPr>
          </w:p>
        </w:tc>
        <w:tc>
          <w:tcPr>
            <w:tcW w:w="340" w:type="dxa"/>
            <w:vAlign w:val="bottom"/>
            <w:gridSpan w:val="2"/>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EAF9E8"/>
          </w:tcPr>
          <w:p>
            <w:pPr>
              <w:spacing w:after="0"/>
              <w:rPr>
                <w:sz w:val="20"/>
                <w:szCs w:val="20"/>
                <w:color w:val="auto"/>
              </w:rPr>
            </w:pPr>
            <w:r>
              <w:rPr>
                <w:rFonts w:ascii="Arial" w:cs="Arial" w:eastAsia="Arial" w:hAnsi="Arial"/>
                <w:sz w:val="18"/>
                <w:szCs w:val="18"/>
                <w:color w:val="auto"/>
              </w:rPr>
              <w:t>Operating revenues</w:t>
            </w:r>
          </w:p>
        </w:tc>
        <w:tc>
          <w:tcPr>
            <w:tcW w:w="3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AF9E8"/>
          </w:tcPr>
          <w:p>
            <w:pPr>
              <w:jc w:val="right"/>
              <w:ind w:right="78"/>
              <w:spacing w:after="0"/>
              <w:rPr>
                <w:sz w:val="20"/>
                <w:szCs w:val="20"/>
                <w:color w:val="auto"/>
              </w:rPr>
            </w:pPr>
            <w:r>
              <w:rPr>
                <w:rFonts w:ascii="Arial" w:cs="Arial" w:eastAsia="Arial" w:hAnsi="Arial"/>
                <w:sz w:val="18"/>
                <w:szCs w:val="18"/>
                <w:color w:val="auto"/>
                <w:w w:val="86"/>
              </w:rPr>
              <w:t>120,994</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w w:val="86"/>
              </w:rPr>
              <w:t>105,661</w:t>
            </w:r>
          </w:p>
        </w:tc>
        <w:tc>
          <w:tcPr>
            <w:tcW w:w="1080" w:type="dxa"/>
            <w:vAlign w:val="bottom"/>
            <w:shd w:val="clear" w:color="auto" w:fill="EAF9E8"/>
          </w:tcPr>
          <w:p>
            <w:pPr>
              <w:jc w:val="right"/>
              <w:ind w:right="276"/>
              <w:spacing w:after="0"/>
              <w:rPr>
                <w:sz w:val="20"/>
                <w:szCs w:val="20"/>
                <w:color w:val="auto"/>
              </w:rPr>
            </w:pPr>
            <w:r>
              <w:rPr>
                <w:rFonts w:ascii="Arial" w:cs="Arial" w:eastAsia="Arial" w:hAnsi="Arial"/>
                <w:sz w:val="18"/>
                <w:szCs w:val="18"/>
                <w:color w:val="auto"/>
                <w:w w:val="99"/>
              </w:rPr>
              <w:t>$ 15,333</w:t>
            </w:r>
          </w:p>
        </w:tc>
        <w:tc>
          <w:tcPr>
            <w:tcW w:w="1180" w:type="dxa"/>
            <w:vAlign w:val="bottom"/>
            <w:shd w:val="clear" w:color="auto" w:fill="EAF9E8"/>
          </w:tcPr>
          <w:p>
            <w:pPr>
              <w:jc w:val="right"/>
              <w:ind w:right="634"/>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78"/>
              <w:spacing w:after="0"/>
              <w:rPr>
                <w:sz w:val="20"/>
                <w:szCs w:val="20"/>
                <w:color w:val="auto"/>
              </w:rPr>
            </w:pPr>
            <w:r>
              <w:rPr>
                <w:rFonts w:ascii="Arial" w:cs="Arial" w:eastAsia="Arial" w:hAnsi="Arial"/>
                <w:sz w:val="18"/>
                <w:szCs w:val="18"/>
                <w:color w:val="auto"/>
                <w:w w:val="86"/>
              </w:rPr>
              <w:t>102,983</w:t>
            </w:r>
          </w:p>
        </w:tc>
        <w:tc>
          <w:tcPr>
            <w:tcW w:w="180" w:type="dxa"/>
            <w:vAlign w:val="bottom"/>
          </w:tcPr>
          <w:p>
            <w:pPr>
              <w:spacing w:after="0"/>
              <w:rPr>
                <w:sz w:val="18"/>
                <w:szCs w:val="18"/>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87,740</w:t>
            </w:r>
          </w:p>
        </w:tc>
        <w:tc>
          <w:tcPr>
            <w:tcW w:w="1080" w:type="dxa"/>
            <w:vAlign w:val="bottom"/>
          </w:tcPr>
          <w:p>
            <w:pPr>
              <w:jc w:val="right"/>
              <w:ind w:right="276"/>
              <w:spacing w:after="0"/>
              <w:rPr>
                <w:sz w:val="20"/>
                <w:szCs w:val="20"/>
                <w:color w:val="auto"/>
              </w:rPr>
            </w:pPr>
            <w:r>
              <w:rPr>
                <w:rFonts w:ascii="Arial" w:cs="Arial" w:eastAsia="Arial" w:hAnsi="Arial"/>
                <w:sz w:val="18"/>
                <w:szCs w:val="18"/>
                <w:color w:val="auto"/>
              </w:rPr>
              <w:t>15,243</w:t>
            </w:r>
          </w:p>
        </w:tc>
        <w:tc>
          <w:tcPr>
            <w:tcW w:w="1180" w:type="dxa"/>
            <w:vAlign w:val="bottom"/>
          </w:tcPr>
          <w:p>
            <w:pPr>
              <w:jc w:val="right"/>
              <w:ind w:right="634"/>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shd w:val="clear" w:color="auto" w:fill="EAF9E8"/>
          </w:tcPr>
          <w:p>
            <w:pPr>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740" w:type="dxa"/>
            <w:vAlign w:val="bottom"/>
            <w:shd w:val="clear" w:color="auto" w:fill="EAF9E8"/>
          </w:tcPr>
          <w:p>
            <w:pPr>
              <w:jc w:val="right"/>
              <w:ind w:right="78"/>
              <w:spacing w:after="0"/>
              <w:rPr>
                <w:sz w:val="20"/>
                <w:szCs w:val="20"/>
                <w:color w:val="auto"/>
              </w:rPr>
            </w:pPr>
            <w:r>
              <w:rPr>
                <w:rFonts w:ascii="Arial" w:cs="Arial" w:eastAsia="Arial" w:hAnsi="Arial"/>
                <w:sz w:val="18"/>
                <w:szCs w:val="18"/>
                <w:color w:val="auto"/>
              </w:rPr>
              <w:t>18,011</w:t>
            </w:r>
          </w:p>
        </w:tc>
        <w:tc>
          <w:tcPr>
            <w:tcW w:w="180" w:type="dxa"/>
            <w:vAlign w:val="bottom"/>
            <w:shd w:val="clear" w:color="auto" w:fill="EAF9E8"/>
          </w:tcPr>
          <w:p>
            <w:pPr>
              <w:spacing w:after="0"/>
              <w:rPr>
                <w:sz w:val="21"/>
                <w:szCs w:val="21"/>
                <w:color w:val="auto"/>
              </w:rPr>
            </w:pPr>
          </w:p>
        </w:tc>
        <w:tc>
          <w:tcPr>
            <w:tcW w:w="74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17,921</w:t>
            </w:r>
          </w:p>
        </w:tc>
        <w:tc>
          <w:tcPr>
            <w:tcW w:w="1080" w:type="dxa"/>
            <w:vAlign w:val="bottom"/>
            <w:shd w:val="clear" w:color="auto" w:fill="EAF9E8"/>
          </w:tcPr>
          <w:p>
            <w:pPr>
              <w:jc w:val="right"/>
              <w:ind w:right="276"/>
              <w:spacing w:after="0"/>
              <w:rPr>
                <w:sz w:val="20"/>
                <w:szCs w:val="20"/>
                <w:color w:val="auto"/>
              </w:rPr>
            </w:pPr>
            <w:r>
              <w:rPr>
                <w:rFonts w:ascii="Arial" w:cs="Arial" w:eastAsia="Arial" w:hAnsi="Arial"/>
                <w:sz w:val="18"/>
                <w:szCs w:val="18"/>
                <w:color w:val="auto"/>
              </w:rPr>
              <w:t>90</w:t>
            </w:r>
          </w:p>
        </w:tc>
        <w:tc>
          <w:tcPr>
            <w:tcW w:w="1180" w:type="dxa"/>
            <w:vAlign w:val="bottom"/>
            <w:shd w:val="clear" w:color="auto" w:fill="EAF9E8"/>
          </w:tcPr>
          <w:p>
            <w:pPr>
              <w:jc w:val="right"/>
              <w:ind w:right="634"/>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18"/>
              <w:spacing w:after="0"/>
              <w:rPr>
                <w:sz w:val="20"/>
                <w:szCs w:val="20"/>
                <w:color w:val="auto"/>
              </w:rPr>
            </w:pPr>
            <w:r>
              <w:rPr>
                <w:rFonts w:ascii="Arial" w:cs="Arial" w:eastAsia="Arial" w:hAnsi="Arial"/>
                <w:sz w:val="18"/>
                <w:szCs w:val="18"/>
                <w:color w:val="auto"/>
              </w:rPr>
              <w:t>(2,052)</w:t>
            </w:r>
          </w:p>
        </w:tc>
        <w:tc>
          <w:tcPr>
            <w:tcW w:w="180" w:type="dxa"/>
            <w:vAlign w:val="bottom"/>
          </w:tcPr>
          <w:p>
            <w:pPr>
              <w:spacing w:after="0"/>
              <w:rPr>
                <w:sz w:val="18"/>
                <w:szCs w:val="18"/>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(3,216)</w:t>
            </w:r>
          </w:p>
        </w:tc>
        <w:tc>
          <w:tcPr>
            <w:tcW w:w="1080" w:type="dxa"/>
            <w:vAlign w:val="bottom"/>
          </w:tcPr>
          <w:p>
            <w:pPr>
              <w:jc w:val="right"/>
              <w:ind w:right="216"/>
              <w:spacing w:after="0"/>
              <w:rPr>
                <w:sz w:val="20"/>
                <w:szCs w:val="20"/>
                <w:color w:val="auto"/>
              </w:rPr>
            </w:pPr>
            <w:r>
              <w:rPr>
                <w:rFonts w:ascii="Arial" w:cs="Arial" w:eastAsia="Arial" w:hAnsi="Arial"/>
                <w:sz w:val="18"/>
                <w:szCs w:val="18"/>
                <w:color w:val="auto"/>
              </w:rPr>
              <w:t>(1,164)</w:t>
            </w:r>
          </w:p>
        </w:tc>
        <w:tc>
          <w:tcPr>
            <w:tcW w:w="1180" w:type="dxa"/>
            <w:vAlign w:val="bottom"/>
          </w:tcPr>
          <w:p>
            <w:pPr>
              <w:jc w:val="right"/>
              <w:ind w:right="574"/>
              <w:spacing w:after="0"/>
              <w:rPr>
                <w:sz w:val="20"/>
                <w:szCs w:val="20"/>
                <w:color w:val="auto"/>
              </w:rPr>
            </w:pPr>
            <w:r>
              <w:rPr>
                <w:rFonts w:ascii="Arial" w:cs="Arial" w:eastAsia="Arial" w:hAnsi="Arial"/>
                <w:sz w:val="18"/>
                <w:szCs w:val="18"/>
                <w:color w:val="auto"/>
              </w:rPr>
              <w:t>(36.2)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EAF9E8"/>
          </w:tcPr>
          <w:p>
            <w:pPr>
              <w:spacing w:after="0"/>
              <w:rPr>
                <w:sz w:val="20"/>
                <w:szCs w:val="20"/>
                <w:color w:val="auto"/>
              </w:rPr>
            </w:pPr>
            <w:r>
              <w:rPr>
                <w:rFonts w:ascii="Arial" w:cs="Arial" w:eastAsia="Arial" w:hAnsi="Arial"/>
                <w:sz w:val="18"/>
                <w:szCs w:val="18"/>
                <w:color w:val="auto"/>
              </w:rPr>
              <w:t>Income tax provision</w:t>
            </w:r>
          </w:p>
        </w:tc>
        <w:tc>
          <w:tcPr>
            <w:tcW w:w="2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78"/>
              <w:spacing w:after="0"/>
              <w:rPr>
                <w:sz w:val="20"/>
                <w:szCs w:val="20"/>
                <w:color w:val="auto"/>
              </w:rPr>
            </w:pPr>
            <w:r>
              <w:rPr>
                <w:rFonts w:ascii="Arial" w:cs="Arial" w:eastAsia="Arial" w:hAnsi="Arial"/>
                <w:sz w:val="18"/>
                <w:szCs w:val="18"/>
                <w:color w:val="auto"/>
              </w:rPr>
              <w:t>5,921</w:t>
            </w: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5,166</w:t>
            </w:r>
          </w:p>
        </w:tc>
        <w:tc>
          <w:tcPr>
            <w:tcW w:w="1080" w:type="dxa"/>
            <w:vAlign w:val="bottom"/>
            <w:shd w:val="clear" w:color="auto" w:fill="EAF9E8"/>
          </w:tcPr>
          <w:p>
            <w:pPr>
              <w:jc w:val="right"/>
              <w:ind w:right="276"/>
              <w:spacing w:after="0"/>
              <w:rPr>
                <w:sz w:val="20"/>
                <w:szCs w:val="20"/>
                <w:color w:val="auto"/>
              </w:rPr>
            </w:pPr>
            <w:r>
              <w:rPr>
                <w:rFonts w:ascii="Arial" w:cs="Arial" w:eastAsia="Arial" w:hAnsi="Arial"/>
                <w:sz w:val="18"/>
                <w:szCs w:val="18"/>
                <w:color w:val="auto"/>
              </w:rPr>
              <w:t>755</w:t>
            </w:r>
          </w:p>
        </w:tc>
        <w:tc>
          <w:tcPr>
            <w:tcW w:w="1180" w:type="dxa"/>
            <w:vAlign w:val="bottom"/>
            <w:shd w:val="clear" w:color="auto" w:fill="EAF9E8"/>
          </w:tcPr>
          <w:p>
            <w:pPr>
              <w:jc w:val="right"/>
              <w:ind w:right="634"/>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Discontinued operations, net of income taxes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22,389</w:t>
            </w:r>
          </w:p>
        </w:tc>
        <w:tc>
          <w:tcPr>
            <w:tcW w:w="1080" w:type="dxa"/>
            <w:vAlign w:val="bottom"/>
          </w:tcPr>
          <w:p>
            <w:pPr>
              <w:jc w:val="right"/>
              <w:ind w:right="216"/>
              <w:spacing w:after="0"/>
              <w:rPr>
                <w:sz w:val="20"/>
                <w:szCs w:val="20"/>
                <w:color w:val="auto"/>
              </w:rPr>
            </w:pPr>
            <w:r>
              <w:rPr>
                <w:rFonts w:ascii="Arial" w:cs="Arial" w:eastAsia="Arial" w:hAnsi="Arial"/>
                <w:sz w:val="18"/>
                <w:szCs w:val="18"/>
                <w:color w:val="auto"/>
              </w:rPr>
              <w:t>(22,389)</w:t>
            </w:r>
          </w:p>
        </w:tc>
        <w:tc>
          <w:tcPr>
            <w:tcW w:w="1180" w:type="dxa"/>
            <w:vAlign w:val="bottom"/>
          </w:tcPr>
          <w:p>
            <w:pPr>
              <w:jc w:val="right"/>
              <w:ind w:right="574"/>
              <w:spacing w:after="0"/>
              <w:rPr>
                <w:sz w:val="20"/>
                <w:szCs w:val="20"/>
                <w:color w:val="auto"/>
              </w:rPr>
            </w:pPr>
            <w:r>
              <w:rPr>
                <w:rFonts w:ascii="Arial" w:cs="Arial" w:eastAsia="Arial" w:hAnsi="Arial"/>
                <w:sz w:val="18"/>
                <w:szCs w:val="18"/>
                <w:color w:val="auto"/>
                <w:w w:val="87"/>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40" w:type="dxa"/>
            <w:vAlign w:val="bottom"/>
            <w:shd w:val="clear" w:color="auto" w:fill="EAF9E8"/>
          </w:tcPr>
          <w:p>
            <w:pPr>
              <w:spacing w:after="0"/>
              <w:rPr>
                <w:sz w:val="20"/>
                <w:szCs w:val="20"/>
                <w:color w:val="auto"/>
              </w:rPr>
            </w:pPr>
            <w:r>
              <w:rPr>
                <w:rFonts w:ascii="Arial" w:cs="Arial" w:eastAsia="Arial" w:hAnsi="Arial"/>
                <w:sz w:val="18"/>
                <w:szCs w:val="18"/>
                <w:color w:val="auto"/>
                <w:w w:val="94"/>
              </w:rPr>
              <w:t>Cumulative effect of a change in accounting, net of</w:t>
            </w:r>
          </w:p>
        </w:tc>
        <w:tc>
          <w:tcPr>
            <w:tcW w:w="2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income taxes</w:t>
            </w:r>
          </w:p>
        </w:tc>
        <w:tc>
          <w:tcPr>
            <w:tcW w:w="26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740" w:type="dxa"/>
            <w:vAlign w:val="bottom"/>
            <w:shd w:val="clear" w:color="auto" w:fill="EAF9E8"/>
          </w:tcPr>
          <w:p>
            <w:pPr>
              <w:jc w:val="right"/>
              <w:ind w:right="78"/>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9"/>
                <w:szCs w:val="19"/>
                <w:color w:val="auto"/>
              </w:rPr>
            </w:pPr>
          </w:p>
        </w:tc>
        <w:tc>
          <w:tcPr>
            <w:tcW w:w="74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(76)</w:t>
            </w:r>
          </w:p>
        </w:tc>
        <w:tc>
          <w:tcPr>
            <w:tcW w:w="1080" w:type="dxa"/>
            <w:vAlign w:val="bottom"/>
            <w:shd w:val="clear" w:color="auto" w:fill="EAF9E8"/>
          </w:tcPr>
          <w:p>
            <w:pPr>
              <w:jc w:val="right"/>
              <w:ind w:right="276"/>
              <w:spacing w:after="0"/>
              <w:rPr>
                <w:sz w:val="20"/>
                <w:szCs w:val="20"/>
                <w:color w:val="auto"/>
              </w:rPr>
            </w:pPr>
            <w:r>
              <w:rPr>
                <w:rFonts w:ascii="Arial" w:cs="Arial" w:eastAsia="Arial" w:hAnsi="Arial"/>
                <w:sz w:val="18"/>
                <w:szCs w:val="18"/>
                <w:color w:val="auto"/>
              </w:rPr>
              <w:t>76</w:t>
            </w:r>
          </w:p>
        </w:tc>
        <w:tc>
          <w:tcPr>
            <w:tcW w:w="1180" w:type="dxa"/>
            <w:vAlign w:val="bottom"/>
            <w:shd w:val="clear" w:color="auto" w:fill="EAF9E8"/>
          </w:tcPr>
          <w:p>
            <w:pPr>
              <w:jc w:val="right"/>
              <w:ind w:right="634"/>
              <w:spacing w:after="0"/>
              <w:rPr>
                <w:sz w:val="20"/>
                <w:szCs w:val="20"/>
                <w:color w:val="auto"/>
              </w:rPr>
            </w:pPr>
            <w:r>
              <w:rPr>
                <w:rFonts w:ascii="Arial" w:cs="Arial" w:eastAsia="Arial" w:hAnsi="Arial"/>
                <w:sz w:val="18"/>
                <w:szCs w:val="18"/>
                <w:color w:val="auto"/>
                <w:w w:val="97"/>
              </w:rPr>
              <w:t>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38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8"/>
              <w:spacing w:after="0"/>
              <w:rPr>
                <w:sz w:val="20"/>
                <w:szCs w:val="20"/>
                <w:color w:val="auto"/>
              </w:rPr>
            </w:pPr>
            <w:r>
              <w:rPr>
                <w:rFonts w:ascii="Arial" w:cs="Arial" w:eastAsia="Arial" w:hAnsi="Arial"/>
                <w:sz w:val="18"/>
                <w:szCs w:val="18"/>
                <w:color w:val="auto"/>
              </w:rPr>
              <w:t>10,038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31,852</w:t>
            </w:r>
          </w:p>
        </w:tc>
        <w:tc>
          <w:tcPr>
            <w:tcW w:w="1080" w:type="dxa"/>
            <w:vAlign w:val="bottom"/>
          </w:tcPr>
          <w:p>
            <w:pPr>
              <w:jc w:val="right"/>
              <w:ind w:right="216"/>
              <w:spacing w:after="0"/>
              <w:rPr>
                <w:sz w:val="20"/>
                <w:szCs w:val="20"/>
                <w:color w:val="auto"/>
              </w:rPr>
            </w:pPr>
            <w:r>
              <w:rPr>
                <w:rFonts w:ascii="Arial" w:cs="Arial" w:eastAsia="Arial" w:hAnsi="Arial"/>
                <w:sz w:val="18"/>
                <w:szCs w:val="18"/>
                <w:color w:val="auto"/>
                <w:w w:val="98"/>
              </w:rPr>
              <w:t>$(21,814)</w:t>
            </w:r>
          </w:p>
        </w:tc>
        <w:tc>
          <w:tcPr>
            <w:tcW w:w="1180" w:type="dxa"/>
            <w:vAlign w:val="bottom"/>
          </w:tcPr>
          <w:p>
            <w:pPr>
              <w:jc w:val="right"/>
              <w:ind w:right="574"/>
              <w:spacing w:after="0"/>
              <w:rPr>
                <w:sz w:val="20"/>
                <w:szCs w:val="20"/>
                <w:color w:val="auto"/>
              </w:rPr>
            </w:pPr>
            <w:r>
              <w:rPr>
                <w:rFonts w:ascii="Arial" w:cs="Arial" w:eastAsia="Arial" w:hAnsi="Arial"/>
                <w:sz w:val="18"/>
                <w:szCs w:val="18"/>
                <w:color w:val="auto"/>
              </w:rPr>
              <w:t>(68.5)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31" w:lineRule="exact"/>
        <w:rPr>
          <w:sz w:val="20"/>
          <w:szCs w:val="20"/>
          <w:color w:val="auto"/>
        </w:rPr>
      </w:pPr>
    </w:p>
    <w:p>
      <w:pPr>
        <w:ind w:right="2219"/>
        <w:spacing w:after="0" w:line="259" w:lineRule="auto"/>
        <w:rPr>
          <w:sz w:val="20"/>
          <w:szCs w:val="20"/>
          <w:color w:val="auto"/>
        </w:rPr>
      </w:pPr>
      <w:r>
        <w:rPr>
          <w:rFonts w:ascii="Arial" w:cs="Arial" w:eastAsia="Arial" w:hAnsi="Arial"/>
          <w:sz w:val="18"/>
          <w:szCs w:val="18"/>
          <w:color w:val="auto"/>
        </w:rPr>
        <w:t>For the year ended December 31, 2004, operating revenue increased $15.3 million, or 14.5%, due primarily to growth in the Company’s PCS segment. For the year ended December 31, 2004, PCS operating revenue increased $13.4 million, or 20.0%, over 2003 operating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1" w:lineRule="exact"/>
        <w:rPr>
          <w:sz w:val="20"/>
          <w:szCs w:val="20"/>
          <w:color w:val="auto"/>
        </w:rPr>
      </w:pPr>
    </w:p>
    <w:p>
      <w:pPr>
        <w:jc w:val="both"/>
        <w:ind w:right="2359"/>
        <w:spacing w:after="0" w:line="255" w:lineRule="auto"/>
        <w:rPr>
          <w:sz w:val="20"/>
          <w:szCs w:val="20"/>
          <w:color w:val="auto"/>
        </w:rPr>
      </w:pPr>
      <w:r>
        <w:rPr>
          <w:rFonts w:ascii="Arial" w:cs="Arial" w:eastAsia="Arial" w:hAnsi="Arial"/>
          <w:sz w:val="18"/>
          <w:szCs w:val="18"/>
          <w:color w:val="auto"/>
        </w:rPr>
        <w:t>For the year ended December 31, 2004, operating expenses increased $15.2 million, or 17.4%, due primarily to growth in the Company’s PCS and Telephone segments. For the year ended December 31, 2004, PCS operating expenses increased $9.8 million, or 15.2%, and Telephone operating expenses increased $2.8 million, or 19.5%, compared to 2003. The 2004 results include $1.1 million of expenses for compliance with new Sarbanes-Oxley regulations.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31" w:lineRule="exact"/>
        <w:rPr>
          <w:sz w:val="20"/>
          <w:szCs w:val="20"/>
          <w:color w:val="auto"/>
        </w:rPr>
      </w:pPr>
    </w:p>
    <w:p>
      <w:pPr>
        <w:ind w:right="2319"/>
        <w:spacing w:after="0" w:line="332" w:lineRule="auto"/>
        <w:rPr>
          <w:sz w:val="20"/>
          <w:szCs w:val="20"/>
          <w:color w:val="auto"/>
        </w:rPr>
      </w:pPr>
      <w:r>
        <w:rPr>
          <w:rFonts w:ascii="Arial" w:cs="Arial" w:eastAsia="Arial" w:hAnsi="Arial"/>
          <w:sz w:val="16"/>
          <w:szCs w:val="16"/>
          <w:color w:val="auto"/>
        </w:rPr>
        <w:t>For the year ended December 31, 2004, other income (expense) decreased $1.2 million, or 36.2%, primarily as a result of a decrease in interest expense of $0.4 million and an increase in investment income of $0.8 million.</w:t>
      </w:r>
    </w:p>
    <w:p>
      <w:pPr>
        <w:sectPr>
          <w:pgSz w:w="11900" w:h="16838" w:orient="portrait"/>
          <w:cols w:equalWidth="0" w:num="1">
            <w:col w:w="10219"/>
          </w:cols>
          <w:pgMar w:left="240" w:top="584" w:right="1440" w:bottom="1440" w:gutter="0" w:footer="0" w:header="0"/>
        </w:sectPr>
      </w:pPr>
    </w:p>
    <w:p>
      <w:pPr>
        <w:spacing w:after="0" w:line="139"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5166995" cy="469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Net income</w:t>
      </w:r>
    </w:p>
    <w:p>
      <w:pPr>
        <w:spacing w:after="0" w:line="231" w:lineRule="exact"/>
        <w:rPr>
          <w:sz w:val="20"/>
          <w:szCs w:val="20"/>
          <w:color w:val="auto"/>
        </w:rPr>
      </w:pPr>
    </w:p>
    <w:p>
      <w:pPr>
        <w:ind w:right="2539"/>
        <w:spacing w:after="0" w:line="298" w:lineRule="auto"/>
        <w:rPr>
          <w:sz w:val="20"/>
          <w:szCs w:val="20"/>
          <w:color w:val="auto"/>
        </w:rPr>
      </w:pPr>
      <w:r>
        <w:rPr>
          <w:rFonts w:ascii="Arial" w:cs="Arial" w:eastAsia="Arial" w:hAnsi="Arial"/>
          <w:sz w:val="16"/>
          <w:szCs w:val="16"/>
          <w:color w:val="auto"/>
        </w:rPr>
        <w:t>For the year ended December 31, 2004, net income was $10.0 million, which represented a decrease of $21.8 million or 68.5% from 2003. The decrease is primarily reflected the recording in 2003 of $22.4 million in net income from discontinued operations for the sale of the Company’s cellular operations. See Note 3 to the consolidated financial statements appearing elsewhere in this report for additional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31" w:lineRule="exact"/>
        <w:rPr>
          <w:sz w:val="20"/>
          <w:szCs w:val="20"/>
          <w:color w:val="auto"/>
        </w:rPr>
      </w:pPr>
    </w:p>
    <w:p>
      <w:pPr>
        <w:jc w:val="both"/>
        <w:ind w:right="2219"/>
        <w:spacing w:after="0" w:line="306" w:lineRule="auto"/>
        <w:rPr>
          <w:sz w:val="20"/>
          <w:szCs w:val="20"/>
          <w:color w:val="auto"/>
        </w:rPr>
      </w:pPr>
      <w:r>
        <w:rPr>
          <w:rFonts w:ascii="Arial" w:cs="Arial" w:eastAsia="Arial" w:hAnsi="Arial"/>
          <w:sz w:val="16"/>
          <w:szCs w:val="16"/>
          <w:color w:val="auto"/>
        </w:rPr>
        <w:t>The restatement discussed in Note 2 to the consolidated financial statements appearing elsewhere in this report, is reflected in those segments affected by the restatement, which are the PCS segment and the Mobile segment. The other segments, Telephone, Converged Services, Holding and other were not affected by the restatement.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PCS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1430" w:type="dxa"/>
            <w:vAlign w:val="bottom"/>
            <w:gridSpan w:val="3"/>
          </w:tcPr>
          <w:p>
            <w:pPr>
              <w:jc w:val="right"/>
              <w:ind w:right="354"/>
              <w:spacing w:after="0"/>
              <w:rPr>
                <w:sz w:val="20"/>
                <w:szCs w:val="20"/>
                <w:color w:val="auto"/>
              </w:rPr>
            </w:pPr>
            <w:r>
              <w:rPr>
                <w:rFonts w:ascii="Arial" w:cs="Arial" w:eastAsia="Arial" w:hAnsi="Arial"/>
                <w:sz w:val="14"/>
                <w:szCs w:val="14"/>
                <w:b w:val="1"/>
                <w:bCs w:val="1"/>
                <w:color w:val="auto"/>
              </w:rPr>
              <w:t>Year Ended</w:t>
            </w:r>
          </w:p>
        </w:tc>
        <w:tc>
          <w:tcPr>
            <w:tcW w:w="365" w:type="dxa"/>
            <w:vAlign w:val="bottom"/>
          </w:tcPr>
          <w:p>
            <w:pPr>
              <w:spacing w:after="0"/>
              <w:rPr>
                <w:sz w:val="14"/>
                <w:szCs w:val="14"/>
                <w:color w:val="auto"/>
              </w:rPr>
            </w:pPr>
          </w:p>
        </w:tc>
        <w:tc>
          <w:tcPr>
            <w:tcW w:w="815"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430" w:type="dxa"/>
            <w:vAlign w:val="bottom"/>
            <w:gridSpan w:val="3"/>
          </w:tcPr>
          <w:p>
            <w:pPr>
              <w:jc w:val="right"/>
              <w:ind w:right="294"/>
              <w:spacing w:after="0" w:line="149" w:lineRule="exact"/>
              <w:rPr>
                <w:sz w:val="20"/>
                <w:szCs w:val="20"/>
                <w:color w:val="auto"/>
              </w:rPr>
            </w:pPr>
            <w:r>
              <w:rPr>
                <w:rFonts w:ascii="Arial" w:cs="Arial" w:eastAsia="Arial" w:hAnsi="Arial"/>
                <w:sz w:val="14"/>
                <w:szCs w:val="14"/>
                <w:b w:val="1"/>
                <w:bCs w:val="1"/>
                <w:color w:val="auto"/>
              </w:rPr>
              <w:t>December 31,</w:t>
            </w:r>
          </w:p>
        </w:tc>
        <w:tc>
          <w:tcPr>
            <w:tcW w:w="365" w:type="dxa"/>
            <w:vAlign w:val="bottom"/>
          </w:tcPr>
          <w:p>
            <w:pPr>
              <w:spacing w:after="0"/>
              <w:rPr>
                <w:sz w:val="12"/>
                <w:szCs w:val="12"/>
                <w:color w:val="auto"/>
              </w:rPr>
            </w:pPr>
          </w:p>
        </w:tc>
        <w:tc>
          <w:tcPr>
            <w:tcW w:w="815"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30" w:type="dxa"/>
            <w:vAlign w:val="bottom"/>
          </w:tcPr>
          <w:p>
            <w:pPr>
              <w:jc w:val="right"/>
              <w:ind w:right="117"/>
              <w:spacing w:after="0"/>
              <w:rPr>
                <w:sz w:val="20"/>
                <w:szCs w:val="20"/>
                <w:color w:val="auto"/>
              </w:rPr>
            </w:pPr>
            <w:r>
              <w:rPr>
                <w:rFonts w:ascii="Arial" w:cs="Arial" w:eastAsia="Arial" w:hAnsi="Arial"/>
                <w:sz w:val="14"/>
                <w:szCs w:val="14"/>
                <w:b w:val="1"/>
                <w:bCs w:val="1"/>
                <w:color w:val="auto"/>
                <w:w w:val="96"/>
              </w:rPr>
              <w:t>2004</w:t>
            </w:r>
          </w:p>
        </w:tc>
        <w:tc>
          <w:tcPr>
            <w:tcW w:w="340" w:type="dxa"/>
            <w:vAlign w:val="bottom"/>
          </w:tcPr>
          <w:p>
            <w:pPr>
              <w:spacing w:after="0"/>
              <w:rPr>
                <w:sz w:val="15"/>
                <w:szCs w:val="15"/>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365" w:type="dxa"/>
            <w:vAlign w:val="bottom"/>
          </w:tcPr>
          <w:p>
            <w:pPr>
              <w:spacing w:after="0"/>
              <w:rPr>
                <w:sz w:val="15"/>
                <w:szCs w:val="15"/>
                <w:color w:val="auto"/>
              </w:rPr>
            </w:pPr>
          </w:p>
        </w:tc>
        <w:tc>
          <w:tcPr>
            <w:tcW w:w="815" w:type="dxa"/>
            <w:vAlign w:val="bottom"/>
          </w:tcPr>
          <w:p>
            <w:pPr>
              <w:jc w:val="right"/>
              <w:ind w:right="496"/>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174"/>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53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5" w:type="dxa"/>
            <w:vAlign w:val="bottom"/>
            <w:tcBorders>
              <w:bottom w:val="single" w:sz="8" w:color="808080"/>
            </w:tcBorders>
          </w:tcPr>
          <w:p>
            <w:pPr>
              <w:spacing w:after="0"/>
              <w:rPr>
                <w:sz w:val="8"/>
                <w:szCs w:val="8"/>
                <w:color w:val="auto"/>
              </w:rPr>
            </w:pPr>
          </w:p>
        </w:tc>
        <w:tc>
          <w:tcPr>
            <w:tcW w:w="815"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(Restated)</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(Restated)</w:t>
            </w:r>
          </w:p>
        </w:tc>
        <w:tc>
          <w:tcPr>
            <w:tcW w:w="365" w:type="dxa"/>
            <w:vAlign w:val="bottom"/>
          </w:tcPr>
          <w:p>
            <w:pPr>
              <w:spacing w:after="0"/>
              <w:rPr>
                <w:sz w:val="21"/>
                <w:szCs w:val="21"/>
                <w:color w:val="auto"/>
              </w:rPr>
            </w:pPr>
          </w:p>
        </w:tc>
        <w:tc>
          <w:tcPr>
            <w:tcW w:w="815"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EAF9E8"/>
          </w:tcPr>
          <w:p>
            <w:pPr>
              <w:spacing w:after="0"/>
              <w:rPr>
                <w:sz w:val="20"/>
                <w:szCs w:val="20"/>
                <w:color w:val="auto"/>
              </w:rPr>
            </w:pPr>
            <w:r>
              <w:rPr>
                <w:rFonts w:ascii="Arial" w:cs="Arial" w:eastAsia="Arial" w:hAnsi="Arial"/>
                <w:sz w:val="18"/>
                <w:szCs w:val="18"/>
                <w:color w:val="auto"/>
              </w:rPr>
              <w:t>Segment operating revenues</w:t>
            </w:r>
          </w:p>
        </w:tc>
        <w:tc>
          <w:tcPr>
            <w:tcW w:w="200" w:type="dxa"/>
            <w:vAlign w:val="bottom"/>
            <w:shd w:val="clear" w:color="auto" w:fill="EAF9E8"/>
          </w:tcPr>
          <w:p>
            <w:pPr>
              <w:spacing w:after="0"/>
              <w:rPr>
                <w:sz w:val="18"/>
                <w:szCs w:val="18"/>
                <w:color w:val="auto"/>
              </w:rPr>
            </w:pPr>
          </w:p>
        </w:tc>
        <w:tc>
          <w:tcPr>
            <w:tcW w:w="110" w:type="dxa"/>
            <w:vAlign w:val="bottom"/>
            <w:shd w:val="clear" w:color="auto" w:fill="EAF9E8"/>
          </w:tcPr>
          <w:p>
            <w:pPr>
              <w:spacing w:after="0"/>
              <w:rPr>
                <w:sz w:val="18"/>
                <w:szCs w:val="18"/>
                <w:color w:val="auto"/>
              </w:rPr>
            </w:pPr>
          </w:p>
        </w:tc>
        <w:tc>
          <w:tcPr>
            <w:tcW w:w="53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365" w:type="dxa"/>
            <w:vAlign w:val="bottom"/>
            <w:shd w:val="clear" w:color="auto" w:fill="EAF9E8"/>
          </w:tcPr>
          <w:p>
            <w:pPr>
              <w:spacing w:after="0"/>
              <w:rPr>
                <w:sz w:val="18"/>
                <w:szCs w:val="18"/>
                <w:color w:val="auto"/>
              </w:rPr>
            </w:pPr>
          </w:p>
        </w:tc>
        <w:tc>
          <w:tcPr>
            <w:tcW w:w="815"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rPr>
              <w:t>Wireless service revenue</w:t>
            </w:r>
          </w:p>
        </w:tc>
        <w:tc>
          <w:tcPr>
            <w:tcW w:w="31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30" w:type="dxa"/>
            <w:vAlign w:val="bottom"/>
          </w:tcPr>
          <w:p>
            <w:pPr>
              <w:jc w:val="right"/>
              <w:spacing w:after="0"/>
              <w:rPr>
                <w:sz w:val="20"/>
                <w:szCs w:val="20"/>
                <w:color w:val="auto"/>
              </w:rPr>
            </w:pPr>
            <w:r>
              <w:rPr>
                <w:rFonts w:ascii="Arial" w:cs="Arial" w:eastAsia="Arial" w:hAnsi="Arial"/>
                <w:sz w:val="18"/>
                <w:szCs w:val="18"/>
                <w:color w:val="auto"/>
                <w:w w:val="90"/>
              </w:rPr>
              <w:t>52,724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43,827</w:t>
            </w:r>
          </w:p>
        </w:tc>
        <w:tc>
          <w:tcPr>
            <w:tcW w:w="365" w:type="dxa"/>
            <w:vAlign w:val="bottom"/>
          </w:tcPr>
          <w:p>
            <w:pPr>
              <w:jc w:val="right"/>
              <w:spacing w:after="0"/>
              <w:rPr>
                <w:sz w:val="20"/>
                <w:szCs w:val="20"/>
                <w:color w:val="auto"/>
              </w:rPr>
            </w:pPr>
            <w:r>
              <w:rPr>
                <w:rFonts w:ascii="Arial" w:cs="Arial" w:eastAsia="Arial" w:hAnsi="Arial"/>
                <w:sz w:val="18"/>
                <w:szCs w:val="18"/>
                <w:color w:val="auto"/>
              </w:rPr>
              <w:t>$</w:t>
            </w:r>
          </w:p>
        </w:tc>
        <w:tc>
          <w:tcPr>
            <w:tcW w:w="815" w:type="dxa"/>
            <w:vAlign w:val="bottom"/>
          </w:tcPr>
          <w:p>
            <w:pPr>
              <w:jc w:val="right"/>
              <w:ind w:right="216"/>
              <w:spacing w:after="0"/>
              <w:rPr>
                <w:sz w:val="20"/>
                <w:szCs w:val="20"/>
                <w:color w:val="auto"/>
              </w:rPr>
            </w:pPr>
            <w:r>
              <w:rPr>
                <w:rFonts w:ascii="Arial" w:cs="Arial" w:eastAsia="Arial" w:hAnsi="Arial"/>
                <w:sz w:val="18"/>
                <w:szCs w:val="18"/>
                <w:color w:val="auto"/>
              </w:rPr>
              <w:t>8,897</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Travel and roaming revenue</w:t>
            </w:r>
          </w:p>
        </w:tc>
        <w:tc>
          <w:tcPr>
            <w:tcW w:w="200" w:type="dxa"/>
            <w:vAlign w:val="bottom"/>
            <w:shd w:val="clear" w:color="auto" w:fill="EAF9E8"/>
          </w:tcPr>
          <w:p>
            <w:pPr>
              <w:spacing w:after="0"/>
              <w:rPr>
                <w:sz w:val="18"/>
                <w:szCs w:val="18"/>
                <w:color w:val="auto"/>
              </w:rPr>
            </w:pPr>
          </w:p>
        </w:tc>
        <w:tc>
          <w:tcPr>
            <w:tcW w:w="110" w:type="dxa"/>
            <w:vAlign w:val="bottom"/>
            <w:shd w:val="clear" w:color="auto" w:fill="EAF9E8"/>
          </w:tcPr>
          <w:p>
            <w:pPr>
              <w:spacing w:after="0"/>
              <w:rPr>
                <w:sz w:val="18"/>
                <w:szCs w:val="18"/>
                <w:color w:val="auto"/>
              </w:rPr>
            </w:pPr>
          </w:p>
        </w:tc>
        <w:tc>
          <w:tcPr>
            <w:tcW w:w="53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0"/>
              </w:rPr>
              <w:t>22,863</w:t>
            </w:r>
          </w:p>
        </w:tc>
        <w:tc>
          <w:tcPr>
            <w:tcW w:w="340" w:type="dxa"/>
            <w:vAlign w:val="bottom"/>
            <w:shd w:val="clear" w:color="auto" w:fill="EAF9E8"/>
          </w:tcPr>
          <w:p>
            <w:pPr>
              <w:spacing w:after="0"/>
              <w:rPr>
                <w:sz w:val="18"/>
                <w:szCs w:val="18"/>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19,684</w:t>
            </w:r>
          </w:p>
        </w:tc>
        <w:tc>
          <w:tcPr>
            <w:tcW w:w="365" w:type="dxa"/>
            <w:vAlign w:val="bottom"/>
            <w:shd w:val="clear" w:color="auto" w:fill="EAF9E8"/>
          </w:tcPr>
          <w:p>
            <w:pPr>
              <w:spacing w:after="0"/>
              <w:rPr>
                <w:sz w:val="18"/>
                <w:szCs w:val="18"/>
                <w:color w:val="auto"/>
              </w:rPr>
            </w:pPr>
          </w:p>
        </w:tc>
        <w:tc>
          <w:tcPr>
            <w:tcW w:w="815" w:type="dxa"/>
            <w:vAlign w:val="bottom"/>
            <w:shd w:val="clear" w:color="auto" w:fill="EAF9E8"/>
          </w:tcPr>
          <w:p>
            <w:pPr>
              <w:jc w:val="right"/>
              <w:ind w:right="216"/>
              <w:spacing w:after="0"/>
              <w:rPr>
                <w:sz w:val="20"/>
                <w:szCs w:val="20"/>
                <w:color w:val="auto"/>
              </w:rPr>
            </w:pPr>
            <w:r>
              <w:rPr>
                <w:rFonts w:ascii="Arial" w:cs="Arial" w:eastAsia="Arial" w:hAnsi="Arial"/>
                <w:sz w:val="18"/>
                <w:szCs w:val="18"/>
                <w:color w:val="auto"/>
              </w:rPr>
              <w:t>3,179</w:t>
            </w:r>
          </w:p>
        </w:tc>
        <w:tc>
          <w:tcPr>
            <w:tcW w:w="54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rPr>
              <w:t>Equipment revenue</w:t>
            </w: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rPr>
              <w:t>3,190</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1,835</w:t>
            </w:r>
          </w:p>
        </w:tc>
        <w:tc>
          <w:tcPr>
            <w:tcW w:w="365" w:type="dxa"/>
            <w:vAlign w:val="bottom"/>
          </w:tcPr>
          <w:p>
            <w:pPr>
              <w:spacing w:after="0"/>
              <w:rPr>
                <w:sz w:val="18"/>
                <w:szCs w:val="18"/>
                <w:color w:val="auto"/>
              </w:rPr>
            </w:pPr>
          </w:p>
        </w:tc>
        <w:tc>
          <w:tcPr>
            <w:tcW w:w="815" w:type="dxa"/>
            <w:vAlign w:val="bottom"/>
          </w:tcPr>
          <w:p>
            <w:pPr>
              <w:jc w:val="right"/>
              <w:ind w:right="216"/>
              <w:spacing w:after="0"/>
              <w:rPr>
                <w:sz w:val="20"/>
                <w:szCs w:val="20"/>
                <w:color w:val="auto"/>
              </w:rPr>
            </w:pPr>
            <w:r>
              <w:rPr>
                <w:rFonts w:ascii="Arial" w:cs="Arial" w:eastAsia="Arial" w:hAnsi="Arial"/>
                <w:sz w:val="18"/>
                <w:szCs w:val="18"/>
                <w:color w:val="auto"/>
              </w:rPr>
              <w:t>1,355</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73.8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Other revenue</w:t>
            </w:r>
          </w:p>
        </w:tc>
        <w:tc>
          <w:tcPr>
            <w:tcW w:w="200" w:type="dxa"/>
            <w:vAlign w:val="bottom"/>
            <w:shd w:val="clear" w:color="auto" w:fill="EAF9E8"/>
          </w:tcPr>
          <w:p>
            <w:pPr>
              <w:spacing w:after="0"/>
              <w:rPr>
                <w:sz w:val="18"/>
                <w:szCs w:val="18"/>
                <w:color w:val="auto"/>
              </w:rPr>
            </w:pPr>
          </w:p>
        </w:tc>
        <w:tc>
          <w:tcPr>
            <w:tcW w:w="110" w:type="dxa"/>
            <w:vAlign w:val="bottom"/>
            <w:shd w:val="clear" w:color="auto" w:fill="EAF9E8"/>
          </w:tcPr>
          <w:p>
            <w:pPr>
              <w:spacing w:after="0"/>
              <w:rPr>
                <w:sz w:val="18"/>
                <w:szCs w:val="18"/>
                <w:color w:val="auto"/>
              </w:rPr>
            </w:pPr>
          </w:p>
        </w:tc>
        <w:tc>
          <w:tcPr>
            <w:tcW w:w="53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1,389</w:t>
            </w:r>
          </w:p>
        </w:tc>
        <w:tc>
          <w:tcPr>
            <w:tcW w:w="340" w:type="dxa"/>
            <w:vAlign w:val="bottom"/>
            <w:shd w:val="clear" w:color="auto" w:fill="EAF9E8"/>
          </w:tcPr>
          <w:p>
            <w:pPr>
              <w:spacing w:after="0"/>
              <w:rPr>
                <w:sz w:val="18"/>
                <w:szCs w:val="18"/>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1,443</w:t>
            </w:r>
          </w:p>
        </w:tc>
        <w:tc>
          <w:tcPr>
            <w:tcW w:w="365" w:type="dxa"/>
            <w:vAlign w:val="bottom"/>
            <w:shd w:val="clear" w:color="auto" w:fill="EAF9E8"/>
          </w:tcPr>
          <w:p>
            <w:pPr>
              <w:spacing w:after="0"/>
              <w:rPr>
                <w:sz w:val="18"/>
                <w:szCs w:val="18"/>
                <w:color w:val="auto"/>
              </w:rPr>
            </w:pPr>
          </w:p>
        </w:tc>
        <w:tc>
          <w:tcPr>
            <w:tcW w:w="815" w:type="dxa"/>
            <w:vAlign w:val="bottom"/>
            <w:shd w:val="clear" w:color="auto" w:fill="EAF9E8"/>
          </w:tcPr>
          <w:p>
            <w:pPr>
              <w:jc w:val="right"/>
              <w:ind w:right="156"/>
              <w:spacing w:after="0"/>
              <w:rPr>
                <w:sz w:val="20"/>
                <w:szCs w:val="20"/>
                <w:color w:val="auto"/>
              </w:rPr>
            </w:pPr>
            <w:r>
              <w:rPr>
                <w:rFonts w:ascii="Arial" w:cs="Arial" w:eastAsia="Arial" w:hAnsi="Arial"/>
                <w:sz w:val="18"/>
                <w:szCs w:val="18"/>
                <w:color w:val="auto"/>
              </w:rPr>
              <w:t>(54)</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53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5" w:type="dxa"/>
            <w:vAlign w:val="bottom"/>
            <w:tcBorders>
              <w:bottom w:val="single" w:sz="8" w:color="808080"/>
            </w:tcBorders>
          </w:tcPr>
          <w:p>
            <w:pPr>
              <w:spacing w:after="0"/>
              <w:rPr>
                <w:sz w:val="9"/>
                <w:szCs w:val="9"/>
                <w:color w:val="auto"/>
              </w:rPr>
            </w:pPr>
          </w:p>
        </w:tc>
        <w:tc>
          <w:tcPr>
            <w:tcW w:w="815"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640" w:type="dxa"/>
            <w:vAlign w:val="bottom"/>
          </w:tcPr>
          <w:p>
            <w:pPr>
              <w:ind w:left="300"/>
              <w:spacing w:after="0"/>
              <w:rPr>
                <w:sz w:val="20"/>
                <w:szCs w:val="20"/>
                <w:color w:val="auto"/>
              </w:rPr>
            </w:pPr>
            <w:r>
              <w:rPr>
                <w:rFonts w:ascii="Arial" w:cs="Arial" w:eastAsia="Arial" w:hAnsi="Arial"/>
                <w:sz w:val="18"/>
                <w:szCs w:val="18"/>
                <w:color w:val="auto"/>
              </w:rPr>
              <w:t>Total segment operating revenues</w:t>
            </w:r>
          </w:p>
        </w:tc>
        <w:tc>
          <w:tcPr>
            <w:tcW w:w="2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w w:val="90"/>
              </w:rPr>
              <w:t>80,166</w:t>
            </w: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66,789</w:t>
            </w:r>
          </w:p>
        </w:tc>
        <w:tc>
          <w:tcPr>
            <w:tcW w:w="365" w:type="dxa"/>
            <w:vAlign w:val="bottom"/>
          </w:tcPr>
          <w:p>
            <w:pPr>
              <w:spacing w:after="0"/>
              <w:rPr>
                <w:sz w:val="24"/>
                <w:szCs w:val="24"/>
                <w:color w:val="auto"/>
              </w:rPr>
            </w:pPr>
          </w:p>
        </w:tc>
        <w:tc>
          <w:tcPr>
            <w:tcW w:w="815" w:type="dxa"/>
            <w:vAlign w:val="bottom"/>
          </w:tcPr>
          <w:p>
            <w:pPr>
              <w:jc w:val="right"/>
              <w:ind w:right="216"/>
              <w:spacing w:after="0"/>
              <w:rPr>
                <w:sz w:val="20"/>
                <w:szCs w:val="20"/>
                <w:color w:val="auto"/>
              </w:rPr>
            </w:pPr>
            <w:r>
              <w:rPr>
                <w:rFonts w:ascii="Arial" w:cs="Arial" w:eastAsia="Arial" w:hAnsi="Arial"/>
                <w:sz w:val="18"/>
                <w:szCs w:val="18"/>
                <w:color w:val="auto"/>
                <w:w w:val="90"/>
              </w:rPr>
              <w:t>13,377</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66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53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5" w:type="dxa"/>
            <w:vAlign w:val="bottom"/>
            <w:tcBorders>
              <w:bottom w:val="single" w:sz="8" w:color="808080"/>
            </w:tcBorders>
          </w:tcPr>
          <w:p>
            <w:pPr>
              <w:spacing w:after="0"/>
              <w:rPr>
                <w:sz w:val="9"/>
                <w:szCs w:val="9"/>
                <w:color w:val="auto"/>
              </w:rPr>
            </w:pPr>
          </w:p>
        </w:tc>
        <w:tc>
          <w:tcPr>
            <w:tcW w:w="815"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3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5" w:type="dxa"/>
            <w:vAlign w:val="bottom"/>
          </w:tcPr>
          <w:p>
            <w:pPr>
              <w:spacing w:after="0"/>
              <w:rPr>
                <w:sz w:val="8"/>
                <w:szCs w:val="8"/>
                <w:color w:val="auto"/>
              </w:rPr>
            </w:pPr>
          </w:p>
        </w:tc>
        <w:tc>
          <w:tcPr>
            <w:tcW w:w="815"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EAF9E8"/>
          </w:tcPr>
          <w:p>
            <w:pPr>
              <w:spacing w:after="0"/>
              <w:rPr>
                <w:sz w:val="20"/>
                <w:szCs w:val="20"/>
                <w:color w:val="auto"/>
              </w:rPr>
            </w:pPr>
            <w:r>
              <w:rPr>
                <w:rFonts w:ascii="Arial" w:cs="Arial" w:eastAsia="Arial" w:hAnsi="Arial"/>
                <w:sz w:val="18"/>
                <w:szCs w:val="18"/>
                <w:color w:val="auto"/>
              </w:rPr>
              <w:t>Segment operating expenses</w:t>
            </w:r>
          </w:p>
        </w:tc>
        <w:tc>
          <w:tcPr>
            <w:tcW w:w="200" w:type="dxa"/>
            <w:vAlign w:val="bottom"/>
            <w:shd w:val="clear" w:color="auto" w:fill="EAF9E8"/>
          </w:tcPr>
          <w:p>
            <w:pPr>
              <w:spacing w:after="0"/>
              <w:rPr>
                <w:sz w:val="18"/>
                <w:szCs w:val="18"/>
                <w:color w:val="auto"/>
              </w:rPr>
            </w:pPr>
          </w:p>
        </w:tc>
        <w:tc>
          <w:tcPr>
            <w:tcW w:w="110" w:type="dxa"/>
            <w:vAlign w:val="bottom"/>
            <w:shd w:val="clear" w:color="auto" w:fill="EAF9E8"/>
          </w:tcPr>
          <w:p>
            <w:pPr>
              <w:spacing w:after="0"/>
              <w:rPr>
                <w:sz w:val="18"/>
                <w:szCs w:val="18"/>
                <w:color w:val="auto"/>
              </w:rPr>
            </w:pPr>
          </w:p>
        </w:tc>
        <w:tc>
          <w:tcPr>
            <w:tcW w:w="53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365" w:type="dxa"/>
            <w:vAlign w:val="bottom"/>
            <w:shd w:val="clear" w:color="auto" w:fill="EAF9E8"/>
          </w:tcPr>
          <w:p>
            <w:pPr>
              <w:spacing w:after="0"/>
              <w:rPr>
                <w:sz w:val="18"/>
                <w:szCs w:val="18"/>
                <w:color w:val="auto"/>
              </w:rPr>
            </w:pPr>
          </w:p>
        </w:tc>
        <w:tc>
          <w:tcPr>
            <w:tcW w:w="815"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w w:val="97"/>
              </w:rPr>
              <w:t>Cost of goods and services, exclusive of depreciation and</w:t>
            </w: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3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5" w:type="dxa"/>
            <w:vAlign w:val="bottom"/>
          </w:tcPr>
          <w:p>
            <w:pPr>
              <w:spacing w:after="0"/>
              <w:rPr>
                <w:sz w:val="18"/>
                <w:szCs w:val="18"/>
                <w:color w:val="auto"/>
              </w:rPr>
            </w:pPr>
          </w:p>
        </w:tc>
        <w:tc>
          <w:tcPr>
            <w:tcW w:w="815"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300"/>
              <w:spacing w:after="0"/>
              <w:rPr>
                <w:sz w:val="20"/>
                <w:szCs w:val="20"/>
                <w:color w:val="auto"/>
              </w:rPr>
            </w:pPr>
            <w:r>
              <w:rPr>
                <w:rFonts w:ascii="Arial" w:cs="Arial" w:eastAsia="Arial" w:hAnsi="Arial"/>
                <w:sz w:val="18"/>
                <w:szCs w:val="18"/>
                <w:color w:val="auto"/>
              </w:rPr>
              <w:t>amortization shown separately below</w:t>
            </w:r>
          </w:p>
        </w:tc>
        <w:tc>
          <w:tcPr>
            <w:tcW w:w="2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w w:val="90"/>
              </w:rPr>
              <w:t>39,112</w:t>
            </w: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32,688</w:t>
            </w:r>
          </w:p>
        </w:tc>
        <w:tc>
          <w:tcPr>
            <w:tcW w:w="365" w:type="dxa"/>
            <w:vAlign w:val="bottom"/>
          </w:tcPr>
          <w:p>
            <w:pPr>
              <w:spacing w:after="0"/>
              <w:rPr>
                <w:sz w:val="19"/>
                <w:szCs w:val="19"/>
                <w:color w:val="auto"/>
              </w:rPr>
            </w:pPr>
          </w:p>
        </w:tc>
        <w:tc>
          <w:tcPr>
            <w:tcW w:w="815" w:type="dxa"/>
            <w:vAlign w:val="bottom"/>
          </w:tcPr>
          <w:p>
            <w:pPr>
              <w:jc w:val="right"/>
              <w:ind w:right="216"/>
              <w:spacing w:after="0"/>
              <w:rPr>
                <w:sz w:val="20"/>
                <w:szCs w:val="20"/>
                <w:color w:val="auto"/>
              </w:rPr>
            </w:pPr>
            <w:r>
              <w:rPr>
                <w:rFonts w:ascii="Arial" w:cs="Arial" w:eastAsia="Arial" w:hAnsi="Arial"/>
                <w:sz w:val="18"/>
                <w:szCs w:val="18"/>
                <w:color w:val="auto"/>
              </w:rPr>
              <w:t>6,424</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shd w:val="clear" w:color="auto" w:fill="EAF9E8"/>
          </w:tcPr>
          <w:p>
            <w:pPr>
              <w:ind w:left="140"/>
              <w:spacing w:after="0"/>
              <w:rPr>
                <w:sz w:val="20"/>
                <w:szCs w:val="20"/>
                <w:color w:val="auto"/>
              </w:rPr>
            </w:pPr>
            <w:r>
              <w:rPr>
                <w:rFonts w:ascii="Arial" w:cs="Arial" w:eastAsia="Arial" w:hAnsi="Arial"/>
                <w:sz w:val="18"/>
                <w:szCs w:val="18"/>
                <w:color w:val="auto"/>
                <w:w w:val="92"/>
              </w:rPr>
              <w:t>Selling, general and administrative, exclusive of depreciation</w:t>
            </w:r>
          </w:p>
        </w:tc>
        <w:tc>
          <w:tcPr>
            <w:tcW w:w="200" w:type="dxa"/>
            <w:vAlign w:val="bottom"/>
            <w:shd w:val="clear" w:color="auto" w:fill="EAF9E8"/>
          </w:tcPr>
          <w:p>
            <w:pPr>
              <w:spacing w:after="0"/>
              <w:rPr>
                <w:sz w:val="18"/>
                <w:szCs w:val="18"/>
                <w:color w:val="auto"/>
              </w:rPr>
            </w:pPr>
          </w:p>
        </w:tc>
        <w:tc>
          <w:tcPr>
            <w:tcW w:w="110" w:type="dxa"/>
            <w:vAlign w:val="bottom"/>
            <w:shd w:val="clear" w:color="auto" w:fill="EAF9E8"/>
          </w:tcPr>
          <w:p>
            <w:pPr>
              <w:spacing w:after="0"/>
              <w:rPr>
                <w:sz w:val="18"/>
                <w:szCs w:val="18"/>
                <w:color w:val="auto"/>
              </w:rPr>
            </w:pPr>
          </w:p>
        </w:tc>
        <w:tc>
          <w:tcPr>
            <w:tcW w:w="53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365" w:type="dxa"/>
            <w:vAlign w:val="bottom"/>
            <w:shd w:val="clear" w:color="auto" w:fill="EAF9E8"/>
          </w:tcPr>
          <w:p>
            <w:pPr>
              <w:spacing w:after="0"/>
              <w:rPr>
                <w:sz w:val="18"/>
                <w:szCs w:val="18"/>
                <w:color w:val="auto"/>
              </w:rPr>
            </w:pPr>
          </w:p>
        </w:tc>
        <w:tc>
          <w:tcPr>
            <w:tcW w:w="815"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40" w:type="dxa"/>
            <w:vAlign w:val="bottom"/>
            <w:shd w:val="clear" w:color="auto" w:fill="EAF9E8"/>
          </w:tcPr>
          <w:p>
            <w:pPr>
              <w:ind w:left="300"/>
              <w:spacing w:after="0"/>
              <w:rPr>
                <w:sz w:val="20"/>
                <w:szCs w:val="20"/>
                <w:color w:val="auto"/>
              </w:rPr>
            </w:pPr>
            <w:r>
              <w:rPr>
                <w:rFonts w:ascii="Arial" w:cs="Arial" w:eastAsia="Arial" w:hAnsi="Arial"/>
                <w:sz w:val="18"/>
                <w:szCs w:val="18"/>
                <w:color w:val="auto"/>
              </w:rPr>
              <w:t>and amortization shown separately below</w:t>
            </w:r>
          </w:p>
        </w:tc>
        <w:tc>
          <w:tcPr>
            <w:tcW w:w="200" w:type="dxa"/>
            <w:vAlign w:val="bottom"/>
            <w:shd w:val="clear" w:color="auto" w:fill="EAF9E8"/>
          </w:tcPr>
          <w:p>
            <w:pPr>
              <w:spacing w:after="0"/>
              <w:rPr>
                <w:sz w:val="19"/>
                <w:szCs w:val="19"/>
                <w:color w:val="auto"/>
              </w:rPr>
            </w:pPr>
          </w:p>
        </w:tc>
        <w:tc>
          <w:tcPr>
            <w:tcW w:w="110" w:type="dxa"/>
            <w:vAlign w:val="bottom"/>
            <w:shd w:val="clear" w:color="auto" w:fill="EAF9E8"/>
          </w:tcPr>
          <w:p>
            <w:pPr>
              <w:spacing w:after="0"/>
              <w:rPr>
                <w:sz w:val="19"/>
                <w:szCs w:val="19"/>
                <w:color w:val="auto"/>
              </w:rPr>
            </w:pPr>
          </w:p>
        </w:tc>
        <w:tc>
          <w:tcPr>
            <w:tcW w:w="53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0"/>
              </w:rPr>
              <w:t>22,952</w:t>
            </w:r>
          </w:p>
        </w:tc>
        <w:tc>
          <w:tcPr>
            <w:tcW w:w="340" w:type="dxa"/>
            <w:vAlign w:val="bottom"/>
            <w:shd w:val="clear" w:color="auto" w:fill="EAF9E8"/>
          </w:tcPr>
          <w:p>
            <w:pPr>
              <w:spacing w:after="0"/>
              <w:rPr>
                <w:sz w:val="19"/>
                <w:szCs w:val="19"/>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21,261</w:t>
            </w:r>
          </w:p>
        </w:tc>
        <w:tc>
          <w:tcPr>
            <w:tcW w:w="365" w:type="dxa"/>
            <w:vAlign w:val="bottom"/>
            <w:shd w:val="clear" w:color="auto" w:fill="EAF9E8"/>
          </w:tcPr>
          <w:p>
            <w:pPr>
              <w:spacing w:after="0"/>
              <w:rPr>
                <w:sz w:val="19"/>
                <w:szCs w:val="19"/>
                <w:color w:val="auto"/>
              </w:rPr>
            </w:pPr>
          </w:p>
        </w:tc>
        <w:tc>
          <w:tcPr>
            <w:tcW w:w="815" w:type="dxa"/>
            <w:vAlign w:val="bottom"/>
            <w:shd w:val="clear" w:color="auto" w:fill="EAF9E8"/>
          </w:tcPr>
          <w:p>
            <w:pPr>
              <w:jc w:val="right"/>
              <w:ind w:right="216"/>
              <w:spacing w:after="0"/>
              <w:rPr>
                <w:sz w:val="20"/>
                <w:szCs w:val="20"/>
                <w:color w:val="auto"/>
              </w:rPr>
            </w:pPr>
            <w:r>
              <w:rPr>
                <w:rFonts w:ascii="Arial" w:cs="Arial" w:eastAsia="Arial" w:hAnsi="Arial"/>
                <w:sz w:val="18"/>
                <w:szCs w:val="18"/>
                <w:color w:val="auto"/>
              </w:rPr>
              <w:t>1,691</w:t>
            </w:r>
          </w:p>
        </w:tc>
        <w:tc>
          <w:tcPr>
            <w:tcW w:w="54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w w:val="90"/>
              </w:rPr>
              <w:t>11,915</w:t>
            </w: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10,246</w:t>
            </w:r>
          </w:p>
        </w:tc>
        <w:tc>
          <w:tcPr>
            <w:tcW w:w="365" w:type="dxa"/>
            <w:vAlign w:val="bottom"/>
          </w:tcPr>
          <w:p>
            <w:pPr>
              <w:spacing w:after="0"/>
              <w:rPr>
                <w:sz w:val="19"/>
                <w:szCs w:val="19"/>
                <w:color w:val="auto"/>
              </w:rPr>
            </w:pPr>
          </w:p>
        </w:tc>
        <w:tc>
          <w:tcPr>
            <w:tcW w:w="815" w:type="dxa"/>
            <w:vAlign w:val="bottom"/>
          </w:tcPr>
          <w:p>
            <w:pPr>
              <w:jc w:val="right"/>
              <w:ind w:right="216"/>
              <w:spacing w:after="0"/>
              <w:rPr>
                <w:sz w:val="20"/>
                <w:szCs w:val="20"/>
                <w:color w:val="auto"/>
              </w:rPr>
            </w:pPr>
            <w:r>
              <w:rPr>
                <w:rFonts w:ascii="Arial" w:cs="Arial" w:eastAsia="Arial" w:hAnsi="Arial"/>
                <w:sz w:val="18"/>
                <w:szCs w:val="18"/>
                <w:color w:val="auto"/>
              </w:rPr>
              <w:t>1,669</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53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5" w:type="dxa"/>
            <w:vAlign w:val="bottom"/>
            <w:tcBorders>
              <w:bottom w:val="single" w:sz="8" w:color="808080"/>
            </w:tcBorders>
          </w:tcPr>
          <w:p>
            <w:pPr>
              <w:spacing w:after="0"/>
              <w:rPr>
                <w:sz w:val="8"/>
                <w:szCs w:val="8"/>
                <w:color w:val="auto"/>
              </w:rPr>
            </w:pPr>
          </w:p>
        </w:tc>
        <w:tc>
          <w:tcPr>
            <w:tcW w:w="815"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3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5" w:type="dxa"/>
            <w:vAlign w:val="bottom"/>
          </w:tcPr>
          <w:p>
            <w:pPr>
              <w:spacing w:after="0"/>
              <w:rPr>
                <w:sz w:val="8"/>
                <w:szCs w:val="8"/>
                <w:color w:val="auto"/>
              </w:rPr>
            </w:pPr>
          </w:p>
        </w:tc>
        <w:tc>
          <w:tcPr>
            <w:tcW w:w="815"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EAF9E8"/>
          </w:tcPr>
          <w:p>
            <w:pPr>
              <w:ind w:left="300"/>
              <w:spacing w:after="0"/>
              <w:rPr>
                <w:sz w:val="20"/>
                <w:szCs w:val="20"/>
                <w:color w:val="auto"/>
              </w:rPr>
            </w:pPr>
            <w:r>
              <w:rPr>
                <w:rFonts w:ascii="Arial" w:cs="Arial" w:eastAsia="Arial" w:hAnsi="Arial"/>
                <w:sz w:val="18"/>
                <w:szCs w:val="18"/>
                <w:color w:val="auto"/>
              </w:rPr>
              <w:t>Total segment operating expenses</w:t>
            </w:r>
          </w:p>
        </w:tc>
        <w:tc>
          <w:tcPr>
            <w:tcW w:w="200" w:type="dxa"/>
            <w:vAlign w:val="bottom"/>
            <w:shd w:val="clear" w:color="auto" w:fill="EAF9E8"/>
          </w:tcPr>
          <w:p>
            <w:pPr>
              <w:spacing w:after="0"/>
              <w:rPr>
                <w:sz w:val="18"/>
                <w:szCs w:val="18"/>
                <w:color w:val="auto"/>
              </w:rPr>
            </w:pPr>
          </w:p>
        </w:tc>
        <w:tc>
          <w:tcPr>
            <w:tcW w:w="110" w:type="dxa"/>
            <w:vAlign w:val="bottom"/>
            <w:shd w:val="clear" w:color="auto" w:fill="EAF9E8"/>
          </w:tcPr>
          <w:p>
            <w:pPr>
              <w:spacing w:after="0"/>
              <w:rPr>
                <w:sz w:val="18"/>
                <w:szCs w:val="18"/>
                <w:color w:val="auto"/>
              </w:rPr>
            </w:pPr>
          </w:p>
        </w:tc>
        <w:tc>
          <w:tcPr>
            <w:tcW w:w="53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0"/>
              </w:rPr>
              <w:t>73,979</w:t>
            </w:r>
          </w:p>
        </w:tc>
        <w:tc>
          <w:tcPr>
            <w:tcW w:w="340" w:type="dxa"/>
            <w:vAlign w:val="bottom"/>
            <w:shd w:val="clear" w:color="auto" w:fill="EAF9E8"/>
          </w:tcPr>
          <w:p>
            <w:pPr>
              <w:spacing w:after="0"/>
              <w:rPr>
                <w:sz w:val="18"/>
                <w:szCs w:val="18"/>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64,195</w:t>
            </w:r>
          </w:p>
        </w:tc>
        <w:tc>
          <w:tcPr>
            <w:tcW w:w="365" w:type="dxa"/>
            <w:vAlign w:val="bottom"/>
            <w:shd w:val="clear" w:color="auto" w:fill="EAF9E8"/>
          </w:tcPr>
          <w:p>
            <w:pPr>
              <w:spacing w:after="0"/>
              <w:rPr>
                <w:sz w:val="18"/>
                <w:szCs w:val="18"/>
                <w:color w:val="auto"/>
              </w:rPr>
            </w:pPr>
          </w:p>
        </w:tc>
        <w:tc>
          <w:tcPr>
            <w:tcW w:w="815" w:type="dxa"/>
            <w:vAlign w:val="bottom"/>
            <w:shd w:val="clear" w:color="auto" w:fill="EAF9E8"/>
          </w:tcPr>
          <w:p>
            <w:pPr>
              <w:jc w:val="right"/>
              <w:ind w:right="216"/>
              <w:spacing w:after="0"/>
              <w:rPr>
                <w:sz w:val="20"/>
                <w:szCs w:val="20"/>
                <w:color w:val="auto"/>
              </w:rPr>
            </w:pPr>
            <w:r>
              <w:rPr>
                <w:rFonts w:ascii="Arial" w:cs="Arial" w:eastAsia="Arial" w:hAnsi="Arial"/>
                <w:sz w:val="18"/>
                <w:szCs w:val="18"/>
                <w:color w:val="auto"/>
              </w:rPr>
              <w:t>9,784</w:t>
            </w:r>
          </w:p>
        </w:tc>
        <w:tc>
          <w:tcPr>
            <w:tcW w:w="54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66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53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5" w:type="dxa"/>
            <w:vAlign w:val="bottom"/>
            <w:tcBorders>
              <w:bottom w:val="single" w:sz="8" w:color="808080"/>
            </w:tcBorders>
          </w:tcPr>
          <w:p>
            <w:pPr>
              <w:spacing w:after="0"/>
              <w:rPr>
                <w:sz w:val="9"/>
                <w:szCs w:val="9"/>
                <w:color w:val="auto"/>
              </w:rPr>
            </w:pPr>
          </w:p>
        </w:tc>
        <w:tc>
          <w:tcPr>
            <w:tcW w:w="815"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60" w:type="dxa"/>
            <w:vAlign w:val="bottom"/>
            <w:gridSpan w:val="2"/>
          </w:tcPr>
          <w:p>
            <w:pPr>
              <w:spacing w:after="0"/>
              <w:rPr>
                <w:sz w:val="20"/>
                <w:szCs w:val="20"/>
                <w:color w:val="auto"/>
              </w:rPr>
            </w:pPr>
            <w:r>
              <w:rPr>
                <w:rFonts w:ascii="Arial" w:cs="Arial" w:eastAsia="Arial" w:hAnsi="Arial"/>
                <w:sz w:val="18"/>
                <w:szCs w:val="18"/>
                <w:color w:val="auto"/>
              </w:rPr>
              <w:t>Segment operating income</w:t>
            </w:r>
          </w:p>
        </w:tc>
        <w:tc>
          <w:tcPr>
            <w:tcW w:w="31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30" w:type="dxa"/>
            <w:vAlign w:val="bottom"/>
          </w:tcPr>
          <w:p>
            <w:pPr>
              <w:jc w:val="right"/>
              <w:spacing w:after="0"/>
              <w:rPr>
                <w:sz w:val="20"/>
                <w:szCs w:val="20"/>
                <w:color w:val="auto"/>
              </w:rPr>
            </w:pPr>
            <w:r>
              <w:rPr>
                <w:rFonts w:ascii="Arial" w:cs="Arial" w:eastAsia="Arial" w:hAnsi="Arial"/>
                <w:sz w:val="18"/>
                <w:szCs w:val="18"/>
                <w:color w:val="auto"/>
              </w:rPr>
              <w:t>6,187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2,594</w:t>
            </w:r>
          </w:p>
        </w:tc>
        <w:tc>
          <w:tcPr>
            <w:tcW w:w="365" w:type="dxa"/>
            <w:vAlign w:val="bottom"/>
          </w:tcPr>
          <w:p>
            <w:pPr>
              <w:jc w:val="right"/>
              <w:spacing w:after="0"/>
              <w:rPr>
                <w:sz w:val="20"/>
                <w:szCs w:val="20"/>
                <w:color w:val="auto"/>
              </w:rPr>
            </w:pPr>
            <w:r>
              <w:rPr>
                <w:rFonts w:ascii="Arial" w:cs="Arial" w:eastAsia="Arial" w:hAnsi="Arial"/>
                <w:sz w:val="18"/>
                <w:szCs w:val="18"/>
                <w:color w:val="auto"/>
              </w:rPr>
              <w:t>$</w:t>
            </w:r>
          </w:p>
        </w:tc>
        <w:tc>
          <w:tcPr>
            <w:tcW w:w="815" w:type="dxa"/>
            <w:vAlign w:val="bottom"/>
          </w:tcPr>
          <w:p>
            <w:pPr>
              <w:jc w:val="right"/>
              <w:ind w:right="216"/>
              <w:spacing w:after="0"/>
              <w:rPr>
                <w:sz w:val="20"/>
                <w:szCs w:val="20"/>
                <w:color w:val="auto"/>
              </w:rPr>
            </w:pPr>
            <w:r>
              <w:rPr>
                <w:rFonts w:ascii="Arial" w:cs="Arial" w:eastAsia="Arial" w:hAnsi="Arial"/>
                <w:sz w:val="18"/>
                <w:szCs w:val="18"/>
                <w:color w:val="auto"/>
              </w:rPr>
              <w:t>3,593</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w w:val="93"/>
              </w:rPr>
              <w:t>138.5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53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365" w:type="dxa"/>
            <w:vAlign w:val="bottom"/>
            <w:tcBorders>
              <w:bottom w:val="single" w:sz="8" w:color="808080"/>
            </w:tcBorders>
          </w:tcPr>
          <w:p>
            <w:pPr>
              <w:spacing w:after="0"/>
              <w:rPr>
                <w:sz w:val="10"/>
                <w:szCs w:val="10"/>
                <w:color w:val="auto"/>
              </w:rPr>
            </w:pPr>
          </w:p>
        </w:tc>
        <w:tc>
          <w:tcPr>
            <w:tcW w:w="815"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199"/>
        <w:spacing w:after="0" w:line="294" w:lineRule="auto"/>
        <w:rPr>
          <w:sz w:val="20"/>
          <w:szCs w:val="20"/>
          <w:color w:val="auto"/>
        </w:rPr>
      </w:pPr>
      <w:r>
        <w:rPr>
          <w:rFonts w:ascii="Arial" w:cs="Arial" w:eastAsia="Arial" w:hAnsi="Arial"/>
          <w:sz w:val="16"/>
          <w:szCs w:val="16"/>
          <w:color w:val="auto"/>
        </w:rPr>
        <w:t>The results for the years ended December 31, 2004 and 2003 have been restated to reflect the correction of certain errors in the Company’s accounting for operating leases. See Note 2 to the consolidated financial statements appearing elsewhere in this report for additional information. The effect of these restatements on PCS’s segment operating income for the years ended December 31, 2004 and 2003 was to increasecost of goods and services by $210 thousand and to decrease segment operating income by $240 thousand.</w:t>
      </w:r>
    </w:p>
    <w:p>
      <w:pPr>
        <w:spacing w:after="0" w:line="170" w:lineRule="exact"/>
        <w:rPr>
          <w:sz w:val="20"/>
          <w:szCs w:val="20"/>
          <w:color w:val="auto"/>
        </w:rPr>
      </w:pPr>
    </w:p>
    <w:p>
      <w:pPr>
        <w:ind w:right="2399"/>
        <w:spacing w:after="0" w:line="256" w:lineRule="auto"/>
        <w:rPr>
          <w:sz w:val="20"/>
          <w:szCs w:val="20"/>
          <w:color w:val="auto"/>
        </w:rPr>
      </w:pPr>
      <w:r>
        <w:rPr>
          <w:rFonts w:ascii="Arial" w:cs="Arial" w:eastAsia="Arial" w:hAnsi="Arial"/>
          <w:sz w:val="18"/>
          <w:szCs w:val="18"/>
          <w:color w:val="auto"/>
        </w:rPr>
        <w:t>The Company had 271 PCS base stations in service at December 31, 2004, compared to 253 base stations in service at December 31, 2003. This increase in base stations was primarily the result of supplementing network capacity and further extending coverage along more heavily traveled secondary roads in the Company’s market areas.</w:t>
      </w:r>
    </w:p>
    <w:p>
      <w:pPr>
        <w:spacing w:after="0" w:line="197" w:lineRule="exact"/>
        <w:rPr>
          <w:sz w:val="20"/>
          <w:szCs w:val="20"/>
          <w:color w:val="auto"/>
        </w:rPr>
      </w:pPr>
    </w:p>
    <w:p>
      <w:pPr>
        <w:ind w:right="2179"/>
        <w:spacing w:after="0" w:line="256" w:lineRule="auto"/>
        <w:rPr>
          <w:sz w:val="20"/>
          <w:szCs w:val="20"/>
          <w:color w:val="auto"/>
        </w:rPr>
      </w:pPr>
      <w:r>
        <w:rPr>
          <w:rFonts w:ascii="Arial" w:cs="Arial" w:eastAsia="Arial" w:hAnsi="Arial"/>
          <w:sz w:val="18"/>
          <w:szCs w:val="18"/>
          <w:color w:val="auto"/>
        </w:rPr>
        <w:t>Through Sprint Nextel, the Company began receiving revenue from wholesale resellers of wireless PCS service in late 2002. These resellers pay a flat rate per minute of use for all traffic their subscribers generate on the Company’s network. The Company’s cost to handle this traffic is the incremental cost to provide the necessary network capacity.</w:t>
      </w:r>
    </w:p>
    <w:p>
      <w:pPr>
        <w:spacing w:after="0" w:line="197" w:lineRule="exact"/>
        <w:rPr>
          <w:sz w:val="20"/>
          <w:szCs w:val="20"/>
          <w:color w:val="auto"/>
        </w:rPr>
      </w:pPr>
    </w:p>
    <w:p>
      <w:pPr>
        <w:ind w:right="2179"/>
        <w:spacing w:after="0" w:line="290" w:lineRule="auto"/>
        <w:rPr>
          <w:sz w:val="20"/>
          <w:szCs w:val="20"/>
          <w:color w:val="auto"/>
        </w:rPr>
      </w:pPr>
      <w:r>
        <w:rPr>
          <w:rFonts w:ascii="Arial" w:cs="Arial" w:eastAsia="Arial" w:hAnsi="Arial"/>
          <w:sz w:val="16"/>
          <w:szCs w:val="16"/>
          <w:color w:val="auto"/>
        </w:rPr>
        <w:t>The Company’s net travel and wholesale roaming, including the long distance and 3G data portions of that traffic, decreased to a $9.2 million net contribution to operating income for 2004, compared to a $9.3 million net contribution to operating income for 2003. The Company’s travel receivable minutes increased 29.3% to 284.5 million and the travel payable minutes increased by 38.7% to 201.8 million. The increases in travel minutes receivable and payable were primarily the result of an increase in usage of the Company’s network facilities by subscribers based in other markets and growth in subscribers in the Company’s markets using PCS service outside of the Company’s service area.</w:t>
      </w:r>
    </w:p>
    <w:p>
      <w:pPr>
        <w:sectPr>
          <w:pgSz w:w="11900" w:h="16838" w:orient="portrait"/>
          <w:cols w:equalWidth="0" w:num="1">
            <w:col w:w="10219"/>
          </w:cols>
          <w:pgMar w:left="240" w:top="584" w:right="1440" w:bottom="1440" w:gutter="0" w:footer="0" w:header="0"/>
        </w:sectPr>
      </w:pPr>
    </w:p>
    <w:p>
      <w:pPr>
        <w:spacing w:after="0" w:line="172"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5166995" cy="469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type w:val="continuous"/>
        </w:sectPr>
      </w:pPr>
    </w:p>
    <w:bookmarkStart w:id="54" w:name="page55"/>
    <w:bookmarkEnd w:id="54"/>
    <w:p>
      <w:pPr>
        <w:ind w:right="2459"/>
        <w:spacing w:after="0" w:line="268" w:lineRule="auto"/>
        <w:rPr>
          <w:sz w:val="20"/>
          <w:szCs w:val="20"/>
          <w:color w:val="auto"/>
        </w:rPr>
      </w:pPr>
      <w:r>
        <w:rPr>
          <w:rFonts w:ascii="Arial" w:cs="Arial" w:eastAsia="Arial" w:hAnsi="Arial"/>
          <w:sz w:val="18"/>
          <w:szCs w:val="18"/>
          <w:color w:val="auto"/>
        </w:rPr>
        <w:t>On a per-subscriber basis, the Company’s average of travel payable minutes increased to 179 minutes in 2004, which represented an increase of 20 minutes from 2003.</w:t>
      </w:r>
    </w:p>
    <w:p>
      <w:pPr>
        <w:spacing w:after="0" w:line="186" w:lineRule="exact"/>
        <w:rPr>
          <w:sz w:val="20"/>
          <w:szCs w:val="20"/>
          <w:color w:val="auto"/>
        </w:rPr>
      </w:pPr>
    </w:p>
    <w:p>
      <w:pPr>
        <w:ind w:right="2139"/>
        <w:spacing w:after="0" w:line="256" w:lineRule="auto"/>
        <w:rPr>
          <w:sz w:val="20"/>
          <w:szCs w:val="20"/>
          <w:color w:val="auto"/>
        </w:rPr>
      </w:pPr>
      <w:r>
        <w:rPr>
          <w:rFonts w:ascii="Arial" w:cs="Arial" w:eastAsia="Arial" w:hAnsi="Arial"/>
          <w:sz w:val="18"/>
          <w:szCs w:val="18"/>
          <w:color w:val="auto"/>
        </w:rPr>
        <w:t>The Company experienced churn of 2.2% in 2004, compared to 2.1% in 2003, which reflected the Company’s maintenance of rigorous credit screening for new subscribers as well as continued efforts to improve the after-sales support. Competition in the wireless industry continued to have a significant impact on the results of the Company’s PCS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31" w:lineRule="exact"/>
        <w:rPr>
          <w:sz w:val="20"/>
          <w:szCs w:val="20"/>
          <w:color w:val="auto"/>
        </w:rPr>
      </w:pPr>
    </w:p>
    <w:p>
      <w:pPr>
        <w:ind w:right="2239"/>
        <w:spacing w:after="0" w:line="298" w:lineRule="auto"/>
        <w:rPr>
          <w:sz w:val="20"/>
          <w:szCs w:val="20"/>
          <w:color w:val="auto"/>
        </w:rPr>
      </w:pPr>
      <w:r>
        <w:rPr>
          <w:rFonts w:ascii="Arial" w:cs="Arial" w:eastAsia="Arial" w:hAnsi="Arial"/>
          <w:sz w:val="16"/>
          <w:szCs w:val="16"/>
          <w:color w:val="auto"/>
        </w:rPr>
        <w:t>As of December 31, 2004, the Company had 102,613 retail PCS subscribers compared to 85,139 subscribers at December 31, 2003. The PCS operations added 17,474 net retail customers in 2004 compared to 17,297 net retail subscribers added in 2003. In addition, net wholesale users increased by 14,479 in 2004 compared to 11,186 in 2003. In 2004, wireless service revenues from retail customers increased $8.9 million, or 20.3%.</w:t>
      </w:r>
    </w:p>
    <w:p>
      <w:pPr>
        <w:spacing w:after="0" w:line="167" w:lineRule="exact"/>
        <w:rPr>
          <w:sz w:val="20"/>
          <w:szCs w:val="20"/>
          <w:color w:val="auto"/>
        </w:rPr>
      </w:pPr>
    </w:p>
    <w:p>
      <w:pPr>
        <w:ind w:right="2199"/>
        <w:spacing w:after="0" w:line="298" w:lineRule="auto"/>
        <w:rPr>
          <w:sz w:val="20"/>
          <w:szCs w:val="20"/>
          <w:color w:val="auto"/>
        </w:rPr>
      </w:pPr>
      <w:r>
        <w:rPr>
          <w:rFonts w:ascii="Arial" w:cs="Arial" w:eastAsia="Arial" w:hAnsi="Arial"/>
          <w:sz w:val="16"/>
          <w:szCs w:val="16"/>
          <w:color w:val="auto"/>
        </w:rPr>
        <w:t>PCS travel and roaming revenues increased $3.2 million, or 16.2% in 2004. The travel and roaming revenue increase resulted from an increase in travel usage. For 2004, the travel rate the Company receives from Sprint Nextel was $0.058, the same as 2003. Roaming revenue declined $1.2 million, or 14%, due to decreasing roaming rates and a decrease in volume as other carriers continue to expand their networks.</w:t>
      </w:r>
    </w:p>
    <w:p>
      <w:pPr>
        <w:spacing w:after="0" w:line="167" w:lineRule="exact"/>
        <w:rPr>
          <w:sz w:val="20"/>
          <w:szCs w:val="20"/>
          <w:color w:val="auto"/>
        </w:rPr>
      </w:pPr>
    </w:p>
    <w:p>
      <w:pPr>
        <w:ind w:right="2399"/>
        <w:spacing w:after="0" w:line="318" w:lineRule="auto"/>
        <w:rPr>
          <w:sz w:val="20"/>
          <w:szCs w:val="20"/>
          <w:color w:val="auto"/>
        </w:rPr>
      </w:pPr>
      <w:r>
        <w:rPr>
          <w:rFonts w:ascii="Arial" w:cs="Arial" w:eastAsia="Arial" w:hAnsi="Arial"/>
          <w:sz w:val="15"/>
          <w:szCs w:val="15"/>
          <w:color w:val="auto"/>
        </w:rPr>
        <w:t>PCS equipment sales were $3.2 million, which represents an increase of $1.4 million or 73.8% over 2003. The equipment sales at Company stores in 2004 are net of $2.9 million of rebates and discounts given at the time of sale. Rebates and discounts continue to be required to meet significant industry competition for subscriber additions and subscriber retention. These discounts and rebates are primarily transacted in the form of instant rebates, provision of a free second phone when a customer purchases one phone, or substantial price discounts.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and services</w:t>
      </w:r>
    </w:p>
    <w:p>
      <w:pPr>
        <w:spacing w:after="0" w:line="231" w:lineRule="exact"/>
        <w:rPr>
          <w:sz w:val="20"/>
          <w:szCs w:val="20"/>
          <w:color w:val="auto"/>
        </w:rPr>
      </w:pPr>
    </w:p>
    <w:p>
      <w:pPr>
        <w:ind w:right="2159"/>
        <w:spacing w:after="0" w:line="288" w:lineRule="auto"/>
        <w:rPr>
          <w:sz w:val="20"/>
          <w:szCs w:val="20"/>
          <w:color w:val="auto"/>
        </w:rPr>
      </w:pPr>
      <w:r>
        <w:rPr>
          <w:rFonts w:ascii="Arial" w:cs="Arial" w:eastAsia="Arial" w:hAnsi="Arial"/>
          <w:sz w:val="16"/>
          <w:szCs w:val="16"/>
          <w:color w:val="auto"/>
        </w:rPr>
        <w:t>Cost of PCS goods and services increased $6.4 million, or 19.7%, primarily as the result of an increase in travel expense and higher volumes of handsets sold through Company-owned stores and PCS handset subsidies paid to Company-managed third-party retailers. Travel expense in 2004 increased by $3.6 million, to $14.4 million due to a significant increase in travel minutes. Travel expense is the cost of minutes used by the Company’s PCS subscribers on Sprint Nextel or other Sprint Nextel Affiliates’ networks. The travel rate for 2004 was $0.058 and did not change from 2003. In 2004, the average customer’s travel usage of 179 minutes per month increased by 20 minutes from 159 minutes per month in 2003. The Company recorded approximately $2.1 million in handset costs related to existing subscribers upgrading their handsets, which represented an increase of $1.2 million, or 142%, over 2003.</w:t>
      </w:r>
    </w:p>
    <w:p>
      <w:pPr>
        <w:spacing w:after="0" w:line="174" w:lineRule="exact"/>
        <w:rPr>
          <w:sz w:val="20"/>
          <w:szCs w:val="20"/>
          <w:color w:val="auto"/>
        </w:rPr>
      </w:pPr>
    </w:p>
    <w:p>
      <w:pPr>
        <w:jc w:val="both"/>
        <w:ind w:right="2399"/>
        <w:spacing w:after="0" w:line="259" w:lineRule="auto"/>
        <w:rPr>
          <w:sz w:val="20"/>
          <w:szCs w:val="20"/>
          <w:color w:val="auto"/>
        </w:rPr>
      </w:pPr>
      <w:r>
        <w:rPr>
          <w:rFonts w:ascii="Arial" w:cs="Arial" w:eastAsia="Arial" w:hAnsi="Arial"/>
          <w:sz w:val="18"/>
          <w:szCs w:val="18"/>
          <w:color w:val="auto"/>
        </w:rPr>
        <w:t>In 2004, cost of goods and services experienced additional increases due to the costs of the PCS phones sold to new and existing customers. During 2004, the Company added 41,746 gross new PCS subscribers compared to 39,333 in 2003.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31" w:lineRule="exact"/>
        <w:rPr>
          <w:sz w:val="20"/>
          <w:szCs w:val="20"/>
          <w:color w:val="auto"/>
        </w:rPr>
      </w:pPr>
    </w:p>
    <w:p>
      <w:pPr>
        <w:ind w:right="2279"/>
        <w:spacing w:after="0" w:line="268" w:lineRule="auto"/>
        <w:rPr>
          <w:sz w:val="20"/>
          <w:szCs w:val="20"/>
          <w:color w:val="auto"/>
        </w:rPr>
      </w:pPr>
      <w:r>
        <w:rPr>
          <w:rFonts w:ascii="Arial" w:cs="Arial" w:eastAsia="Arial" w:hAnsi="Arial"/>
          <w:sz w:val="18"/>
          <w:szCs w:val="18"/>
          <w:color w:val="auto"/>
        </w:rPr>
        <w:t>Selling, general and administrative costs increased $1.7 million, or 8.0%, compared to 2003, primarily as a result of:</w:t>
      </w:r>
    </w:p>
    <w:p>
      <w:pPr>
        <w:spacing w:after="0" w:line="199" w:lineRule="exact"/>
        <w:rPr>
          <w:sz w:val="20"/>
          <w:szCs w:val="20"/>
          <w:color w:val="auto"/>
        </w:rPr>
      </w:pPr>
    </w:p>
    <w:p>
      <w:pPr>
        <w:ind w:left="820" w:right="2239" w:hanging="438"/>
        <w:spacing w:after="0" w:line="259"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in the amount paid to Sprint Nextel for the administration of the customer base of $1.6 million, due to an increase in the number of PCS customers, somewhat offset by a decrease in the rate charged per subscriber.</w:t>
      </w:r>
    </w:p>
    <w:p>
      <w:pPr>
        <w:spacing w:after="0" w:line="126" w:lineRule="exact"/>
        <w:rPr>
          <w:rFonts w:ascii="Arial" w:cs="Arial" w:eastAsia="Arial" w:hAnsi="Arial"/>
          <w:sz w:val="18"/>
          <w:szCs w:val="18"/>
          <w:color w:val="auto"/>
        </w:rPr>
      </w:pPr>
    </w:p>
    <w:p>
      <w:pPr>
        <w:ind w:left="820" w:hanging="43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commission expense increase of $0.6 million due to increased phone sales.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31" w:lineRule="exact"/>
        <w:rPr>
          <w:sz w:val="20"/>
          <w:szCs w:val="20"/>
          <w:color w:val="auto"/>
        </w:rPr>
      </w:pPr>
    </w:p>
    <w:p>
      <w:pPr>
        <w:ind w:right="2299"/>
        <w:spacing w:after="0" w:line="306" w:lineRule="auto"/>
        <w:rPr>
          <w:sz w:val="20"/>
          <w:szCs w:val="20"/>
          <w:color w:val="auto"/>
        </w:rPr>
      </w:pPr>
      <w:r>
        <w:rPr>
          <w:rFonts w:ascii="Arial" w:cs="Arial" w:eastAsia="Arial" w:hAnsi="Arial"/>
          <w:sz w:val="16"/>
          <w:szCs w:val="16"/>
          <w:color w:val="auto"/>
        </w:rPr>
        <w:t>The PCS operations had depreciation expense of $11.9 million, which represented an increase of $1.7 million, or 16.3%, over 2003. The 18 additional PCS base stations placed in service during 2004 resulted in higher depreciation expense for the year in addition to full year depreciation on assets added during the year in 2003.</w:t>
      </w:r>
    </w:p>
    <w:p>
      <w:pPr>
        <w:spacing w:after="0" w:line="16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90" w:right="1440"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Telephone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760" w:type="dxa"/>
            <w:vAlign w:val="bottom"/>
            <w:gridSpan w:val="2"/>
          </w:tcPr>
          <w:p>
            <w:pPr>
              <w:jc w:val="center"/>
              <w:ind w:right="92"/>
              <w:spacing w:after="0"/>
              <w:rPr>
                <w:sz w:val="20"/>
                <w:szCs w:val="20"/>
                <w:color w:val="auto"/>
              </w:rPr>
            </w:pPr>
            <w:r>
              <w:rPr>
                <w:rFonts w:ascii="Arial" w:cs="Arial" w:eastAsia="Arial" w:hAnsi="Arial"/>
                <w:sz w:val="14"/>
                <w:szCs w:val="14"/>
                <w:b w:val="1"/>
                <w:bCs w:val="1"/>
                <w:color w:val="auto"/>
                <w:w w:val="88"/>
              </w:rPr>
              <w:t>Year Ended</w:t>
            </w: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9"/>
        </w:trPr>
        <w:tc>
          <w:tcPr>
            <w:tcW w:w="4780" w:type="dxa"/>
            <w:vAlign w:val="bottom"/>
          </w:tcPr>
          <w:p>
            <w:pPr>
              <w:spacing w:after="0"/>
              <w:rPr>
                <w:sz w:val="12"/>
                <w:szCs w:val="12"/>
                <w:color w:val="auto"/>
              </w:rPr>
            </w:pPr>
          </w:p>
        </w:tc>
        <w:tc>
          <w:tcPr>
            <w:tcW w:w="1760" w:type="dxa"/>
            <w:vAlign w:val="bottom"/>
            <w:gridSpan w:val="2"/>
          </w:tcPr>
          <w:p>
            <w:pPr>
              <w:jc w:val="center"/>
              <w:ind w:right="92"/>
              <w:spacing w:after="0" w:line="149" w:lineRule="exact"/>
              <w:rPr>
                <w:sz w:val="20"/>
                <w:szCs w:val="20"/>
                <w:color w:val="auto"/>
              </w:rPr>
            </w:pPr>
            <w:r>
              <w:rPr>
                <w:rFonts w:ascii="Arial" w:cs="Arial" w:eastAsia="Arial" w:hAnsi="Arial"/>
                <w:sz w:val="14"/>
                <w:szCs w:val="14"/>
                <w:b w:val="1"/>
                <w:bCs w:val="1"/>
                <w:color w:val="auto"/>
                <w:w w:val="87"/>
              </w:rPr>
              <w:t>December 31,</w:t>
            </w:r>
          </w:p>
        </w:tc>
        <w:tc>
          <w:tcPr>
            <w:tcW w:w="500" w:type="dxa"/>
            <w:vAlign w:val="bottom"/>
          </w:tcPr>
          <w:p>
            <w:pPr>
              <w:spacing w:after="0"/>
              <w:rPr>
                <w:sz w:val="12"/>
                <w:szCs w:val="12"/>
                <w:color w:val="auto"/>
              </w:rPr>
            </w:pPr>
          </w:p>
        </w:tc>
        <w:tc>
          <w:tcPr>
            <w:tcW w:w="1100" w:type="dxa"/>
            <w:vAlign w:val="bottom"/>
          </w:tcPr>
          <w:p>
            <w:pPr>
              <w:jc w:val="right"/>
              <w:ind w:right="532"/>
              <w:spacing w:after="0" w:line="149" w:lineRule="exact"/>
              <w:rPr>
                <w:sz w:val="20"/>
                <w:szCs w:val="20"/>
                <w:color w:val="auto"/>
              </w:rPr>
            </w:pPr>
            <w:r>
              <w:rPr>
                <w:rFonts w:ascii="Arial" w:cs="Arial" w:eastAsia="Arial" w:hAnsi="Arial"/>
                <w:sz w:val="14"/>
                <w:szCs w:val="14"/>
                <w:b w:val="1"/>
                <w:bCs w:val="1"/>
                <w:color w:val="auto"/>
                <w:w w:val="93"/>
              </w:rPr>
              <w:t>Change</w:t>
            </w:r>
          </w:p>
        </w:tc>
      </w:tr>
      <w:tr>
        <w:trPr>
          <w:trHeight w:val="174"/>
        </w:trPr>
        <w:tc>
          <w:tcPr>
            <w:tcW w:w="47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2004</w:t>
            </w:r>
          </w:p>
        </w:tc>
        <w:tc>
          <w:tcPr>
            <w:tcW w:w="960" w:type="dxa"/>
            <w:vAlign w:val="bottom"/>
          </w:tcPr>
          <w:p>
            <w:pPr>
              <w:jc w:val="right"/>
              <w:ind w:right="292"/>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252"/>
              <w:spacing w:after="0"/>
              <w:rPr>
                <w:sz w:val="20"/>
                <w:szCs w:val="20"/>
                <w:color w:val="auto"/>
              </w:rPr>
            </w:pPr>
            <w:r>
              <w:rPr>
                <w:rFonts w:ascii="Arial" w:cs="Arial" w:eastAsia="Arial" w:hAnsi="Arial"/>
                <w:sz w:val="14"/>
                <w:szCs w:val="14"/>
                <w:b w:val="1"/>
                <w:bCs w:val="1"/>
                <w:color w:val="auto"/>
              </w:rPr>
              <w:t>%</w:t>
            </w:r>
          </w:p>
        </w:tc>
      </w:tr>
      <w:tr>
        <w:trPr>
          <w:trHeight w:val="95"/>
        </w:trPr>
        <w:tc>
          <w:tcPr>
            <w:tcW w:w="478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60" w:type="dxa"/>
            <w:vAlign w:val="bottom"/>
            <w:shd w:val="clear" w:color="auto" w:fill="EAF9E8"/>
          </w:tcPr>
          <w:p>
            <w:pPr>
              <w:spacing w:after="0"/>
              <w:rPr>
                <w:sz w:val="20"/>
                <w:szCs w:val="20"/>
                <w:color w:val="auto"/>
              </w:rPr>
            </w:pPr>
            <w:r>
              <w:rPr>
                <w:rFonts w:ascii="Arial" w:cs="Arial" w:eastAsia="Arial" w:hAnsi="Arial"/>
                <w:sz w:val="18"/>
                <w:szCs w:val="18"/>
                <w:color w:val="auto"/>
              </w:rPr>
              <w:t>Segment operating revenues</w:t>
            </w:r>
          </w:p>
        </w:tc>
        <w:tc>
          <w:tcPr>
            <w:tcW w:w="105" w:type="dxa"/>
            <w:vAlign w:val="bottom"/>
            <w:shd w:val="clear" w:color="auto" w:fill="EAF9E8"/>
          </w:tcPr>
          <w:p>
            <w:pPr>
              <w:spacing w:after="0"/>
              <w:rPr>
                <w:sz w:val="18"/>
                <w:szCs w:val="18"/>
                <w:color w:val="auto"/>
              </w:rPr>
            </w:pPr>
          </w:p>
        </w:tc>
        <w:tc>
          <w:tcPr>
            <w:tcW w:w="575"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6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62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40"/>
              <w:spacing w:after="0"/>
              <w:rPr>
                <w:sz w:val="20"/>
                <w:szCs w:val="20"/>
                <w:color w:val="auto"/>
              </w:rPr>
            </w:pPr>
            <w:r>
              <w:rPr>
                <w:rFonts w:ascii="Arial" w:cs="Arial" w:eastAsia="Arial" w:hAnsi="Arial"/>
                <w:sz w:val="18"/>
                <w:szCs w:val="18"/>
                <w:color w:val="auto"/>
              </w:rPr>
              <w:t>Service revenue – wireline</w:t>
            </w:r>
          </w:p>
        </w:tc>
        <w:tc>
          <w:tcPr>
            <w:tcW w:w="105"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75" w:type="dxa"/>
            <w:vAlign w:val="bottom"/>
          </w:tcPr>
          <w:p>
            <w:pPr>
              <w:jc w:val="right"/>
              <w:spacing w:after="0"/>
              <w:rPr>
                <w:sz w:val="20"/>
                <w:szCs w:val="20"/>
                <w:color w:val="auto"/>
              </w:rPr>
            </w:pPr>
            <w:r>
              <w:rPr>
                <w:rFonts w:ascii="Arial" w:cs="Arial" w:eastAsia="Arial" w:hAnsi="Arial"/>
                <w:sz w:val="18"/>
                <w:szCs w:val="18"/>
                <w:color w:val="auto"/>
              </w:rPr>
              <w:t>6,817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6,838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(21)</w:t>
            </w:r>
          </w:p>
        </w:tc>
        <w:tc>
          <w:tcPr>
            <w:tcW w:w="62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Access revenue</w:t>
            </w:r>
          </w:p>
        </w:tc>
        <w:tc>
          <w:tcPr>
            <w:tcW w:w="105" w:type="dxa"/>
            <w:vAlign w:val="bottom"/>
            <w:shd w:val="clear" w:color="auto" w:fill="EAF9E8"/>
          </w:tcPr>
          <w:p>
            <w:pPr>
              <w:spacing w:after="0"/>
              <w:rPr>
                <w:sz w:val="18"/>
                <w:szCs w:val="18"/>
                <w:color w:val="auto"/>
              </w:rPr>
            </w:pPr>
          </w:p>
        </w:tc>
        <w:tc>
          <w:tcPr>
            <w:tcW w:w="5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11,928</w:t>
            </w:r>
          </w:p>
        </w:tc>
        <w:tc>
          <w:tcPr>
            <w:tcW w:w="32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10,450</w:t>
            </w:r>
          </w:p>
        </w:tc>
        <w:tc>
          <w:tcPr>
            <w:tcW w:w="340" w:type="dxa"/>
            <w:vAlign w:val="bottom"/>
            <w:shd w:val="clear" w:color="auto" w:fill="EAF9E8"/>
          </w:tcPr>
          <w:p>
            <w:pPr>
              <w:spacing w:after="0"/>
              <w:rPr>
                <w:sz w:val="18"/>
                <w:szCs w:val="18"/>
                <w:color w:val="auto"/>
              </w:rPr>
            </w:pPr>
          </w:p>
        </w:tc>
        <w:tc>
          <w:tcPr>
            <w:tcW w:w="760" w:type="dxa"/>
            <w:vAlign w:val="bottom"/>
            <w:shd w:val="clear" w:color="auto" w:fill="EAF9E8"/>
          </w:tcPr>
          <w:p>
            <w:pPr>
              <w:jc w:val="right"/>
              <w:ind w:right="172"/>
              <w:spacing w:after="0"/>
              <w:rPr>
                <w:sz w:val="20"/>
                <w:szCs w:val="20"/>
                <w:color w:val="auto"/>
              </w:rPr>
            </w:pPr>
            <w:r>
              <w:rPr>
                <w:rFonts w:ascii="Arial" w:cs="Arial" w:eastAsia="Arial" w:hAnsi="Arial"/>
                <w:sz w:val="18"/>
                <w:szCs w:val="18"/>
                <w:color w:val="auto"/>
              </w:rPr>
              <w:t>1,478</w:t>
            </w:r>
          </w:p>
        </w:tc>
        <w:tc>
          <w:tcPr>
            <w:tcW w:w="62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40"/>
              <w:spacing w:after="0"/>
              <w:rPr>
                <w:sz w:val="20"/>
                <w:szCs w:val="20"/>
                <w:color w:val="auto"/>
              </w:rPr>
            </w:pPr>
            <w:r>
              <w:rPr>
                <w:rFonts w:ascii="Arial" w:cs="Arial" w:eastAsia="Arial" w:hAnsi="Arial"/>
                <w:sz w:val="18"/>
                <w:szCs w:val="18"/>
                <w:color w:val="auto"/>
              </w:rPr>
              <w:t>Facilities and tower lease revenue</w:t>
            </w:r>
          </w:p>
        </w:tc>
        <w:tc>
          <w:tcPr>
            <w:tcW w:w="105" w:type="dxa"/>
            <w:vAlign w:val="bottom"/>
          </w:tcPr>
          <w:p>
            <w:pPr>
              <w:spacing w:after="0"/>
              <w:rPr>
                <w:sz w:val="18"/>
                <w:szCs w:val="18"/>
                <w:color w:val="auto"/>
              </w:rPr>
            </w:pPr>
          </w:p>
        </w:tc>
        <w:tc>
          <w:tcPr>
            <w:tcW w:w="575" w:type="dxa"/>
            <w:vAlign w:val="bottom"/>
          </w:tcPr>
          <w:p>
            <w:pPr>
              <w:jc w:val="right"/>
              <w:spacing w:after="0"/>
              <w:rPr>
                <w:sz w:val="20"/>
                <w:szCs w:val="20"/>
                <w:color w:val="auto"/>
              </w:rPr>
            </w:pPr>
            <w:r>
              <w:rPr>
                <w:rFonts w:ascii="Arial" w:cs="Arial" w:eastAsia="Arial" w:hAnsi="Arial"/>
                <w:sz w:val="18"/>
                <w:szCs w:val="18"/>
                <w:color w:val="auto"/>
              </w:rPr>
              <w:t>5,941</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6,121</w:t>
            </w:r>
          </w:p>
        </w:tc>
        <w:tc>
          <w:tcPr>
            <w:tcW w:w="340" w:type="dxa"/>
            <w:vAlign w:val="bottom"/>
          </w:tcPr>
          <w:p>
            <w:pPr>
              <w:spacing w:after="0"/>
              <w:rPr>
                <w:sz w:val="18"/>
                <w:szCs w:val="18"/>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(180)</w:t>
            </w: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Equipment revenue</w:t>
            </w:r>
          </w:p>
        </w:tc>
        <w:tc>
          <w:tcPr>
            <w:tcW w:w="105" w:type="dxa"/>
            <w:vAlign w:val="bottom"/>
            <w:shd w:val="clear" w:color="auto" w:fill="EAF9E8"/>
          </w:tcPr>
          <w:p>
            <w:pPr>
              <w:spacing w:after="0"/>
              <w:rPr>
                <w:sz w:val="18"/>
                <w:szCs w:val="18"/>
                <w:color w:val="auto"/>
              </w:rPr>
            </w:pPr>
          </w:p>
        </w:tc>
        <w:tc>
          <w:tcPr>
            <w:tcW w:w="5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w:t>
            </w:r>
          </w:p>
        </w:tc>
        <w:tc>
          <w:tcPr>
            <w:tcW w:w="32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w:t>
            </w:r>
          </w:p>
        </w:tc>
        <w:tc>
          <w:tcPr>
            <w:tcW w:w="340" w:type="dxa"/>
            <w:vAlign w:val="bottom"/>
            <w:shd w:val="clear" w:color="auto" w:fill="EAF9E8"/>
          </w:tcPr>
          <w:p>
            <w:pPr>
              <w:spacing w:after="0"/>
              <w:rPr>
                <w:sz w:val="18"/>
                <w:szCs w:val="18"/>
                <w:color w:val="auto"/>
              </w:rPr>
            </w:pPr>
          </w:p>
        </w:tc>
        <w:tc>
          <w:tcPr>
            <w:tcW w:w="760" w:type="dxa"/>
            <w:vAlign w:val="bottom"/>
            <w:shd w:val="clear" w:color="auto" w:fill="EAF9E8"/>
          </w:tcPr>
          <w:p>
            <w:pPr>
              <w:jc w:val="right"/>
              <w:ind w:right="112"/>
              <w:spacing w:after="0"/>
              <w:rPr>
                <w:sz w:val="20"/>
                <w:szCs w:val="20"/>
                <w:color w:val="auto"/>
              </w:rPr>
            </w:pPr>
            <w:r>
              <w:rPr>
                <w:rFonts w:ascii="Arial" w:cs="Arial" w:eastAsia="Arial" w:hAnsi="Arial"/>
                <w:sz w:val="18"/>
                <w:szCs w:val="18"/>
                <w:color w:val="auto"/>
              </w:rPr>
              <w:t>(13)</w:t>
            </w: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ind w:left="140"/>
              <w:spacing w:after="0"/>
              <w:rPr>
                <w:sz w:val="20"/>
                <w:szCs w:val="20"/>
                <w:color w:val="auto"/>
              </w:rPr>
            </w:pPr>
            <w:r>
              <w:rPr>
                <w:rFonts w:ascii="Arial" w:cs="Arial" w:eastAsia="Arial" w:hAnsi="Arial"/>
                <w:sz w:val="18"/>
                <w:szCs w:val="18"/>
                <w:color w:val="auto"/>
              </w:rPr>
              <w:t>Other revenue</w:t>
            </w:r>
          </w:p>
        </w:tc>
        <w:tc>
          <w:tcPr>
            <w:tcW w:w="105" w:type="dxa"/>
            <w:vAlign w:val="bottom"/>
          </w:tcPr>
          <w:p>
            <w:pPr>
              <w:spacing w:after="0"/>
              <w:rPr>
                <w:sz w:val="19"/>
                <w:szCs w:val="19"/>
                <w:color w:val="auto"/>
              </w:rPr>
            </w:pPr>
          </w:p>
        </w:tc>
        <w:tc>
          <w:tcPr>
            <w:tcW w:w="575" w:type="dxa"/>
            <w:vAlign w:val="bottom"/>
          </w:tcPr>
          <w:p>
            <w:pPr>
              <w:jc w:val="right"/>
              <w:spacing w:after="0"/>
              <w:rPr>
                <w:sz w:val="20"/>
                <w:szCs w:val="20"/>
                <w:color w:val="auto"/>
              </w:rPr>
            </w:pPr>
            <w:r>
              <w:rPr>
                <w:rFonts w:ascii="Arial" w:cs="Arial" w:eastAsia="Arial" w:hAnsi="Arial"/>
                <w:sz w:val="18"/>
                <w:szCs w:val="18"/>
                <w:color w:val="auto"/>
              </w:rPr>
              <w:t>2,663</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2,343</w:t>
            </w:r>
          </w:p>
        </w:tc>
        <w:tc>
          <w:tcPr>
            <w:tcW w:w="340" w:type="dxa"/>
            <w:vAlign w:val="bottom"/>
          </w:tcPr>
          <w:p>
            <w:pPr>
              <w:spacing w:after="0"/>
              <w:rPr>
                <w:sz w:val="19"/>
                <w:szCs w:val="19"/>
                <w:color w:val="auto"/>
              </w:rPr>
            </w:pPr>
          </w:p>
        </w:tc>
        <w:tc>
          <w:tcPr>
            <w:tcW w:w="760" w:type="dxa"/>
            <w:vAlign w:val="bottom"/>
          </w:tcPr>
          <w:p>
            <w:pPr>
              <w:jc w:val="right"/>
              <w:ind w:right="172"/>
              <w:spacing w:after="0"/>
              <w:rPr>
                <w:sz w:val="20"/>
                <w:szCs w:val="20"/>
                <w:color w:val="auto"/>
              </w:rPr>
            </w:pPr>
            <w:r>
              <w:rPr>
                <w:rFonts w:ascii="Arial" w:cs="Arial" w:eastAsia="Arial" w:hAnsi="Arial"/>
                <w:sz w:val="18"/>
                <w:szCs w:val="18"/>
                <w:color w:val="auto"/>
              </w:rPr>
              <w:t>320</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5" w:type="dxa"/>
            <w:vAlign w:val="bottom"/>
            <w:tcBorders>
              <w:bottom w:val="single" w:sz="8" w:color="808080"/>
            </w:tcBorders>
          </w:tcPr>
          <w:p>
            <w:pPr>
              <w:spacing w:after="0"/>
              <w:rPr>
                <w:sz w:val="8"/>
                <w:szCs w:val="8"/>
                <w:color w:val="auto"/>
              </w:rPr>
            </w:pPr>
          </w:p>
        </w:tc>
        <w:tc>
          <w:tcPr>
            <w:tcW w:w="575"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5" w:type="dxa"/>
            <w:vAlign w:val="bottom"/>
          </w:tcPr>
          <w:p>
            <w:pPr>
              <w:spacing w:after="0"/>
              <w:rPr>
                <w:sz w:val="8"/>
                <w:szCs w:val="8"/>
                <w:color w:val="auto"/>
              </w:rPr>
            </w:pPr>
          </w:p>
        </w:tc>
        <w:tc>
          <w:tcPr>
            <w:tcW w:w="575"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AF9E8"/>
          </w:tcPr>
          <w:p>
            <w:pPr>
              <w:ind w:left="300"/>
              <w:spacing w:after="0"/>
              <w:rPr>
                <w:sz w:val="20"/>
                <w:szCs w:val="20"/>
                <w:color w:val="auto"/>
              </w:rPr>
            </w:pPr>
            <w:r>
              <w:rPr>
                <w:rFonts w:ascii="Arial" w:cs="Arial" w:eastAsia="Arial" w:hAnsi="Arial"/>
                <w:sz w:val="18"/>
                <w:szCs w:val="18"/>
                <w:color w:val="auto"/>
              </w:rPr>
              <w:t>Total segment operating revenues</w:t>
            </w:r>
          </w:p>
        </w:tc>
        <w:tc>
          <w:tcPr>
            <w:tcW w:w="105" w:type="dxa"/>
            <w:vAlign w:val="bottom"/>
            <w:shd w:val="clear" w:color="auto" w:fill="EAF9E8"/>
          </w:tcPr>
          <w:p>
            <w:pPr>
              <w:spacing w:after="0"/>
              <w:rPr>
                <w:sz w:val="18"/>
                <w:szCs w:val="18"/>
                <w:color w:val="auto"/>
              </w:rPr>
            </w:pPr>
          </w:p>
        </w:tc>
        <w:tc>
          <w:tcPr>
            <w:tcW w:w="5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27,375</w:t>
            </w:r>
          </w:p>
        </w:tc>
        <w:tc>
          <w:tcPr>
            <w:tcW w:w="32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25,791</w:t>
            </w:r>
          </w:p>
        </w:tc>
        <w:tc>
          <w:tcPr>
            <w:tcW w:w="340" w:type="dxa"/>
            <w:vAlign w:val="bottom"/>
            <w:shd w:val="clear" w:color="auto" w:fill="EAF9E8"/>
          </w:tcPr>
          <w:p>
            <w:pPr>
              <w:spacing w:after="0"/>
              <w:rPr>
                <w:sz w:val="18"/>
                <w:szCs w:val="18"/>
                <w:color w:val="auto"/>
              </w:rPr>
            </w:pPr>
          </w:p>
        </w:tc>
        <w:tc>
          <w:tcPr>
            <w:tcW w:w="760" w:type="dxa"/>
            <w:vAlign w:val="bottom"/>
            <w:shd w:val="clear" w:color="auto" w:fill="EAF9E8"/>
          </w:tcPr>
          <w:p>
            <w:pPr>
              <w:jc w:val="right"/>
              <w:ind w:right="172"/>
              <w:spacing w:after="0"/>
              <w:rPr>
                <w:sz w:val="20"/>
                <w:szCs w:val="20"/>
                <w:color w:val="auto"/>
              </w:rPr>
            </w:pPr>
            <w:r>
              <w:rPr>
                <w:rFonts w:ascii="Arial" w:cs="Arial" w:eastAsia="Arial" w:hAnsi="Arial"/>
                <w:sz w:val="18"/>
                <w:szCs w:val="18"/>
                <w:color w:val="auto"/>
              </w:rPr>
              <w:t>1,584</w:t>
            </w:r>
          </w:p>
        </w:tc>
        <w:tc>
          <w:tcPr>
            <w:tcW w:w="62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Segment operating expenses</w:t>
            </w:r>
          </w:p>
        </w:tc>
        <w:tc>
          <w:tcPr>
            <w:tcW w:w="105" w:type="dxa"/>
            <w:vAlign w:val="bottom"/>
            <w:tcBorders>
              <w:bottom w:val="single" w:sz="8" w:color="808080"/>
            </w:tcBorders>
          </w:tcPr>
          <w:p>
            <w:pPr>
              <w:spacing w:after="0"/>
              <w:rPr>
                <w:sz w:val="9"/>
                <w:szCs w:val="9"/>
                <w:color w:val="auto"/>
              </w:rPr>
            </w:pPr>
          </w:p>
        </w:tc>
        <w:tc>
          <w:tcPr>
            <w:tcW w:w="575"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4780" w:type="dxa"/>
            <w:vAlign w:val="bottom"/>
            <w:gridSpan w:val="2"/>
            <w:vMerge w:val="continue"/>
          </w:tcPr>
          <w:p>
            <w:pPr>
              <w:spacing w:after="0"/>
              <w:rPr>
                <w:sz w:val="24"/>
                <w:szCs w:val="24"/>
                <w:color w:val="auto"/>
              </w:rPr>
            </w:pPr>
          </w:p>
        </w:tc>
        <w:tc>
          <w:tcPr>
            <w:tcW w:w="105" w:type="dxa"/>
            <w:vAlign w:val="bottom"/>
          </w:tcPr>
          <w:p>
            <w:pPr>
              <w:spacing w:after="0"/>
              <w:rPr>
                <w:sz w:val="24"/>
                <w:szCs w:val="24"/>
                <w:color w:val="auto"/>
              </w:rPr>
            </w:pPr>
          </w:p>
        </w:tc>
        <w:tc>
          <w:tcPr>
            <w:tcW w:w="575"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Cost of goods and services, exclusive of depreciation and</w:t>
            </w:r>
          </w:p>
        </w:tc>
        <w:tc>
          <w:tcPr>
            <w:tcW w:w="105" w:type="dxa"/>
            <w:vAlign w:val="bottom"/>
            <w:shd w:val="clear" w:color="auto" w:fill="EAF9E8"/>
          </w:tcPr>
          <w:p>
            <w:pPr>
              <w:spacing w:after="0"/>
              <w:rPr>
                <w:sz w:val="18"/>
                <w:szCs w:val="18"/>
                <w:color w:val="auto"/>
              </w:rPr>
            </w:pPr>
          </w:p>
        </w:tc>
        <w:tc>
          <w:tcPr>
            <w:tcW w:w="575"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6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62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shd w:val="clear" w:color="auto" w:fill="EAF9E8"/>
          </w:tcPr>
          <w:p>
            <w:pPr>
              <w:ind w:left="300"/>
              <w:spacing w:after="0"/>
              <w:rPr>
                <w:sz w:val="20"/>
                <w:szCs w:val="20"/>
                <w:color w:val="auto"/>
              </w:rPr>
            </w:pPr>
            <w:r>
              <w:rPr>
                <w:rFonts w:ascii="Arial" w:cs="Arial" w:eastAsia="Arial" w:hAnsi="Arial"/>
                <w:sz w:val="18"/>
                <w:szCs w:val="18"/>
                <w:color w:val="auto"/>
              </w:rPr>
              <w:t>amortization shown separately below</w:t>
            </w:r>
          </w:p>
        </w:tc>
        <w:tc>
          <w:tcPr>
            <w:tcW w:w="105" w:type="dxa"/>
            <w:vAlign w:val="bottom"/>
            <w:shd w:val="clear" w:color="auto" w:fill="EAF9E8"/>
          </w:tcPr>
          <w:p>
            <w:pPr>
              <w:spacing w:after="0"/>
              <w:rPr>
                <w:sz w:val="19"/>
                <w:szCs w:val="19"/>
                <w:color w:val="auto"/>
              </w:rPr>
            </w:pPr>
          </w:p>
        </w:tc>
        <w:tc>
          <w:tcPr>
            <w:tcW w:w="5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4,098</w:t>
            </w:r>
          </w:p>
        </w:tc>
        <w:tc>
          <w:tcPr>
            <w:tcW w:w="320" w:type="dxa"/>
            <w:vAlign w:val="bottom"/>
            <w:shd w:val="clear" w:color="auto" w:fill="EAF9E8"/>
          </w:tcPr>
          <w:p>
            <w:pPr>
              <w:spacing w:after="0"/>
              <w:rPr>
                <w:sz w:val="19"/>
                <w:szCs w:val="19"/>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3,286</w:t>
            </w:r>
          </w:p>
        </w:tc>
        <w:tc>
          <w:tcPr>
            <w:tcW w:w="340" w:type="dxa"/>
            <w:vAlign w:val="bottom"/>
            <w:shd w:val="clear" w:color="auto" w:fill="EAF9E8"/>
          </w:tcPr>
          <w:p>
            <w:pPr>
              <w:spacing w:after="0"/>
              <w:rPr>
                <w:sz w:val="19"/>
                <w:szCs w:val="19"/>
                <w:color w:val="auto"/>
              </w:rPr>
            </w:pPr>
          </w:p>
        </w:tc>
        <w:tc>
          <w:tcPr>
            <w:tcW w:w="760" w:type="dxa"/>
            <w:vAlign w:val="bottom"/>
            <w:shd w:val="clear" w:color="auto" w:fill="EAF9E8"/>
          </w:tcPr>
          <w:p>
            <w:pPr>
              <w:jc w:val="right"/>
              <w:ind w:right="172"/>
              <w:spacing w:after="0"/>
              <w:rPr>
                <w:sz w:val="20"/>
                <w:szCs w:val="20"/>
                <w:color w:val="auto"/>
              </w:rPr>
            </w:pPr>
            <w:r>
              <w:rPr>
                <w:rFonts w:ascii="Arial" w:cs="Arial" w:eastAsia="Arial" w:hAnsi="Arial"/>
                <w:sz w:val="18"/>
                <w:szCs w:val="18"/>
                <w:color w:val="auto"/>
              </w:rPr>
              <w:t>812</w:t>
            </w:r>
          </w:p>
        </w:tc>
        <w:tc>
          <w:tcPr>
            <w:tcW w:w="62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tcPr>
          <w:p>
            <w:pPr>
              <w:ind w:left="140"/>
              <w:spacing w:after="0"/>
              <w:rPr>
                <w:sz w:val="20"/>
                <w:szCs w:val="20"/>
                <w:color w:val="auto"/>
              </w:rPr>
            </w:pPr>
            <w:r>
              <w:rPr>
                <w:rFonts w:ascii="Arial" w:cs="Arial" w:eastAsia="Arial" w:hAnsi="Arial"/>
                <w:sz w:val="18"/>
                <w:szCs w:val="18"/>
                <w:color w:val="auto"/>
                <w:w w:val="95"/>
              </w:rPr>
              <w:t>Selling, general and administrative, exclusive of depreciation</w:t>
            </w:r>
          </w:p>
        </w:tc>
        <w:tc>
          <w:tcPr>
            <w:tcW w:w="105" w:type="dxa"/>
            <w:vAlign w:val="bottom"/>
          </w:tcPr>
          <w:p>
            <w:pPr>
              <w:spacing w:after="0"/>
              <w:rPr>
                <w:sz w:val="18"/>
                <w:szCs w:val="18"/>
                <w:color w:val="auto"/>
              </w:rPr>
            </w:pPr>
          </w:p>
        </w:tc>
        <w:tc>
          <w:tcPr>
            <w:tcW w:w="575"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ind w:left="300"/>
              <w:spacing w:after="0"/>
              <w:rPr>
                <w:sz w:val="20"/>
                <w:szCs w:val="20"/>
                <w:color w:val="auto"/>
              </w:rPr>
            </w:pPr>
            <w:r>
              <w:rPr>
                <w:rFonts w:ascii="Arial" w:cs="Arial" w:eastAsia="Arial" w:hAnsi="Arial"/>
                <w:sz w:val="18"/>
                <w:szCs w:val="18"/>
                <w:color w:val="auto"/>
              </w:rPr>
              <w:t>and amortization shown separately below</w:t>
            </w:r>
          </w:p>
        </w:tc>
        <w:tc>
          <w:tcPr>
            <w:tcW w:w="105" w:type="dxa"/>
            <w:vAlign w:val="bottom"/>
          </w:tcPr>
          <w:p>
            <w:pPr>
              <w:spacing w:after="0"/>
              <w:rPr>
                <w:sz w:val="19"/>
                <w:szCs w:val="19"/>
                <w:color w:val="auto"/>
              </w:rPr>
            </w:pPr>
          </w:p>
        </w:tc>
        <w:tc>
          <w:tcPr>
            <w:tcW w:w="575" w:type="dxa"/>
            <w:vAlign w:val="bottom"/>
          </w:tcPr>
          <w:p>
            <w:pPr>
              <w:jc w:val="right"/>
              <w:spacing w:after="0"/>
              <w:rPr>
                <w:sz w:val="20"/>
                <w:szCs w:val="20"/>
                <w:color w:val="auto"/>
              </w:rPr>
            </w:pPr>
            <w:r>
              <w:rPr>
                <w:rFonts w:ascii="Arial" w:cs="Arial" w:eastAsia="Arial" w:hAnsi="Arial"/>
                <w:sz w:val="18"/>
                <w:szCs w:val="18"/>
                <w:color w:val="auto"/>
              </w:rPr>
              <w:t>8,129</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6,544</w:t>
            </w:r>
          </w:p>
        </w:tc>
        <w:tc>
          <w:tcPr>
            <w:tcW w:w="340" w:type="dxa"/>
            <w:vAlign w:val="bottom"/>
          </w:tcPr>
          <w:p>
            <w:pPr>
              <w:spacing w:after="0"/>
              <w:rPr>
                <w:sz w:val="19"/>
                <w:szCs w:val="19"/>
                <w:color w:val="auto"/>
              </w:rPr>
            </w:pPr>
          </w:p>
        </w:tc>
        <w:tc>
          <w:tcPr>
            <w:tcW w:w="760" w:type="dxa"/>
            <w:vAlign w:val="bottom"/>
          </w:tcPr>
          <w:p>
            <w:pPr>
              <w:jc w:val="right"/>
              <w:ind w:right="172"/>
              <w:spacing w:after="0"/>
              <w:rPr>
                <w:sz w:val="20"/>
                <w:szCs w:val="20"/>
                <w:color w:val="auto"/>
              </w:rPr>
            </w:pPr>
            <w:r>
              <w:rPr>
                <w:rFonts w:ascii="Arial" w:cs="Arial" w:eastAsia="Arial" w:hAnsi="Arial"/>
                <w:sz w:val="18"/>
                <w:szCs w:val="18"/>
                <w:color w:val="auto"/>
              </w:rPr>
              <w:t>1,585</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Depreciation and amortization</w:t>
            </w:r>
          </w:p>
        </w:tc>
        <w:tc>
          <w:tcPr>
            <w:tcW w:w="105" w:type="dxa"/>
            <w:vAlign w:val="bottom"/>
            <w:shd w:val="clear" w:color="auto" w:fill="EAF9E8"/>
          </w:tcPr>
          <w:p>
            <w:pPr>
              <w:spacing w:after="0"/>
              <w:rPr>
                <w:sz w:val="18"/>
                <w:szCs w:val="18"/>
                <w:color w:val="auto"/>
              </w:rPr>
            </w:pPr>
          </w:p>
        </w:tc>
        <w:tc>
          <w:tcPr>
            <w:tcW w:w="5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4,633</w:t>
            </w:r>
          </w:p>
        </w:tc>
        <w:tc>
          <w:tcPr>
            <w:tcW w:w="32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4,279</w:t>
            </w:r>
          </w:p>
        </w:tc>
        <w:tc>
          <w:tcPr>
            <w:tcW w:w="340" w:type="dxa"/>
            <w:vAlign w:val="bottom"/>
            <w:shd w:val="clear" w:color="auto" w:fill="EAF9E8"/>
          </w:tcPr>
          <w:p>
            <w:pPr>
              <w:spacing w:after="0"/>
              <w:rPr>
                <w:sz w:val="18"/>
                <w:szCs w:val="18"/>
                <w:color w:val="auto"/>
              </w:rPr>
            </w:pPr>
          </w:p>
        </w:tc>
        <w:tc>
          <w:tcPr>
            <w:tcW w:w="760" w:type="dxa"/>
            <w:vAlign w:val="bottom"/>
            <w:shd w:val="clear" w:color="auto" w:fill="EAF9E8"/>
          </w:tcPr>
          <w:p>
            <w:pPr>
              <w:jc w:val="right"/>
              <w:ind w:right="172"/>
              <w:spacing w:after="0"/>
              <w:rPr>
                <w:sz w:val="20"/>
                <w:szCs w:val="20"/>
                <w:color w:val="auto"/>
              </w:rPr>
            </w:pPr>
            <w:r>
              <w:rPr>
                <w:rFonts w:ascii="Arial" w:cs="Arial" w:eastAsia="Arial" w:hAnsi="Arial"/>
                <w:sz w:val="18"/>
                <w:szCs w:val="18"/>
                <w:color w:val="auto"/>
              </w:rPr>
              <w:t>354</w:t>
            </w:r>
          </w:p>
        </w:tc>
        <w:tc>
          <w:tcPr>
            <w:tcW w:w="62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05" w:type="dxa"/>
            <w:vAlign w:val="bottom"/>
            <w:tcBorders>
              <w:bottom w:val="single" w:sz="8" w:color="808080"/>
            </w:tcBorders>
          </w:tcPr>
          <w:p>
            <w:pPr>
              <w:spacing w:after="0"/>
              <w:rPr>
                <w:sz w:val="9"/>
                <w:szCs w:val="9"/>
                <w:color w:val="auto"/>
              </w:rPr>
            </w:pPr>
          </w:p>
        </w:tc>
        <w:tc>
          <w:tcPr>
            <w:tcW w:w="575"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760" w:type="dxa"/>
            <w:vAlign w:val="bottom"/>
          </w:tcPr>
          <w:p>
            <w:pPr>
              <w:ind w:left="300"/>
              <w:spacing w:after="0"/>
              <w:rPr>
                <w:sz w:val="20"/>
                <w:szCs w:val="20"/>
                <w:color w:val="auto"/>
              </w:rPr>
            </w:pPr>
            <w:r>
              <w:rPr>
                <w:rFonts w:ascii="Arial" w:cs="Arial" w:eastAsia="Arial" w:hAnsi="Arial"/>
                <w:sz w:val="18"/>
                <w:szCs w:val="18"/>
                <w:color w:val="auto"/>
              </w:rPr>
              <w:t>Total segment operating expenses</w:t>
            </w:r>
          </w:p>
        </w:tc>
        <w:tc>
          <w:tcPr>
            <w:tcW w:w="105" w:type="dxa"/>
            <w:vAlign w:val="bottom"/>
          </w:tcPr>
          <w:p>
            <w:pPr>
              <w:spacing w:after="0"/>
              <w:rPr>
                <w:sz w:val="24"/>
                <w:szCs w:val="24"/>
                <w:color w:val="auto"/>
              </w:rPr>
            </w:pPr>
          </w:p>
        </w:tc>
        <w:tc>
          <w:tcPr>
            <w:tcW w:w="575" w:type="dxa"/>
            <w:vAlign w:val="bottom"/>
          </w:tcPr>
          <w:p>
            <w:pPr>
              <w:jc w:val="right"/>
              <w:spacing w:after="0"/>
              <w:rPr>
                <w:sz w:val="20"/>
                <w:szCs w:val="20"/>
                <w:color w:val="auto"/>
              </w:rPr>
            </w:pPr>
            <w:r>
              <w:rPr>
                <w:rFonts w:ascii="Arial" w:cs="Arial" w:eastAsia="Arial" w:hAnsi="Arial"/>
                <w:sz w:val="18"/>
                <w:szCs w:val="18"/>
                <w:color w:val="auto"/>
              </w:rPr>
              <w:t>16,860</w:t>
            </w: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14,109</w:t>
            </w:r>
          </w:p>
        </w:tc>
        <w:tc>
          <w:tcPr>
            <w:tcW w:w="340" w:type="dxa"/>
            <w:vAlign w:val="bottom"/>
          </w:tcPr>
          <w:p>
            <w:pPr>
              <w:spacing w:after="0"/>
              <w:rPr>
                <w:sz w:val="24"/>
                <w:szCs w:val="24"/>
                <w:color w:val="auto"/>
              </w:rPr>
            </w:pPr>
          </w:p>
        </w:tc>
        <w:tc>
          <w:tcPr>
            <w:tcW w:w="760" w:type="dxa"/>
            <w:vAlign w:val="bottom"/>
          </w:tcPr>
          <w:p>
            <w:pPr>
              <w:jc w:val="right"/>
              <w:ind w:right="172"/>
              <w:spacing w:after="0"/>
              <w:rPr>
                <w:sz w:val="20"/>
                <w:szCs w:val="20"/>
                <w:color w:val="auto"/>
              </w:rPr>
            </w:pPr>
            <w:r>
              <w:rPr>
                <w:rFonts w:ascii="Arial" w:cs="Arial" w:eastAsia="Arial" w:hAnsi="Arial"/>
                <w:sz w:val="18"/>
                <w:szCs w:val="18"/>
                <w:color w:val="auto"/>
              </w:rPr>
              <w:t>2,751</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780" w:type="dxa"/>
            <w:vAlign w:val="bottom"/>
            <w:gridSpan w:val="2"/>
          </w:tcPr>
          <w:p>
            <w:pPr>
              <w:spacing w:after="0"/>
              <w:rPr>
                <w:sz w:val="9"/>
                <w:szCs w:val="9"/>
                <w:color w:val="auto"/>
              </w:rPr>
            </w:pPr>
          </w:p>
        </w:tc>
        <w:tc>
          <w:tcPr>
            <w:tcW w:w="105" w:type="dxa"/>
            <w:vAlign w:val="bottom"/>
            <w:tcBorders>
              <w:bottom w:val="single" w:sz="8" w:color="808080"/>
            </w:tcBorders>
          </w:tcPr>
          <w:p>
            <w:pPr>
              <w:spacing w:after="0"/>
              <w:rPr>
                <w:sz w:val="9"/>
                <w:szCs w:val="9"/>
                <w:color w:val="auto"/>
              </w:rPr>
            </w:pPr>
          </w:p>
        </w:tc>
        <w:tc>
          <w:tcPr>
            <w:tcW w:w="575"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105" w:type="dxa"/>
            <w:vAlign w:val="bottom"/>
          </w:tcPr>
          <w:p>
            <w:pPr>
              <w:spacing w:after="0"/>
              <w:rPr>
                <w:sz w:val="8"/>
                <w:szCs w:val="8"/>
                <w:color w:val="auto"/>
              </w:rPr>
            </w:pPr>
          </w:p>
        </w:tc>
        <w:tc>
          <w:tcPr>
            <w:tcW w:w="575"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EAF9E8"/>
          </w:tcPr>
          <w:p>
            <w:pPr>
              <w:spacing w:after="0"/>
              <w:rPr>
                <w:sz w:val="20"/>
                <w:szCs w:val="20"/>
                <w:color w:val="auto"/>
              </w:rPr>
            </w:pPr>
            <w:r>
              <w:rPr>
                <w:rFonts w:ascii="Arial" w:cs="Arial" w:eastAsia="Arial" w:hAnsi="Arial"/>
                <w:sz w:val="18"/>
                <w:szCs w:val="18"/>
                <w:color w:val="auto"/>
              </w:rPr>
              <w:t>Segment operating income</w:t>
            </w:r>
          </w:p>
        </w:tc>
        <w:tc>
          <w:tcPr>
            <w:tcW w:w="105"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575"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10,515</w:t>
            </w:r>
          </w:p>
        </w:tc>
        <w:tc>
          <w:tcPr>
            <w:tcW w:w="3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11,682</w:t>
            </w:r>
          </w:p>
        </w:tc>
        <w:tc>
          <w:tcPr>
            <w:tcW w:w="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AF9E8"/>
          </w:tcPr>
          <w:p>
            <w:pPr>
              <w:jc w:val="right"/>
              <w:ind w:right="112"/>
              <w:spacing w:after="0"/>
              <w:rPr>
                <w:sz w:val="20"/>
                <w:szCs w:val="20"/>
                <w:color w:val="auto"/>
              </w:rPr>
            </w:pPr>
            <w:r>
              <w:rPr>
                <w:rFonts w:ascii="Arial" w:cs="Arial" w:eastAsia="Arial" w:hAnsi="Arial"/>
                <w:sz w:val="18"/>
                <w:szCs w:val="18"/>
                <w:color w:val="auto"/>
                <w:w w:val="94"/>
              </w:rPr>
              <w:t>(1,167)</w:t>
            </w: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05" w:type="dxa"/>
            <w:vAlign w:val="bottom"/>
            <w:tcBorders>
              <w:bottom w:val="single" w:sz="8" w:color="808080"/>
            </w:tcBorders>
          </w:tcPr>
          <w:p>
            <w:pPr>
              <w:spacing w:after="0"/>
              <w:rPr>
                <w:sz w:val="10"/>
                <w:szCs w:val="10"/>
                <w:color w:val="auto"/>
              </w:rPr>
            </w:pPr>
          </w:p>
        </w:tc>
        <w:tc>
          <w:tcPr>
            <w:tcW w:w="575"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-14605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-14605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119"/>
        <w:spacing w:after="0" w:line="323" w:lineRule="auto"/>
        <w:rPr>
          <w:sz w:val="20"/>
          <w:szCs w:val="20"/>
          <w:color w:val="auto"/>
        </w:rPr>
      </w:pPr>
      <w:r>
        <w:rPr>
          <w:rFonts w:ascii="Arial" w:cs="Arial" w:eastAsia="Arial" w:hAnsi="Arial"/>
          <w:sz w:val="15"/>
          <w:szCs w:val="15"/>
          <w:color w:val="auto"/>
        </w:rPr>
        <w:t>During 2004, the Company’s telephone access line count declined by 186 access lines. The decline was due to the migration to wireless and DSL services which has been, to some extent, offset by the increased customer base from the construction of new homes within Shenandoah County. The telephone segment’s results were not affected by the restatement discussed in Note 2 to the consolidated financial statements appearing elsewhere in this report.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31" w:lineRule="exact"/>
        <w:rPr>
          <w:sz w:val="20"/>
          <w:szCs w:val="20"/>
          <w:color w:val="auto"/>
        </w:rPr>
      </w:pPr>
    </w:p>
    <w:p>
      <w:pPr>
        <w:ind w:right="2319"/>
        <w:spacing w:after="0" w:line="268" w:lineRule="auto"/>
        <w:rPr>
          <w:sz w:val="20"/>
          <w:szCs w:val="20"/>
          <w:color w:val="auto"/>
        </w:rPr>
      </w:pPr>
      <w:r>
        <w:rPr>
          <w:rFonts w:ascii="Arial" w:cs="Arial" w:eastAsia="Arial" w:hAnsi="Arial"/>
          <w:sz w:val="18"/>
          <w:szCs w:val="18"/>
          <w:color w:val="auto"/>
        </w:rPr>
        <w:t>Access revenue increased $1.5 million or 14.2% to $11.9 million. The originating minutes increased 9.1% while the terminating minutes increased by 28.3% compared to 2003 traffic.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Directory revenue, included in “other revenues,” increased by $0.4 million, or 23.9%, to $1.8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and services</w:t>
      </w:r>
    </w:p>
    <w:p>
      <w:pPr>
        <w:spacing w:after="0" w:line="231" w:lineRule="exact"/>
        <w:rPr>
          <w:sz w:val="20"/>
          <w:szCs w:val="20"/>
          <w:color w:val="auto"/>
        </w:rPr>
      </w:pPr>
    </w:p>
    <w:p>
      <w:pPr>
        <w:ind w:right="2419"/>
        <w:spacing w:after="0" w:line="268" w:lineRule="auto"/>
        <w:rPr>
          <w:sz w:val="20"/>
          <w:szCs w:val="20"/>
          <w:color w:val="auto"/>
        </w:rPr>
      </w:pPr>
      <w:r>
        <w:rPr>
          <w:rFonts w:ascii="Arial" w:cs="Arial" w:eastAsia="Arial" w:hAnsi="Arial"/>
          <w:sz w:val="18"/>
          <w:szCs w:val="18"/>
          <w:color w:val="auto"/>
        </w:rPr>
        <w:t>The segment’s cost of goods increased due to a $0.4 million increase in directory expenses, and $0.3 million in maintenance and supplies and $0.1 million in access fees paid to other providers.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31" w:lineRule="exact"/>
        <w:rPr>
          <w:sz w:val="20"/>
          <w:szCs w:val="20"/>
          <w:color w:val="auto"/>
        </w:rPr>
      </w:pPr>
    </w:p>
    <w:p>
      <w:pPr>
        <w:jc w:val="both"/>
        <w:ind w:right="2279"/>
        <w:spacing w:after="0" w:line="259" w:lineRule="auto"/>
        <w:rPr>
          <w:sz w:val="20"/>
          <w:szCs w:val="20"/>
          <w:color w:val="auto"/>
        </w:rPr>
      </w:pPr>
      <w:r>
        <w:rPr>
          <w:rFonts w:ascii="Arial" w:cs="Arial" w:eastAsia="Arial" w:hAnsi="Arial"/>
          <w:sz w:val="18"/>
          <w:szCs w:val="18"/>
          <w:color w:val="auto"/>
        </w:rPr>
        <w:t>Selling, general and administrative expense increased in 2004 by $1.6 million, or 24.2%, primarily due to a $0.8 million increase in employee salaries and benefits, a $0.4 million increase in pension expense. and a $0.4 million increase in other expenses.</w:t>
      </w:r>
    </w:p>
    <w:p>
      <w:pPr>
        <w:spacing w:after="0" w:line="19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Converged Services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830" w:type="dxa"/>
            <w:vAlign w:val="bottom"/>
            <w:gridSpan w:val="2"/>
          </w:tcPr>
          <w:p>
            <w:pPr>
              <w:jc w:val="center"/>
              <w:ind w:left="27"/>
              <w:spacing w:after="0"/>
              <w:rPr>
                <w:sz w:val="20"/>
                <w:szCs w:val="20"/>
                <w:color w:val="auto"/>
              </w:rPr>
            </w:pPr>
            <w:r>
              <w:rPr>
                <w:rFonts w:ascii="Arial" w:cs="Arial" w:eastAsia="Arial" w:hAnsi="Arial"/>
                <w:sz w:val="14"/>
                <w:szCs w:val="14"/>
                <w:b w:val="1"/>
                <w:bCs w:val="1"/>
                <w:color w:val="auto"/>
                <w:w w:val="88"/>
              </w:rPr>
              <w:t>Year Ended</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050" w:type="dxa"/>
            <w:vAlign w:val="bottom"/>
            <w:gridSpan w:val="3"/>
          </w:tcPr>
          <w:p>
            <w:pPr>
              <w:jc w:val="center"/>
              <w:ind w:right="4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900" w:type="dxa"/>
            <w:vAlign w:val="bottom"/>
            <w:gridSpan w:val="3"/>
          </w:tcPr>
          <w:p>
            <w:pPr>
              <w:ind w:left="280"/>
              <w:spacing w:after="0" w:line="149"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60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10" w:type="dxa"/>
            <w:vAlign w:val="bottom"/>
          </w:tcPr>
          <w:p>
            <w:pPr>
              <w:spacing w:after="0"/>
              <w:rPr>
                <w:sz w:val="15"/>
                <w:szCs w:val="15"/>
                <w:color w:val="auto"/>
              </w:rPr>
            </w:pPr>
          </w:p>
        </w:tc>
        <w:tc>
          <w:tcPr>
            <w:tcW w:w="570" w:type="dxa"/>
            <w:vAlign w:val="bottom"/>
          </w:tcPr>
          <w:p>
            <w:pPr>
              <w:jc w:val="right"/>
              <w:ind w:right="197"/>
              <w:spacing w:after="0"/>
              <w:rPr>
                <w:sz w:val="20"/>
                <w:szCs w:val="20"/>
                <w:color w:val="auto"/>
              </w:rPr>
            </w:pPr>
            <w:r>
              <w:rPr>
                <w:rFonts w:ascii="Arial" w:cs="Arial" w:eastAsia="Arial" w:hAnsi="Arial"/>
                <w:sz w:val="14"/>
                <w:szCs w:val="14"/>
                <w:b w:val="1"/>
                <w:bCs w:val="1"/>
                <w:color w:val="auto"/>
                <w:w w:val="83"/>
              </w:rPr>
              <w:t>2004</w:t>
            </w: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540" w:type="dxa"/>
            <w:vAlign w:val="bottom"/>
          </w:tcPr>
          <w:p>
            <w:pPr>
              <w:jc w:val="right"/>
              <w:ind w:right="254"/>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57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EAF9E8"/>
          </w:tcPr>
          <w:p>
            <w:pPr>
              <w:spacing w:after="0"/>
              <w:rPr>
                <w:sz w:val="20"/>
                <w:szCs w:val="20"/>
                <w:color w:val="auto"/>
              </w:rPr>
            </w:pPr>
            <w:r>
              <w:rPr>
                <w:rFonts w:ascii="Arial" w:cs="Arial" w:eastAsia="Arial" w:hAnsi="Arial"/>
                <w:sz w:val="18"/>
                <w:szCs w:val="18"/>
                <w:color w:val="auto"/>
              </w:rPr>
              <w:t>Segment operating revenues</w:t>
            </w:r>
          </w:p>
        </w:tc>
        <w:tc>
          <w:tcPr>
            <w:tcW w:w="110" w:type="dxa"/>
            <w:vAlign w:val="bottom"/>
            <w:shd w:val="clear" w:color="auto" w:fill="EAF9E8"/>
          </w:tcPr>
          <w:p>
            <w:pPr>
              <w:spacing w:after="0"/>
              <w:rPr>
                <w:sz w:val="18"/>
                <w:szCs w:val="18"/>
                <w:color w:val="auto"/>
              </w:rPr>
            </w:pPr>
          </w:p>
        </w:tc>
        <w:tc>
          <w:tcPr>
            <w:tcW w:w="57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40"/>
              <w:spacing w:after="0"/>
              <w:rPr>
                <w:sz w:val="20"/>
                <w:szCs w:val="20"/>
                <w:color w:val="auto"/>
              </w:rPr>
            </w:pPr>
            <w:r>
              <w:rPr>
                <w:rFonts w:ascii="Arial" w:cs="Arial" w:eastAsia="Arial" w:hAnsi="Arial"/>
                <w:sz w:val="18"/>
                <w:szCs w:val="18"/>
                <w:color w:val="auto"/>
              </w:rPr>
              <w:t>Service revenue – wireline</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70" w:type="dxa"/>
            <w:vAlign w:val="bottom"/>
          </w:tcPr>
          <w:p>
            <w:pPr>
              <w:jc w:val="right"/>
              <w:ind w:right="57"/>
              <w:spacing w:after="0"/>
              <w:rPr>
                <w:sz w:val="20"/>
                <w:szCs w:val="20"/>
                <w:color w:val="auto"/>
              </w:rPr>
            </w:pPr>
            <w:r>
              <w:rPr>
                <w:rFonts w:ascii="Arial" w:cs="Arial" w:eastAsia="Arial" w:hAnsi="Arial"/>
                <w:sz w:val="18"/>
                <w:szCs w:val="18"/>
                <w:color w:val="auto"/>
              </w:rPr>
              <w:t>731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731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Equipment revenue</w:t>
            </w:r>
          </w:p>
        </w:tc>
        <w:tc>
          <w:tcPr>
            <w:tcW w:w="110" w:type="dxa"/>
            <w:vAlign w:val="bottom"/>
            <w:shd w:val="clear" w:color="auto" w:fill="EAF9E8"/>
          </w:tcPr>
          <w:p>
            <w:pPr>
              <w:spacing w:after="0"/>
              <w:rPr>
                <w:sz w:val="18"/>
                <w:szCs w:val="18"/>
                <w:color w:val="auto"/>
              </w:rPr>
            </w:pPr>
          </w:p>
        </w:tc>
        <w:tc>
          <w:tcPr>
            <w:tcW w:w="57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EAF9E8"/>
          </w:tcPr>
          <w:p>
            <w:pPr>
              <w:spacing w:after="0"/>
              <w:rPr>
                <w:sz w:val="18"/>
                <w:szCs w:val="18"/>
                <w:color w:val="auto"/>
              </w:rPr>
            </w:pPr>
          </w:p>
        </w:tc>
        <w:tc>
          <w:tcPr>
            <w:tcW w:w="220" w:type="dxa"/>
            <w:vAlign w:val="bottom"/>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EAF9E8"/>
          </w:tcPr>
          <w:p>
            <w:pPr>
              <w:spacing w:after="0"/>
              <w:rPr>
                <w:sz w:val="18"/>
                <w:szCs w:val="18"/>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ind w:left="140"/>
              <w:spacing w:after="0"/>
              <w:rPr>
                <w:sz w:val="20"/>
                <w:szCs w:val="20"/>
                <w:color w:val="auto"/>
              </w:rPr>
            </w:pPr>
            <w:r>
              <w:rPr>
                <w:rFonts w:ascii="Arial" w:cs="Arial" w:eastAsia="Arial" w:hAnsi="Arial"/>
                <w:sz w:val="18"/>
                <w:szCs w:val="18"/>
                <w:color w:val="auto"/>
              </w:rPr>
              <w:t>Other revenue</w:t>
            </w:r>
          </w:p>
        </w:tc>
        <w:tc>
          <w:tcPr>
            <w:tcW w:w="110" w:type="dxa"/>
            <w:vAlign w:val="bottom"/>
          </w:tcPr>
          <w:p>
            <w:pPr>
              <w:spacing w:after="0"/>
              <w:rPr>
                <w:sz w:val="19"/>
                <w:szCs w:val="19"/>
                <w:color w:val="auto"/>
              </w:rPr>
            </w:pPr>
          </w:p>
        </w:tc>
        <w:tc>
          <w:tcPr>
            <w:tcW w:w="570" w:type="dxa"/>
            <w:vAlign w:val="bottom"/>
          </w:tcPr>
          <w:p>
            <w:pPr>
              <w:jc w:val="right"/>
              <w:ind w:right="57"/>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57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AF9E8"/>
          </w:tcPr>
          <w:p>
            <w:pPr>
              <w:ind w:left="300"/>
              <w:spacing w:after="0"/>
              <w:rPr>
                <w:sz w:val="20"/>
                <w:szCs w:val="20"/>
                <w:color w:val="auto"/>
              </w:rPr>
            </w:pPr>
            <w:r>
              <w:rPr>
                <w:rFonts w:ascii="Arial" w:cs="Arial" w:eastAsia="Arial" w:hAnsi="Arial"/>
                <w:sz w:val="18"/>
                <w:szCs w:val="18"/>
                <w:color w:val="auto"/>
              </w:rPr>
              <w:t>Total segment operating revenues</w:t>
            </w:r>
          </w:p>
        </w:tc>
        <w:tc>
          <w:tcPr>
            <w:tcW w:w="110" w:type="dxa"/>
            <w:vAlign w:val="bottom"/>
            <w:shd w:val="clear" w:color="auto" w:fill="EAF9E8"/>
          </w:tcPr>
          <w:p>
            <w:pPr>
              <w:spacing w:after="0"/>
              <w:rPr>
                <w:sz w:val="18"/>
                <w:szCs w:val="18"/>
                <w:color w:val="auto"/>
              </w:rPr>
            </w:pPr>
          </w:p>
        </w:tc>
        <w:tc>
          <w:tcPr>
            <w:tcW w:w="570" w:type="dxa"/>
            <w:vAlign w:val="bottom"/>
            <w:shd w:val="clear" w:color="auto" w:fill="EAF9E8"/>
          </w:tcPr>
          <w:p>
            <w:pPr>
              <w:jc w:val="right"/>
              <w:ind w:right="57"/>
              <w:spacing w:after="0"/>
              <w:rPr>
                <w:sz w:val="20"/>
                <w:szCs w:val="20"/>
                <w:color w:val="auto"/>
              </w:rPr>
            </w:pPr>
            <w:r>
              <w:rPr>
                <w:rFonts w:ascii="Arial" w:cs="Arial" w:eastAsia="Arial" w:hAnsi="Arial"/>
                <w:sz w:val="18"/>
                <w:szCs w:val="18"/>
                <w:color w:val="auto"/>
              </w:rPr>
              <w:t>736</w:t>
            </w:r>
          </w:p>
        </w:tc>
        <w:tc>
          <w:tcPr>
            <w:tcW w:w="260" w:type="dxa"/>
            <w:vAlign w:val="bottom"/>
            <w:shd w:val="clear" w:color="auto" w:fill="EAF9E8"/>
          </w:tcPr>
          <w:p>
            <w:pPr>
              <w:spacing w:after="0"/>
              <w:rPr>
                <w:sz w:val="18"/>
                <w:szCs w:val="18"/>
                <w:color w:val="auto"/>
              </w:rPr>
            </w:pPr>
          </w:p>
        </w:tc>
        <w:tc>
          <w:tcPr>
            <w:tcW w:w="220" w:type="dxa"/>
            <w:vAlign w:val="bottom"/>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EAF9E8"/>
          </w:tcPr>
          <w:p>
            <w:pPr>
              <w:spacing w:after="0"/>
              <w:rPr>
                <w:sz w:val="18"/>
                <w:szCs w:val="18"/>
                <w:color w:val="auto"/>
              </w:rPr>
            </w:pPr>
          </w:p>
        </w:tc>
        <w:tc>
          <w:tcPr>
            <w:tcW w:w="54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Segment operating expenses</w:t>
            </w:r>
          </w:p>
        </w:tc>
        <w:tc>
          <w:tcPr>
            <w:tcW w:w="110" w:type="dxa"/>
            <w:vAlign w:val="bottom"/>
            <w:tcBorders>
              <w:bottom w:val="single" w:sz="8" w:color="808080"/>
            </w:tcBorders>
          </w:tcPr>
          <w:p>
            <w:pPr>
              <w:spacing w:after="0"/>
              <w:rPr>
                <w:sz w:val="9"/>
                <w:szCs w:val="9"/>
                <w:color w:val="auto"/>
              </w:rPr>
            </w:pPr>
          </w:p>
        </w:tc>
        <w:tc>
          <w:tcPr>
            <w:tcW w:w="57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080" w:type="dxa"/>
            <w:vAlign w:val="bottom"/>
            <w:gridSpan w:val="2"/>
            <w:vMerge w:val="continue"/>
          </w:tcPr>
          <w:p>
            <w:pPr>
              <w:spacing w:after="0"/>
              <w:rPr>
                <w:sz w:val="24"/>
                <w:szCs w:val="24"/>
                <w:color w:val="auto"/>
              </w:rPr>
            </w:pPr>
          </w:p>
        </w:tc>
        <w:tc>
          <w:tcPr>
            <w:tcW w:w="110" w:type="dxa"/>
            <w:vAlign w:val="bottom"/>
          </w:tcPr>
          <w:p>
            <w:pPr>
              <w:spacing w:after="0"/>
              <w:rPr>
                <w:sz w:val="24"/>
                <w:szCs w:val="24"/>
                <w:color w:val="auto"/>
              </w:rPr>
            </w:pPr>
          </w:p>
        </w:tc>
        <w:tc>
          <w:tcPr>
            <w:tcW w:w="57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shd w:val="clear" w:color="auto" w:fill="EAF9E8"/>
          </w:tcPr>
          <w:p>
            <w:pPr>
              <w:ind w:left="140"/>
              <w:spacing w:after="0"/>
              <w:rPr>
                <w:sz w:val="20"/>
                <w:szCs w:val="20"/>
                <w:color w:val="auto"/>
              </w:rPr>
            </w:pPr>
            <w:r>
              <w:rPr>
                <w:rFonts w:ascii="Arial" w:cs="Arial" w:eastAsia="Arial" w:hAnsi="Arial"/>
                <w:sz w:val="18"/>
                <w:szCs w:val="18"/>
                <w:color w:val="auto"/>
                <w:w w:val="95"/>
              </w:rPr>
              <w:t>Cost of goods and services, exclusive of depreciation and amortization shown</w:t>
            </w:r>
          </w:p>
        </w:tc>
        <w:tc>
          <w:tcPr>
            <w:tcW w:w="110" w:type="dxa"/>
            <w:vAlign w:val="bottom"/>
            <w:shd w:val="clear" w:color="auto" w:fill="EAF9E8"/>
          </w:tcPr>
          <w:p>
            <w:pPr>
              <w:spacing w:after="0"/>
              <w:rPr>
                <w:sz w:val="18"/>
                <w:szCs w:val="18"/>
                <w:color w:val="auto"/>
              </w:rPr>
            </w:pPr>
          </w:p>
        </w:tc>
        <w:tc>
          <w:tcPr>
            <w:tcW w:w="57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60" w:type="dxa"/>
            <w:vAlign w:val="bottom"/>
            <w:shd w:val="clear" w:color="auto" w:fill="EAF9E8"/>
          </w:tcPr>
          <w:p>
            <w:pPr>
              <w:ind w:left="300"/>
              <w:spacing w:after="0"/>
              <w:rPr>
                <w:sz w:val="20"/>
                <w:szCs w:val="20"/>
                <w:color w:val="auto"/>
              </w:rPr>
            </w:pPr>
            <w:r>
              <w:rPr>
                <w:rFonts w:ascii="Arial" w:cs="Arial" w:eastAsia="Arial" w:hAnsi="Arial"/>
                <w:sz w:val="18"/>
                <w:szCs w:val="18"/>
                <w:color w:val="auto"/>
              </w:rPr>
              <w:t>separately below</w:t>
            </w:r>
          </w:p>
        </w:tc>
        <w:tc>
          <w:tcPr>
            <w:tcW w:w="110" w:type="dxa"/>
            <w:vAlign w:val="bottom"/>
            <w:shd w:val="clear" w:color="auto" w:fill="EAF9E8"/>
          </w:tcPr>
          <w:p>
            <w:pPr>
              <w:spacing w:after="0"/>
              <w:rPr>
                <w:sz w:val="19"/>
                <w:szCs w:val="19"/>
                <w:color w:val="auto"/>
              </w:rPr>
            </w:pPr>
          </w:p>
        </w:tc>
        <w:tc>
          <w:tcPr>
            <w:tcW w:w="570" w:type="dxa"/>
            <w:vAlign w:val="bottom"/>
            <w:shd w:val="clear" w:color="auto" w:fill="EAF9E8"/>
          </w:tcPr>
          <w:p>
            <w:pPr>
              <w:jc w:val="right"/>
              <w:ind w:right="57"/>
              <w:spacing w:after="0"/>
              <w:rPr>
                <w:sz w:val="20"/>
                <w:szCs w:val="20"/>
                <w:color w:val="auto"/>
              </w:rPr>
            </w:pPr>
            <w:r>
              <w:rPr>
                <w:rFonts w:ascii="Arial" w:cs="Arial" w:eastAsia="Arial" w:hAnsi="Arial"/>
                <w:sz w:val="18"/>
                <w:szCs w:val="18"/>
                <w:color w:val="auto"/>
              </w:rPr>
              <w:t>352</w:t>
            </w:r>
          </w:p>
        </w:tc>
        <w:tc>
          <w:tcPr>
            <w:tcW w:w="260" w:type="dxa"/>
            <w:vAlign w:val="bottom"/>
            <w:shd w:val="clear" w:color="auto" w:fill="EAF9E8"/>
          </w:tcPr>
          <w:p>
            <w:pPr>
              <w:spacing w:after="0"/>
              <w:rPr>
                <w:sz w:val="19"/>
                <w:szCs w:val="19"/>
                <w:color w:val="auto"/>
              </w:rPr>
            </w:pPr>
          </w:p>
        </w:tc>
        <w:tc>
          <w:tcPr>
            <w:tcW w:w="220" w:type="dxa"/>
            <w:vAlign w:val="bottom"/>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EAF9E8"/>
          </w:tcPr>
          <w:p>
            <w:pPr>
              <w:spacing w:after="0"/>
              <w:rPr>
                <w:sz w:val="19"/>
                <w:szCs w:val="19"/>
                <w:color w:val="auto"/>
              </w:rPr>
            </w:pPr>
          </w:p>
        </w:tc>
        <w:tc>
          <w:tcPr>
            <w:tcW w:w="54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60" w:type="dxa"/>
            <w:vAlign w:val="bottom"/>
          </w:tcPr>
          <w:p>
            <w:pPr>
              <w:ind w:left="140"/>
              <w:spacing w:after="0"/>
              <w:rPr>
                <w:sz w:val="20"/>
                <w:szCs w:val="20"/>
                <w:color w:val="auto"/>
              </w:rPr>
            </w:pPr>
            <w:r>
              <w:rPr>
                <w:rFonts w:ascii="Arial" w:cs="Arial" w:eastAsia="Arial" w:hAnsi="Arial"/>
                <w:sz w:val="18"/>
                <w:szCs w:val="18"/>
                <w:color w:val="auto"/>
                <w:w w:val="95"/>
              </w:rPr>
              <w:t>Selling, general and administrative, exclusive of depreciation and amortization</w:t>
            </w:r>
          </w:p>
        </w:tc>
        <w:tc>
          <w:tcPr>
            <w:tcW w:w="110" w:type="dxa"/>
            <w:vAlign w:val="bottom"/>
          </w:tcPr>
          <w:p>
            <w:pPr>
              <w:spacing w:after="0"/>
              <w:rPr>
                <w:sz w:val="18"/>
                <w:szCs w:val="18"/>
                <w:color w:val="auto"/>
              </w:rPr>
            </w:pPr>
          </w:p>
        </w:tc>
        <w:tc>
          <w:tcPr>
            <w:tcW w:w="57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00"/>
              <w:spacing w:after="0"/>
              <w:rPr>
                <w:sz w:val="20"/>
                <w:szCs w:val="20"/>
                <w:color w:val="auto"/>
              </w:rPr>
            </w:pPr>
            <w:r>
              <w:rPr>
                <w:rFonts w:ascii="Arial" w:cs="Arial" w:eastAsia="Arial" w:hAnsi="Arial"/>
                <w:sz w:val="18"/>
                <w:szCs w:val="18"/>
                <w:color w:val="auto"/>
              </w:rPr>
              <w:t>shown separately below</w:t>
            </w:r>
          </w:p>
        </w:tc>
        <w:tc>
          <w:tcPr>
            <w:tcW w:w="110" w:type="dxa"/>
            <w:vAlign w:val="bottom"/>
          </w:tcPr>
          <w:p>
            <w:pPr>
              <w:spacing w:after="0"/>
              <w:rPr>
                <w:sz w:val="19"/>
                <w:szCs w:val="19"/>
                <w:color w:val="auto"/>
              </w:rPr>
            </w:pPr>
          </w:p>
        </w:tc>
        <w:tc>
          <w:tcPr>
            <w:tcW w:w="570" w:type="dxa"/>
            <w:vAlign w:val="bottom"/>
          </w:tcPr>
          <w:p>
            <w:pPr>
              <w:jc w:val="right"/>
              <w:ind w:right="57"/>
              <w:spacing w:after="0"/>
              <w:rPr>
                <w:sz w:val="20"/>
                <w:szCs w:val="20"/>
                <w:color w:val="auto"/>
              </w:rPr>
            </w:pPr>
            <w:r>
              <w:rPr>
                <w:rFonts w:ascii="Arial" w:cs="Arial" w:eastAsia="Arial" w:hAnsi="Arial"/>
                <w:sz w:val="18"/>
                <w:szCs w:val="18"/>
                <w:color w:val="auto"/>
              </w:rPr>
              <w:t>319</w:t>
            </w:r>
          </w:p>
        </w:tc>
        <w:tc>
          <w:tcPr>
            <w:tcW w:w="26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Depreciation and amortization</w:t>
            </w:r>
          </w:p>
        </w:tc>
        <w:tc>
          <w:tcPr>
            <w:tcW w:w="110" w:type="dxa"/>
            <w:vAlign w:val="bottom"/>
            <w:shd w:val="clear" w:color="auto" w:fill="EAF9E8"/>
          </w:tcPr>
          <w:p>
            <w:pPr>
              <w:spacing w:after="0"/>
              <w:rPr>
                <w:sz w:val="18"/>
                <w:szCs w:val="18"/>
                <w:color w:val="auto"/>
              </w:rPr>
            </w:pPr>
          </w:p>
        </w:tc>
        <w:tc>
          <w:tcPr>
            <w:tcW w:w="570" w:type="dxa"/>
            <w:vAlign w:val="bottom"/>
            <w:shd w:val="clear" w:color="auto" w:fill="EAF9E8"/>
          </w:tcPr>
          <w:p>
            <w:pPr>
              <w:jc w:val="right"/>
              <w:ind w:right="57"/>
              <w:spacing w:after="0"/>
              <w:rPr>
                <w:sz w:val="20"/>
                <w:szCs w:val="20"/>
                <w:color w:val="auto"/>
              </w:rPr>
            </w:pPr>
            <w:r>
              <w:rPr>
                <w:rFonts w:ascii="Arial" w:cs="Arial" w:eastAsia="Arial" w:hAnsi="Arial"/>
                <w:sz w:val="18"/>
                <w:szCs w:val="18"/>
                <w:color w:val="auto"/>
              </w:rPr>
              <w:t>232</w:t>
            </w:r>
          </w:p>
        </w:tc>
        <w:tc>
          <w:tcPr>
            <w:tcW w:w="260" w:type="dxa"/>
            <w:vAlign w:val="bottom"/>
            <w:shd w:val="clear" w:color="auto" w:fill="EAF9E8"/>
          </w:tcPr>
          <w:p>
            <w:pPr>
              <w:spacing w:after="0"/>
              <w:rPr>
                <w:sz w:val="18"/>
                <w:szCs w:val="18"/>
                <w:color w:val="auto"/>
              </w:rPr>
            </w:pPr>
          </w:p>
        </w:tc>
        <w:tc>
          <w:tcPr>
            <w:tcW w:w="220" w:type="dxa"/>
            <w:vAlign w:val="bottom"/>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EAF9E8"/>
          </w:tcPr>
          <w:p>
            <w:pPr>
              <w:spacing w:after="0"/>
              <w:rPr>
                <w:sz w:val="18"/>
                <w:szCs w:val="18"/>
                <w:color w:val="auto"/>
              </w:rPr>
            </w:pPr>
          </w:p>
        </w:tc>
        <w:tc>
          <w:tcPr>
            <w:tcW w:w="54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57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060" w:type="dxa"/>
            <w:vAlign w:val="bottom"/>
          </w:tcPr>
          <w:p>
            <w:pPr>
              <w:ind w:left="300"/>
              <w:spacing w:after="0"/>
              <w:rPr>
                <w:sz w:val="20"/>
                <w:szCs w:val="20"/>
                <w:color w:val="auto"/>
              </w:rPr>
            </w:pPr>
            <w:r>
              <w:rPr>
                <w:rFonts w:ascii="Arial" w:cs="Arial" w:eastAsia="Arial" w:hAnsi="Arial"/>
                <w:sz w:val="18"/>
                <w:szCs w:val="18"/>
                <w:color w:val="auto"/>
              </w:rPr>
              <w:t>Total segment operating expenses</w:t>
            </w:r>
          </w:p>
        </w:tc>
        <w:tc>
          <w:tcPr>
            <w:tcW w:w="110" w:type="dxa"/>
            <w:vAlign w:val="bottom"/>
          </w:tcPr>
          <w:p>
            <w:pPr>
              <w:spacing w:after="0"/>
              <w:rPr>
                <w:sz w:val="24"/>
                <w:szCs w:val="24"/>
                <w:color w:val="auto"/>
              </w:rPr>
            </w:pPr>
          </w:p>
        </w:tc>
        <w:tc>
          <w:tcPr>
            <w:tcW w:w="570" w:type="dxa"/>
            <w:vAlign w:val="bottom"/>
          </w:tcPr>
          <w:p>
            <w:pPr>
              <w:jc w:val="right"/>
              <w:ind w:right="57"/>
              <w:spacing w:after="0"/>
              <w:rPr>
                <w:sz w:val="20"/>
                <w:szCs w:val="20"/>
                <w:color w:val="auto"/>
              </w:rPr>
            </w:pPr>
            <w:r>
              <w:rPr>
                <w:rFonts w:ascii="Arial" w:cs="Arial" w:eastAsia="Arial" w:hAnsi="Arial"/>
                <w:sz w:val="18"/>
                <w:szCs w:val="18"/>
                <w:color w:val="auto"/>
              </w:rPr>
              <w:t>903</w:t>
            </w:r>
          </w:p>
        </w:tc>
        <w:tc>
          <w:tcPr>
            <w:tcW w:w="26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24"/>
                <w:szCs w:val="24"/>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903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080" w:type="dxa"/>
            <w:vAlign w:val="bottom"/>
            <w:gridSpan w:val="2"/>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57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EAF9E8"/>
          </w:tcPr>
          <w:p>
            <w:pPr>
              <w:spacing w:after="0"/>
              <w:rPr>
                <w:sz w:val="20"/>
                <w:szCs w:val="20"/>
                <w:color w:val="auto"/>
              </w:rPr>
            </w:pPr>
            <w:r>
              <w:rPr>
                <w:rFonts w:ascii="Arial" w:cs="Arial" w:eastAsia="Arial" w:hAnsi="Arial"/>
                <w:sz w:val="18"/>
                <w:szCs w:val="18"/>
                <w:color w:val="auto"/>
              </w:rPr>
              <w:t>Segment operating (loss)</w:t>
            </w:r>
          </w:p>
        </w:tc>
        <w:tc>
          <w:tcPr>
            <w:tcW w:w="11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7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(167)</w:t>
            </w:r>
          </w:p>
        </w:tc>
        <w:tc>
          <w:tcPr>
            <w:tcW w:w="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57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3862070</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-14605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-14605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159"/>
        <w:spacing w:after="0" w:line="294" w:lineRule="auto"/>
        <w:rPr>
          <w:sz w:val="20"/>
          <w:szCs w:val="20"/>
          <w:color w:val="auto"/>
        </w:rPr>
      </w:pPr>
      <w:r>
        <w:rPr>
          <w:rFonts w:ascii="Arial" w:cs="Arial" w:eastAsia="Arial" w:hAnsi="Arial"/>
          <w:sz w:val="16"/>
          <w:szCs w:val="16"/>
          <w:color w:val="auto"/>
        </w:rPr>
        <w:t>The Converged Services segment primarily consists of NTC, which provides local and long distance voice, data and video services on an exclusive and non-exclusive basis to MDU communities throughout the southeastern United States including Virginia, North Carolina, Maryland, South Carolina, Georgia, Florida, Tennessee and Mississippi. The Converged Services segment’s results were not affected by the restatement discussed in Note 2 to the consolidated financial statements appearing elsewhere in this report.</w:t>
      </w:r>
    </w:p>
    <w:p>
      <w:pPr>
        <w:spacing w:after="0" w:line="170" w:lineRule="exact"/>
        <w:rPr>
          <w:sz w:val="20"/>
          <w:szCs w:val="20"/>
          <w:color w:val="auto"/>
        </w:rPr>
      </w:pPr>
    </w:p>
    <w:p>
      <w:pPr>
        <w:jc w:val="both"/>
        <w:ind w:right="2199"/>
        <w:spacing w:after="0" w:line="306" w:lineRule="auto"/>
        <w:rPr>
          <w:sz w:val="20"/>
          <w:szCs w:val="20"/>
          <w:color w:val="auto"/>
        </w:rPr>
      </w:pPr>
      <w:r>
        <w:rPr>
          <w:rFonts w:ascii="Arial" w:cs="Arial" w:eastAsia="Arial" w:hAnsi="Arial"/>
          <w:sz w:val="16"/>
          <w:szCs w:val="16"/>
          <w:color w:val="auto"/>
        </w:rPr>
        <w:t>The Company purchased the remaining 83.9% of NTC that it did not previously own on November 30, 2004, and prior to that date had no other activities in this segment. Accordingly, 2004 operating results include one month of operating activity for NTC and 2003 operating results reflect no activity in this segment.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Service revenues consisted of voice, video and data services to MDU properties in the southeastern United States.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and services</w:t>
      </w:r>
    </w:p>
    <w:p>
      <w:pPr>
        <w:spacing w:after="0" w:line="231" w:lineRule="exact"/>
        <w:rPr>
          <w:sz w:val="20"/>
          <w:szCs w:val="20"/>
          <w:color w:val="auto"/>
        </w:rPr>
      </w:pPr>
    </w:p>
    <w:p>
      <w:pPr>
        <w:ind w:right="2299"/>
        <w:spacing w:after="0" w:line="268" w:lineRule="auto"/>
        <w:rPr>
          <w:sz w:val="20"/>
          <w:szCs w:val="20"/>
          <w:color w:val="auto"/>
        </w:rPr>
      </w:pPr>
      <w:r>
        <w:rPr>
          <w:rFonts w:ascii="Arial" w:cs="Arial" w:eastAsia="Arial" w:hAnsi="Arial"/>
          <w:sz w:val="18"/>
          <w:szCs w:val="18"/>
          <w:color w:val="auto"/>
        </w:rPr>
        <w:t>Cost of goods and services reflects both the cost of purchasing video and voice services and the network costs to provide Internet services to customers and network maintenance and repair.</w:t>
      </w:r>
    </w:p>
    <w:p>
      <w:pPr>
        <w:spacing w:after="0" w:line="18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Mobile</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Segment operating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145405"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5405"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Tower lease revenue-affiliate</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Tower lease revenue-non-affiliate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5145405"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5405"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Other revenue</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segment operating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145405"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5405" cy="13716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Segment operating expenses</w:t>
      </w:r>
    </w:p>
    <w:p>
      <w:pPr>
        <w:spacing w:after="0" w:line="15" w:lineRule="exact"/>
        <w:rPr>
          <w:sz w:val="20"/>
          <w:szCs w:val="20"/>
          <w:color w:val="auto"/>
        </w:rPr>
      </w:pPr>
    </w:p>
    <w:p>
      <w:pPr>
        <w:ind w:left="320" w:right="260" w:hanging="155"/>
        <w:spacing w:after="0" w:line="281" w:lineRule="auto"/>
        <w:rPr>
          <w:sz w:val="20"/>
          <w:szCs w:val="20"/>
          <w:color w:val="auto"/>
        </w:rPr>
      </w:pPr>
      <w:r>
        <w:rPr>
          <w:rFonts w:ascii="Arial" w:cs="Arial" w:eastAsia="Arial" w:hAnsi="Arial"/>
          <w:sz w:val="16"/>
          <w:szCs w:val="16"/>
          <w:color w:val="auto"/>
        </w:rPr>
        <w:t>Cost of goods and services, exclusive of depreciation and amortization shown separately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5145405" cy="2743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5405" cy="274320"/>
                    </a:xfrm>
                    <a:prstGeom prst="rect">
                      <a:avLst/>
                    </a:prstGeom>
                    <a:noFill/>
                  </pic:spPr>
                </pic:pic>
              </a:graphicData>
            </a:graphic>
          </wp:anchor>
        </w:drawing>
      </w:r>
    </w:p>
    <w:p>
      <w:pPr>
        <w:ind w:left="320" w:hanging="155"/>
        <w:spacing w:after="0" w:line="281" w:lineRule="auto"/>
        <w:rPr>
          <w:sz w:val="20"/>
          <w:szCs w:val="20"/>
          <w:color w:val="auto"/>
        </w:rPr>
      </w:pPr>
      <w:r>
        <w:rPr>
          <w:rFonts w:ascii="Arial" w:cs="Arial" w:eastAsia="Arial" w:hAnsi="Arial"/>
          <w:sz w:val="16"/>
          <w:szCs w:val="16"/>
          <w:color w:val="auto"/>
        </w:rPr>
        <w:t>Selling, general and administrative, exclusive of depreciation and amortization shown separately below</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5145405"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5405" cy="137160"/>
                    </a:xfrm>
                    <a:prstGeom prst="rect">
                      <a:avLst/>
                    </a:prstGeom>
                    <a:noFill/>
                  </pic:spPr>
                </pic:pic>
              </a:graphicData>
            </a:graphic>
          </wp:anchor>
        </w:drawing>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segment operating expenses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Segment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145405"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540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49"/>
        </w:trPr>
        <w:tc>
          <w:tcPr>
            <w:tcW w:w="180" w:type="dxa"/>
            <w:vAlign w:val="bottom"/>
          </w:tcPr>
          <w:p>
            <w:pPr>
              <w:spacing w:after="0"/>
              <w:rPr>
                <w:sz w:val="12"/>
                <w:szCs w:val="12"/>
                <w:color w:val="auto"/>
              </w:rPr>
            </w:pPr>
          </w:p>
        </w:tc>
        <w:tc>
          <w:tcPr>
            <w:tcW w:w="1540" w:type="dxa"/>
            <w:vAlign w:val="bottom"/>
            <w:gridSpan w:val="3"/>
          </w:tcPr>
          <w:p>
            <w:pPr>
              <w:jc w:val="right"/>
              <w:ind w:right="374"/>
              <w:spacing w:after="0" w:line="149" w:lineRule="exact"/>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12"/>
                <w:szCs w:val="12"/>
                <w:color w:val="auto"/>
              </w:rPr>
            </w:pPr>
          </w:p>
        </w:tc>
      </w:tr>
      <w:tr>
        <w:trPr>
          <w:trHeight w:val="174"/>
        </w:trPr>
        <w:tc>
          <w:tcPr>
            <w:tcW w:w="180" w:type="dxa"/>
            <w:vAlign w:val="bottom"/>
          </w:tcPr>
          <w:p>
            <w:pPr>
              <w:spacing w:after="0"/>
              <w:rPr>
                <w:sz w:val="15"/>
                <w:szCs w:val="15"/>
                <w:color w:val="auto"/>
              </w:rPr>
            </w:pPr>
          </w:p>
        </w:tc>
        <w:tc>
          <w:tcPr>
            <w:tcW w:w="560" w:type="dxa"/>
            <w:vAlign w:val="bottom"/>
          </w:tcPr>
          <w:p>
            <w:pPr>
              <w:jc w:val="right"/>
              <w:ind w:right="157"/>
              <w:spacing w:after="0"/>
              <w:rPr>
                <w:sz w:val="20"/>
                <w:szCs w:val="20"/>
                <w:color w:val="auto"/>
              </w:rPr>
            </w:pPr>
            <w:r>
              <w:rPr>
                <w:rFonts w:ascii="Arial" w:cs="Arial" w:eastAsia="Arial" w:hAnsi="Arial"/>
                <w:sz w:val="14"/>
                <w:szCs w:val="14"/>
                <w:b w:val="1"/>
                <w:bCs w:val="1"/>
                <w:color w:val="auto"/>
                <w:w w:val="96"/>
              </w:rPr>
              <w:t>2004</w:t>
            </w:r>
          </w:p>
        </w:tc>
        <w:tc>
          <w:tcPr>
            <w:tcW w:w="460" w:type="dxa"/>
            <w:vAlign w:val="bottom"/>
          </w:tcPr>
          <w:p>
            <w:pPr>
              <w:spacing w:after="0"/>
              <w:rPr>
                <w:sz w:val="15"/>
                <w:szCs w:val="15"/>
                <w:color w:val="auto"/>
              </w:rPr>
            </w:pPr>
          </w:p>
        </w:tc>
        <w:tc>
          <w:tcPr>
            <w:tcW w:w="520" w:type="dxa"/>
            <w:vAlign w:val="bottom"/>
          </w:tcPr>
          <w:p>
            <w:pPr>
              <w:jc w:val="right"/>
              <w:ind w:right="154"/>
              <w:spacing w:after="0"/>
              <w:rPr>
                <w:sz w:val="20"/>
                <w:szCs w:val="20"/>
                <w:color w:val="auto"/>
              </w:rPr>
            </w:pPr>
            <w:r>
              <w:rPr>
                <w:rFonts w:ascii="Arial" w:cs="Arial" w:eastAsia="Arial" w:hAnsi="Arial"/>
                <w:sz w:val="14"/>
                <w:szCs w:val="14"/>
                <w:b w:val="1"/>
                <w:bCs w:val="1"/>
                <w:color w:val="auto"/>
                <w:w w:val="83"/>
              </w:rPr>
              <w:t>2003</w:t>
            </w:r>
          </w:p>
        </w:tc>
        <w:tc>
          <w:tcPr>
            <w:tcW w:w="320" w:type="dxa"/>
            <w:vAlign w:val="bottom"/>
          </w:tcPr>
          <w:p>
            <w:pPr>
              <w:spacing w:after="0"/>
              <w:rPr>
                <w:sz w:val="15"/>
                <w:szCs w:val="15"/>
                <w:color w:val="auto"/>
              </w:rPr>
            </w:pPr>
          </w:p>
        </w:tc>
        <w:tc>
          <w:tcPr>
            <w:tcW w:w="720" w:type="dxa"/>
            <w:vAlign w:val="bottom"/>
          </w:tcPr>
          <w:p>
            <w:pPr>
              <w:jc w:val="right"/>
              <w:ind w:right="476"/>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274"/>
              <w:spacing w:after="0"/>
              <w:rPr>
                <w:sz w:val="20"/>
                <w:szCs w:val="20"/>
                <w:color w:val="auto"/>
              </w:rPr>
            </w:pPr>
            <w:r>
              <w:rPr>
                <w:rFonts w:ascii="Arial" w:cs="Arial" w:eastAsia="Arial" w:hAnsi="Arial"/>
                <w:sz w:val="14"/>
                <w:szCs w:val="14"/>
                <w:b w:val="1"/>
                <w:bCs w:val="1"/>
                <w:color w:val="auto"/>
              </w:rPr>
              <w:t>%</w:t>
            </w:r>
          </w:p>
        </w:tc>
      </w:tr>
      <w:tr>
        <w:trPr>
          <w:trHeight w:val="95"/>
        </w:trPr>
        <w:tc>
          <w:tcPr>
            <w:tcW w:w="1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r>
      <w:tr>
        <w:trPr>
          <w:trHeight w:val="263"/>
        </w:trPr>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(Restated)</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(Restated)</w:t>
            </w: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411"/>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1,298</w:t>
            </w:r>
          </w:p>
        </w:tc>
        <w:tc>
          <w:tcPr>
            <w:tcW w:w="46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1,238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6"/>
              <w:spacing w:after="0"/>
              <w:rPr>
                <w:sz w:val="20"/>
                <w:szCs w:val="20"/>
                <w:color w:val="auto"/>
              </w:rPr>
            </w:pPr>
            <w:r>
              <w:rPr>
                <w:rFonts w:ascii="Arial" w:cs="Arial" w:eastAsia="Arial" w:hAnsi="Arial"/>
                <w:sz w:val="18"/>
                <w:szCs w:val="18"/>
                <w:color w:val="auto"/>
              </w:rPr>
              <w:t>60</w:t>
            </w:r>
          </w:p>
        </w:tc>
        <w:tc>
          <w:tcPr>
            <w:tcW w:w="600" w:type="dxa"/>
            <w:vAlign w:val="bottom"/>
          </w:tcPr>
          <w:p>
            <w:pPr>
              <w:jc w:val="right"/>
              <w:ind w:right="114"/>
              <w:spacing w:after="0"/>
              <w:rPr>
                <w:sz w:val="20"/>
                <w:szCs w:val="20"/>
                <w:color w:val="auto"/>
              </w:rPr>
            </w:pPr>
            <w:r>
              <w:rPr>
                <w:rFonts w:ascii="Arial" w:cs="Arial" w:eastAsia="Arial" w:hAnsi="Arial"/>
                <w:sz w:val="18"/>
                <w:szCs w:val="18"/>
                <w:color w:val="auto"/>
              </w:rPr>
              <w:t>4.8</w:t>
            </w:r>
          </w:p>
        </w:tc>
      </w:tr>
      <w:tr>
        <w:trPr>
          <w:trHeight w:val="216"/>
        </w:trPr>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2,915</w:t>
            </w:r>
          </w:p>
        </w:tc>
        <w:tc>
          <w:tcPr>
            <w:tcW w:w="4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2,608</w:t>
            </w:r>
          </w:p>
        </w:tc>
        <w:tc>
          <w:tcPr>
            <w:tcW w:w="320" w:type="dxa"/>
            <w:vAlign w:val="bottom"/>
          </w:tcPr>
          <w:p>
            <w:pPr>
              <w:spacing w:after="0"/>
              <w:rPr>
                <w:sz w:val="18"/>
                <w:szCs w:val="18"/>
                <w:color w:val="auto"/>
              </w:rPr>
            </w:pPr>
          </w:p>
        </w:tc>
        <w:tc>
          <w:tcPr>
            <w:tcW w:w="720" w:type="dxa"/>
            <w:vAlign w:val="bottom"/>
          </w:tcPr>
          <w:p>
            <w:pPr>
              <w:jc w:val="right"/>
              <w:ind w:right="236"/>
              <w:spacing w:after="0"/>
              <w:rPr>
                <w:sz w:val="20"/>
                <w:szCs w:val="20"/>
                <w:color w:val="auto"/>
              </w:rPr>
            </w:pPr>
            <w:r>
              <w:rPr>
                <w:rFonts w:ascii="Arial" w:cs="Arial" w:eastAsia="Arial" w:hAnsi="Arial"/>
                <w:sz w:val="18"/>
                <w:szCs w:val="18"/>
                <w:color w:val="auto"/>
              </w:rPr>
              <w:t>307</w:t>
            </w:r>
          </w:p>
        </w:tc>
        <w:tc>
          <w:tcPr>
            <w:tcW w:w="600" w:type="dxa"/>
            <w:vAlign w:val="bottom"/>
          </w:tcPr>
          <w:p>
            <w:pPr>
              <w:jc w:val="right"/>
              <w:ind w:right="114"/>
              <w:spacing w:after="0"/>
              <w:rPr>
                <w:sz w:val="20"/>
                <w:szCs w:val="20"/>
                <w:color w:val="auto"/>
              </w:rPr>
            </w:pPr>
            <w:r>
              <w:rPr>
                <w:rFonts w:ascii="Arial" w:cs="Arial" w:eastAsia="Arial" w:hAnsi="Arial"/>
                <w:sz w:val="18"/>
                <w:szCs w:val="18"/>
                <w:color w:val="auto"/>
              </w:rPr>
              <w:t>11.8</w:t>
            </w:r>
          </w:p>
        </w:tc>
      </w:tr>
      <w:tr>
        <w:trPr>
          <w:trHeight w:val="222"/>
        </w:trPr>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178</w:t>
            </w:r>
          </w:p>
        </w:tc>
        <w:tc>
          <w:tcPr>
            <w:tcW w:w="4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276</w:t>
            </w:r>
          </w:p>
        </w:tc>
        <w:tc>
          <w:tcPr>
            <w:tcW w:w="320" w:type="dxa"/>
            <w:vAlign w:val="bottom"/>
          </w:tcPr>
          <w:p>
            <w:pPr>
              <w:spacing w:after="0"/>
              <w:rPr>
                <w:sz w:val="19"/>
                <w:szCs w:val="19"/>
                <w:color w:val="auto"/>
              </w:rPr>
            </w:pPr>
          </w:p>
        </w:tc>
        <w:tc>
          <w:tcPr>
            <w:tcW w:w="720" w:type="dxa"/>
            <w:vAlign w:val="bottom"/>
          </w:tcPr>
          <w:p>
            <w:pPr>
              <w:jc w:val="right"/>
              <w:ind w:right="176"/>
              <w:spacing w:after="0"/>
              <w:rPr>
                <w:sz w:val="20"/>
                <w:szCs w:val="20"/>
                <w:color w:val="auto"/>
              </w:rPr>
            </w:pPr>
            <w:r>
              <w:rPr>
                <w:rFonts w:ascii="Arial" w:cs="Arial" w:eastAsia="Arial" w:hAnsi="Arial"/>
                <w:sz w:val="18"/>
                <w:szCs w:val="18"/>
                <w:color w:val="auto"/>
              </w:rPr>
              <w:t>(98)</w:t>
            </w:r>
          </w:p>
        </w:tc>
        <w:tc>
          <w:tcPr>
            <w:tcW w:w="600" w:type="dxa"/>
            <w:vAlign w:val="bottom"/>
          </w:tcPr>
          <w:p>
            <w:pPr>
              <w:jc w:val="right"/>
              <w:ind w:right="54"/>
              <w:spacing w:after="0"/>
              <w:rPr>
                <w:sz w:val="20"/>
                <w:szCs w:val="20"/>
                <w:color w:val="auto"/>
              </w:rPr>
            </w:pPr>
            <w:r>
              <w:rPr>
                <w:rFonts w:ascii="Arial" w:cs="Arial" w:eastAsia="Arial" w:hAnsi="Arial"/>
                <w:sz w:val="18"/>
                <w:szCs w:val="18"/>
                <w:color w:val="auto"/>
                <w:w w:val="93"/>
              </w:rPr>
              <w:t>(35.5)</w:t>
            </w:r>
          </w:p>
        </w:tc>
      </w:tr>
      <w:tr>
        <w:trPr>
          <w:trHeight w:val="110"/>
        </w:trPr>
        <w:tc>
          <w:tcPr>
            <w:tcW w:w="1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r>
      <w:tr>
        <w:trPr>
          <w:trHeight w:val="316"/>
        </w:trPr>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4,391</w:t>
            </w:r>
          </w:p>
        </w:tc>
        <w:tc>
          <w:tcPr>
            <w:tcW w:w="4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4,122</w:t>
            </w:r>
          </w:p>
        </w:tc>
        <w:tc>
          <w:tcPr>
            <w:tcW w:w="320" w:type="dxa"/>
            <w:vAlign w:val="bottom"/>
          </w:tcPr>
          <w:p>
            <w:pPr>
              <w:spacing w:after="0"/>
              <w:rPr>
                <w:sz w:val="24"/>
                <w:szCs w:val="24"/>
                <w:color w:val="auto"/>
              </w:rPr>
            </w:pPr>
          </w:p>
        </w:tc>
        <w:tc>
          <w:tcPr>
            <w:tcW w:w="720" w:type="dxa"/>
            <w:vAlign w:val="bottom"/>
          </w:tcPr>
          <w:p>
            <w:pPr>
              <w:jc w:val="right"/>
              <w:ind w:right="236"/>
              <w:spacing w:after="0"/>
              <w:rPr>
                <w:sz w:val="20"/>
                <w:szCs w:val="20"/>
                <w:color w:val="auto"/>
              </w:rPr>
            </w:pPr>
            <w:r>
              <w:rPr>
                <w:rFonts w:ascii="Arial" w:cs="Arial" w:eastAsia="Arial" w:hAnsi="Arial"/>
                <w:sz w:val="18"/>
                <w:szCs w:val="18"/>
                <w:color w:val="auto"/>
              </w:rPr>
              <w:t>269</w:t>
            </w:r>
          </w:p>
        </w:tc>
        <w:tc>
          <w:tcPr>
            <w:tcW w:w="600" w:type="dxa"/>
            <w:vAlign w:val="bottom"/>
          </w:tcPr>
          <w:p>
            <w:pPr>
              <w:jc w:val="right"/>
              <w:ind w:right="114"/>
              <w:spacing w:after="0"/>
              <w:rPr>
                <w:sz w:val="20"/>
                <w:szCs w:val="20"/>
                <w:color w:val="auto"/>
              </w:rPr>
            </w:pPr>
            <w:r>
              <w:rPr>
                <w:rFonts w:ascii="Arial" w:cs="Arial" w:eastAsia="Arial" w:hAnsi="Arial"/>
                <w:sz w:val="18"/>
                <w:szCs w:val="18"/>
                <w:color w:val="auto"/>
              </w:rPr>
              <w:t>6.5</w:t>
            </w:r>
          </w:p>
        </w:tc>
      </w:tr>
      <w:tr>
        <w:trPr>
          <w:trHeight w:val="110"/>
        </w:trPr>
        <w:tc>
          <w:tcPr>
            <w:tcW w:w="1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r>
      <w:tr>
        <w:trPr>
          <w:trHeight w:val="748"/>
        </w:trPr>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1,114</w:t>
            </w:r>
          </w:p>
        </w:tc>
        <w:tc>
          <w:tcPr>
            <w:tcW w:w="4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1,623</w:t>
            </w:r>
          </w:p>
        </w:tc>
        <w:tc>
          <w:tcPr>
            <w:tcW w:w="320" w:type="dxa"/>
            <w:vAlign w:val="bottom"/>
          </w:tcPr>
          <w:p>
            <w:pPr>
              <w:spacing w:after="0"/>
              <w:rPr>
                <w:sz w:val="24"/>
                <w:szCs w:val="24"/>
                <w:color w:val="auto"/>
              </w:rPr>
            </w:pPr>
          </w:p>
        </w:tc>
        <w:tc>
          <w:tcPr>
            <w:tcW w:w="720" w:type="dxa"/>
            <w:vAlign w:val="bottom"/>
          </w:tcPr>
          <w:p>
            <w:pPr>
              <w:jc w:val="right"/>
              <w:ind w:right="176"/>
              <w:spacing w:after="0"/>
              <w:rPr>
                <w:sz w:val="20"/>
                <w:szCs w:val="20"/>
                <w:color w:val="auto"/>
              </w:rPr>
            </w:pPr>
            <w:r>
              <w:rPr>
                <w:rFonts w:ascii="Arial" w:cs="Arial" w:eastAsia="Arial" w:hAnsi="Arial"/>
                <w:sz w:val="18"/>
                <w:szCs w:val="18"/>
                <w:color w:val="auto"/>
              </w:rPr>
              <w:t>(509)</w:t>
            </w:r>
          </w:p>
        </w:tc>
        <w:tc>
          <w:tcPr>
            <w:tcW w:w="600" w:type="dxa"/>
            <w:vAlign w:val="bottom"/>
          </w:tcPr>
          <w:p>
            <w:pPr>
              <w:jc w:val="right"/>
              <w:ind w:right="54"/>
              <w:spacing w:after="0"/>
              <w:rPr>
                <w:sz w:val="20"/>
                <w:szCs w:val="20"/>
                <w:color w:val="auto"/>
              </w:rPr>
            </w:pPr>
            <w:r>
              <w:rPr>
                <w:rFonts w:ascii="Arial" w:cs="Arial" w:eastAsia="Arial" w:hAnsi="Arial"/>
                <w:sz w:val="18"/>
                <w:szCs w:val="18"/>
                <w:color w:val="auto"/>
                <w:w w:val="93"/>
              </w:rPr>
              <w:t>(31.4)</w:t>
            </w:r>
          </w:p>
        </w:tc>
      </w:tr>
      <w:tr>
        <w:trPr>
          <w:trHeight w:val="426"/>
        </w:trPr>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632</w:t>
            </w:r>
          </w:p>
        </w:tc>
        <w:tc>
          <w:tcPr>
            <w:tcW w:w="4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669</w:t>
            </w:r>
          </w:p>
        </w:tc>
        <w:tc>
          <w:tcPr>
            <w:tcW w:w="320" w:type="dxa"/>
            <w:vAlign w:val="bottom"/>
          </w:tcPr>
          <w:p>
            <w:pPr>
              <w:spacing w:after="0"/>
              <w:rPr>
                <w:sz w:val="24"/>
                <w:szCs w:val="24"/>
                <w:color w:val="auto"/>
              </w:rPr>
            </w:pPr>
          </w:p>
        </w:tc>
        <w:tc>
          <w:tcPr>
            <w:tcW w:w="720" w:type="dxa"/>
            <w:vAlign w:val="bottom"/>
          </w:tcPr>
          <w:p>
            <w:pPr>
              <w:jc w:val="right"/>
              <w:ind w:right="176"/>
              <w:spacing w:after="0"/>
              <w:rPr>
                <w:sz w:val="20"/>
                <w:szCs w:val="20"/>
                <w:color w:val="auto"/>
              </w:rPr>
            </w:pPr>
            <w:r>
              <w:rPr>
                <w:rFonts w:ascii="Arial" w:cs="Arial" w:eastAsia="Arial" w:hAnsi="Arial"/>
                <w:sz w:val="18"/>
                <w:szCs w:val="18"/>
                <w:color w:val="auto"/>
              </w:rPr>
              <w:t>(37)</w:t>
            </w:r>
          </w:p>
        </w:tc>
        <w:tc>
          <w:tcPr>
            <w:tcW w:w="600" w:type="dxa"/>
            <w:vAlign w:val="bottom"/>
          </w:tcPr>
          <w:p>
            <w:pPr>
              <w:jc w:val="right"/>
              <w:ind w:right="114"/>
              <w:spacing w:after="0"/>
              <w:rPr>
                <w:sz w:val="20"/>
                <w:szCs w:val="20"/>
                <w:color w:val="auto"/>
              </w:rPr>
            </w:pPr>
            <w:r>
              <w:rPr>
                <w:rFonts w:ascii="Arial" w:cs="Arial" w:eastAsia="Arial" w:hAnsi="Arial"/>
                <w:sz w:val="18"/>
                <w:szCs w:val="18"/>
                <w:color w:val="auto"/>
              </w:rPr>
              <w:t>5.5</w:t>
            </w:r>
          </w:p>
        </w:tc>
      </w:tr>
      <w:tr>
        <w:trPr>
          <w:trHeight w:val="222"/>
        </w:trPr>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611</w:t>
            </w:r>
          </w:p>
        </w:tc>
        <w:tc>
          <w:tcPr>
            <w:tcW w:w="4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599</w:t>
            </w:r>
          </w:p>
        </w:tc>
        <w:tc>
          <w:tcPr>
            <w:tcW w:w="320" w:type="dxa"/>
            <w:vAlign w:val="bottom"/>
          </w:tcPr>
          <w:p>
            <w:pPr>
              <w:spacing w:after="0"/>
              <w:rPr>
                <w:sz w:val="19"/>
                <w:szCs w:val="19"/>
                <w:color w:val="auto"/>
              </w:rPr>
            </w:pPr>
          </w:p>
        </w:tc>
        <w:tc>
          <w:tcPr>
            <w:tcW w:w="720" w:type="dxa"/>
            <w:vAlign w:val="bottom"/>
          </w:tcPr>
          <w:p>
            <w:pPr>
              <w:jc w:val="right"/>
              <w:ind w:right="236"/>
              <w:spacing w:after="0"/>
              <w:rPr>
                <w:sz w:val="20"/>
                <w:szCs w:val="20"/>
                <w:color w:val="auto"/>
              </w:rPr>
            </w:pPr>
            <w:r>
              <w:rPr>
                <w:rFonts w:ascii="Arial" w:cs="Arial" w:eastAsia="Arial" w:hAnsi="Arial"/>
                <w:sz w:val="18"/>
                <w:szCs w:val="18"/>
                <w:color w:val="auto"/>
              </w:rPr>
              <w:t>12</w:t>
            </w:r>
          </w:p>
        </w:tc>
        <w:tc>
          <w:tcPr>
            <w:tcW w:w="600" w:type="dxa"/>
            <w:vAlign w:val="bottom"/>
          </w:tcPr>
          <w:p>
            <w:pPr>
              <w:jc w:val="right"/>
              <w:ind w:right="114"/>
              <w:spacing w:after="0"/>
              <w:rPr>
                <w:sz w:val="20"/>
                <w:szCs w:val="20"/>
                <w:color w:val="auto"/>
              </w:rPr>
            </w:pPr>
            <w:r>
              <w:rPr>
                <w:rFonts w:ascii="Arial" w:cs="Arial" w:eastAsia="Arial" w:hAnsi="Arial"/>
                <w:sz w:val="18"/>
                <w:szCs w:val="18"/>
                <w:color w:val="auto"/>
              </w:rPr>
              <w:t>2.0</w:t>
            </w:r>
          </w:p>
        </w:tc>
      </w:tr>
      <w:tr>
        <w:trPr>
          <w:trHeight w:val="110"/>
        </w:trPr>
        <w:tc>
          <w:tcPr>
            <w:tcW w:w="1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r>
      <w:tr>
        <w:trPr>
          <w:trHeight w:val="316"/>
        </w:trPr>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2,357</w:t>
            </w:r>
          </w:p>
        </w:tc>
        <w:tc>
          <w:tcPr>
            <w:tcW w:w="4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2,891</w:t>
            </w:r>
          </w:p>
        </w:tc>
        <w:tc>
          <w:tcPr>
            <w:tcW w:w="320" w:type="dxa"/>
            <w:vAlign w:val="bottom"/>
          </w:tcPr>
          <w:p>
            <w:pPr>
              <w:spacing w:after="0"/>
              <w:rPr>
                <w:sz w:val="24"/>
                <w:szCs w:val="24"/>
                <w:color w:val="auto"/>
              </w:rPr>
            </w:pPr>
          </w:p>
        </w:tc>
        <w:tc>
          <w:tcPr>
            <w:tcW w:w="720" w:type="dxa"/>
            <w:vAlign w:val="bottom"/>
          </w:tcPr>
          <w:p>
            <w:pPr>
              <w:jc w:val="right"/>
              <w:ind w:right="176"/>
              <w:spacing w:after="0"/>
              <w:rPr>
                <w:sz w:val="20"/>
                <w:szCs w:val="20"/>
                <w:color w:val="auto"/>
              </w:rPr>
            </w:pPr>
            <w:r>
              <w:rPr>
                <w:rFonts w:ascii="Arial" w:cs="Arial" w:eastAsia="Arial" w:hAnsi="Arial"/>
                <w:sz w:val="18"/>
                <w:szCs w:val="18"/>
                <w:color w:val="auto"/>
              </w:rPr>
              <w:t>(534)</w:t>
            </w:r>
          </w:p>
        </w:tc>
        <w:tc>
          <w:tcPr>
            <w:tcW w:w="600" w:type="dxa"/>
            <w:vAlign w:val="bottom"/>
          </w:tcPr>
          <w:p>
            <w:pPr>
              <w:jc w:val="right"/>
              <w:ind w:right="54"/>
              <w:spacing w:after="0"/>
              <w:rPr>
                <w:sz w:val="20"/>
                <w:szCs w:val="20"/>
                <w:color w:val="auto"/>
              </w:rPr>
            </w:pPr>
            <w:r>
              <w:rPr>
                <w:rFonts w:ascii="Arial" w:cs="Arial" w:eastAsia="Arial" w:hAnsi="Arial"/>
                <w:sz w:val="18"/>
                <w:szCs w:val="18"/>
                <w:color w:val="auto"/>
                <w:w w:val="93"/>
              </w:rPr>
              <w:t>(18.5)</w:t>
            </w:r>
          </w:p>
        </w:tc>
      </w:tr>
      <w:tr>
        <w:trPr>
          <w:trHeight w:val="110"/>
        </w:trPr>
        <w:tc>
          <w:tcPr>
            <w:tcW w:w="1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r>
      <w:tr>
        <w:trPr>
          <w:trHeight w:val="316"/>
        </w:trPr>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2,034</w:t>
            </w:r>
          </w:p>
        </w:tc>
        <w:tc>
          <w:tcPr>
            <w:tcW w:w="4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1,231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6"/>
              <w:spacing w:after="0"/>
              <w:rPr>
                <w:sz w:val="20"/>
                <w:szCs w:val="20"/>
                <w:color w:val="auto"/>
              </w:rPr>
            </w:pPr>
            <w:r>
              <w:rPr>
                <w:rFonts w:ascii="Arial" w:cs="Arial" w:eastAsia="Arial" w:hAnsi="Arial"/>
                <w:sz w:val="18"/>
                <w:szCs w:val="18"/>
                <w:color w:val="auto"/>
              </w:rPr>
              <w:t>803</w:t>
            </w:r>
          </w:p>
        </w:tc>
        <w:tc>
          <w:tcPr>
            <w:tcW w:w="600" w:type="dxa"/>
            <w:vAlign w:val="bottom"/>
          </w:tcPr>
          <w:p>
            <w:pPr>
              <w:jc w:val="right"/>
              <w:ind w:right="114"/>
              <w:spacing w:after="0"/>
              <w:rPr>
                <w:sz w:val="20"/>
                <w:szCs w:val="20"/>
                <w:color w:val="auto"/>
              </w:rPr>
            </w:pPr>
            <w:r>
              <w:rPr>
                <w:rFonts w:ascii="Arial" w:cs="Arial" w:eastAsia="Arial" w:hAnsi="Arial"/>
                <w:sz w:val="18"/>
                <w:szCs w:val="18"/>
                <w:color w:val="auto"/>
              </w:rPr>
              <w:t>65.2</w:t>
            </w:r>
          </w:p>
        </w:tc>
      </w:tr>
      <w:tr>
        <w:trPr>
          <w:trHeight w:val="120"/>
        </w:trPr>
        <w:tc>
          <w:tcPr>
            <w:tcW w:w="1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106680</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466725</wp:posOffset>
            </wp:positionH>
            <wp:positionV relativeFrom="paragraph">
              <wp:posOffset>-14605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621030</wp:posOffset>
            </wp:positionH>
            <wp:positionV relativeFrom="paragraph">
              <wp:posOffset>-14605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723900</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1083945</wp:posOffset>
            </wp:positionH>
            <wp:positionV relativeFrom="paragraph">
              <wp:posOffset>-14605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1186815</wp:posOffset>
            </wp:positionH>
            <wp:positionV relativeFrom="paragraph">
              <wp:posOffset>-14605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-14605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1547495</wp:posOffset>
            </wp:positionH>
            <wp:positionV relativeFrom="paragraph">
              <wp:posOffset>-14605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1701800</wp:posOffset>
            </wp:positionH>
            <wp:positionV relativeFrom="paragraph">
              <wp:posOffset>-14605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1753235</wp:posOffset>
            </wp:positionH>
            <wp:positionV relativeFrom="paragraph">
              <wp:posOffset>-14605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-14605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2010410</wp:posOffset>
            </wp:positionH>
            <wp:positionV relativeFrom="paragraph">
              <wp:posOffset>-14605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60" w:space="320"/>
            <w:col w:w="5439"/>
          </w:cols>
          <w:pgMar w:left="240" w:top="584" w:right="1440" w:bottom="1440" w:gutter="0" w:footer="0" w:header="0"/>
        </w:sectPr>
      </w:pPr>
    </w:p>
    <w:p>
      <w:pPr>
        <w:spacing w:after="0" w:line="113" w:lineRule="exact"/>
        <w:rPr>
          <w:sz w:val="20"/>
          <w:szCs w:val="20"/>
          <w:color w:val="auto"/>
        </w:rPr>
      </w:pPr>
    </w:p>
    <w:p>
      <w:pPr>
        <w:ind w:right="2179"/>
        <w:spacing w:after="0" w:line="290" w:lineRule="auto"/>
        <w:rPr>
          <w:sz w:val="20"/>
          <w:szCs w:val="20"/>
          <w:color w:val="auto"/>
        </w:rPr>
      </w:pPr>
      <w:r>
        <w:rPr>
          <w:rFonts w:ascii="Arial" w:cs="Arial" w:eastAsia="Arial" w:hAnsi="Arial"/>
          <w:sz w:val="16"/>
          <w:szCs w:val="16"/>
          <w:color w:val="auto"/>
        </w:rPr>
        <w:t>The results for the years ended December 31, 2004 and 2003 have been restated to reflect the correction of certain errors in the Company’s accounting for operating leases. See Note 2 to the consolidated financial statements appearing elsewhere in this report for additional information. The effect of these restatements on the Mobile segment’s operating income for the years ended December 31, 2004 and 2003 was to increase tower lease revenue non-affiliate by $20 thousand and $44 thousand, respectively, to increase cost of goods and services by $171 thousand and $164 thousand, respectively and to decrease segment operating income by $151 thousand and $120 thousand,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31" w:lineRule="exact"/>
        <w:rPr>
          <w:sz w:val="20"/>
          <w:szCs w:val="20"/>
          <w:color w:val="auto"/>
        </w:rPr>
      </w:pPr>
    </w:p>
    <w:p>
      <w:pPr>
        <w:ind w:right="2439"/>
        <w:spacing w:after="0" w:line="332" w:lineRule="auto"/>
        <w:rPr>
          <w:sz w:val="20"/>
          <w:szCs w:val="20"/>
          <w:color w:val="auto"/>
        </w:rPr>
      </w:pPr>
      <w:r>
        <w:rPr>
          <w:rFonts w:ascii="Arial" w:cs="Arial" w:eastAsia="Arial" w:hAnsi="Arial"/>
          <w:sz w:val="16"/>
          <w:szCs w:val="16"/>
          <w:color w:val="auto"/>
        </w:rPr>
        <w:t>Operating revenues increased due to additional towers sites being leased by third parties, somewhat offset by a continued decline in other revenue, primarily due to the decline of paging revenue.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and services</w:t>
      </w:r>
    </w:p>
    <w:p>
      <w:pPr>
        <w:spacing w:after="0" w:line="231" w:lineRule="exact"/>
        <w:rPr>
          <w:sz w:val="20"/>
          <w:szCs w:val="20"/>
          <w:color w:val="auto"/>
        </w:rPr>
      </w:pPr>
    </w:p>
    <w:p>
      <w:pPr>
        <w:ind w:right="2139"/>
        <w:spacing w:after="0" w:line="256" w:lineRule="auto"/>
        <w:rPr>
          <w:sz w:val="20"/>
          <w:szCs w:val="20"/>
          <w:color w:val="auto"/>
        </w:rPr>
      </w:pPr>
      <w:r>
        <w:rPr>
          <w:rFonts w:ascii="Arial" w:cs="Arial" w:eastAsia="Arial" w:hAnsi="Arial"/>
          <w:sz w:val="18"/>
          <w:szCs w:val="18"/>
          <w:color w:val="auto"/>
        </w:rPr>
        <w:t>Cost of goods and services decreased in 2004 by $0.5 million, or 31.4% due primarily to a $0.2 million decrease in maintenance and repairs as routine tower inspections performed in 2003 were not required in 2004. In addition, the Company received $0.2 million in credits from Verizon during 2004 related to the paging operations covering the period 2000 through 2004.</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31" w:lineRule="exact"/>
        <w:rPr>
          <w:sz w:val="20"/>
          <w:szCs w:val="20"/>
          <w:color w:val="auto"/>
        </w:rPr>
      </w:pPr>
    </w:p>
    <w:p>
      <w:pPr>
        <w:ind w:right="2139"/>
        <w:spacing w:after="0" w:line="252" w:lineRule="auto"/>
        <w:rPr>
          <w:sz w:val="20"/>
          <w:szCs w:val="20"/>
          <w:color w:val="auto"/>
        </w:rPr>
      </w:pPr>
      <w:r>
        <w:rPr>
          <w:rFonts w:ascii="Arial" w:cs="Arial" w:eastAsia="Arial" w:hAnsi="Arial"/>
          <w:sz w:val="18"/>
          <w:szCs w:val="18"/>
          <w:color w:val="auto"/>
        </w:rPr>
        <w:t>The Company invested $2.0 million in the Virginia 10 RSA limited partnership in the early 1990’s. The partnership’s local customer base peaked in early 2000 with nearly 12,000 subscribers, then steadily declined to 6,700 by December 31, 2002. The decline was the result of competition with digital technologies and increased competition from national carriers. As a result of the decline in the subscriber base, and the need for extensive capital expenditures to transform the analog network into a digital cellular network, the Company elected to sell its 66% interest in the partnership to Verizon Wireless, one of the minority partners. The agreement was signed in November 2002, and the sale closing occurred on February 28, 2003. The Company’s portion of the net income from its operations for 2003 was $1.2 million. There was no net income or loss from discontinued operations in 2004.</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31" w:lineRule="exact"/>
        <w:rPr>
          <w:sz w:val="20"/>
          <w:szCs w:val="20"/>
          <w:color w:val="auto"/>
        </w:rPr>
      </w:pPr>
    </w:p>
    <w:p>
      <w:pPr>
        <w:ind w:right="2119"/>
        <w:spacing w:after="0" w:line="298" w:lineRule="auto"/>
        <w:rPr>
          <w:sz w:val="20"/>
          <w:szCs w:val="20"/>
          <w:color w:val="auto"/>
        </w:rPr>
      </w:pPr>
      <w:r>
        <w:rPr>
          <w:rFonts w:ascii="Arial" w:cs="Arial" w:eastAsia="Arial" w:hAnsi="Arial"/>
          <w:sz w:val="16"/>
          <w:szCs w:val="16"/>
          <w:color w:val="auto"/>
        </w:rPr>
        <w:t>The Company has four principal sources of funds available to meet the financing needs of its operations, capital projects, debt service, investments and potential dividends. These sources include cash flows from operations, cash and cash equivalents, the liquidation of investments and borrowings. Management routinely considers the alternatives available to determine what mix of sources are best suited for the long-term benefit of the Company.</w:t>
      </w:r>
    </w:p>
    <w:p>
      <w:pPr>
        <w:sectPr>
          <w:pgSz w:w="11900" w:h="16838" w:orient="portrait"/>
          <w:cols w:equalWidth="0" w:num="1">
            <w:col w:w="10219"/>
          </w:cols>
          <w:pgMar w:left="240" w:top="584" w:right="1440" w:bottom="1440" w:gutter="0" w:footer="0" w:header="0"/>
          <w:type w:val="continuous"/>
        </w:sectPr>
      </w:pPr>
    </w:p>
    <w:p>
      <w:pPr>
        <w:spacing w:after="0" w:line="167"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5166995" cy="469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type w:val="continuous"/>
        </w:sectPr>
      </w:pPr>
    </w:p>
    <w:bookmarkStart w:id="58" w:name="page59"/>
    <w:bookmarkEnd w:id="58"/>
    <w:p>
      <w:pPr>
        <w:ind w:right="2319"/>
        <w:spacing w:after="0" w:line="255" w:lineRule="auto"/>
        <w:rPr>
          <w:sz w:val="20"/>
          <w:szCs w:val="20"/>
          <w:color w:val="auto"/>
        </w:rPr>
      </w:pPr>
      <w:r>
        <w:rPr>
          <w:rFonts w:ascii="Arial" w:cs="Arial" w:eastAsia="Arial" w:hAnsi="Arial"/>
          <w:sz w:val="18"/>
          <w:szCs w:val="18"/>
          <w:i w:val="1"/>
          <w:iCs w:val="1"/>
          <w:color w:val="auto"/>
        </w:rPr>
        <w:t>Sources and Uses of Cash</w:t>
      </w:r>
      <w:r>
        <w:rPr>
          <w:rFonts w:ascii="Arial" w:cs="Arial" w:eastAsia="Arial" w:hAnsi="Arial"/>
          <w:sz w:val="18"/>
          <w:szCs w:val="18"/>
          <w:color w:val="auto"/>
        </w:rPr>
        <w:t>. The Company generated $32.2 million of net cash from operations in 2005, a $2.2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decrease from $34.4 million generated in 2004. The primary changes in cash from operations was a $3.4 million increase in non-cash depreciation and amortization offset by a $7.3 million change in deferred taxes. In 2003, operations generated $30.6 million of cash, primarily the result of net income, non-cash depreciation and amortization and deferred taxes.</w:t>
      </w:r>
    </w:p>
    <w:p>
      <w:pPr>
        <w:spacing w:after="0" w:line="197" w:lineRule="exact"/>
        <w:rPr>
          <w:sz w:val="20"/>
          <w:szCs w:val="20"/>
          <w:color w:val="auto"/>
        </w:rPr>
      </w:pPr>
    </w:p>
    <w:p>
      <w:pPr>
        <w:ind w:right="2119"/>
        <w:spacing w:after="0" w:line="294" w:lineRule="auto"/>
        <w:rPr>
          <w:sz w:val="20"/>
          <w:szCs w:val="20"/>
          <w:color w:val="auto"/>
        </w:rPr>
      </w:pPr>
      <w:r>
        <w:rPr>
          <w:rFonts w:ascii="Arial" w:cs="Arial" w:eastAsia="Arial" w:hAnsi="Arial"/>
          <w:sz w:val="16"/>
          <w:szCs w:val="16"/>
          <w:color w:val="auto"/>
        </w:rPr>
        <w:t>In 2005, the Company used $30.1 million in investing activities, primarily for the purchase and construction of plant and equipment for the operation of the Company’s businesses. This is $13.4 million lower than 2004 spending of $43.5 million, which included $34.1 million for the purchase and construction of plant and equipment and $9.2 million used to purchase 83.9% of the NTC operation. In 2003, the capital spending was lower due in part to management’s focus on selling the Virginia 10 RSA, and due to concerns about PCS profitability.</w:t>
      </w:r>
    </w:p>
    <w:p>
      <w:pPr>
        <w:spacing w:after="0" w:line="170" w:lineRule="exact"/>
        <w:rPr>
          <w:sz w:val="20"/>
          <w:szCs w:val="20"/>
          <w:color w:val="auto"/>
        </w:rPr>
      </w:pPr>
    </w:p>
    <w:p>
      <w:pPr>
        <w:ind w:right="2159"/>
        <w:spacing w:after="0" w:line="288" w:lineRule="auto"/>
        <w:rPr>
          <w:sz w:val="20"/>
          <w:szCs w:val="20"/>
          <w:color w:val="auto"/>
        </w:rPr>
      </w:pPr>
      <w:r>
        <w:rPr>
          <w:rFonts w:ascii="Arial" w:cs="Arial" w:eastAsia="Arial" w:hAnsi="Arial"/>
          <w:sz w:val="16"/>
          <w:szCs w:val="16"/>
          <w:color w:val="auto"/>
        </w:rPr>
        <w:t>Net cash used in financing was $18.7 million in 2005, compared to a net $5.4 million in 2004. In 2005, the Company made an unscheduled payment on the revolving debt facility of $12 million, in addition to the scheduled principal payments of $4.4 million on the term debt facilities. The dividend increased by $0.3 million. In 2005, the Company received $1.2 million in cash for the exercise of incentive stock options, an increase of $0.6 million over 2004. In 2004, the Company secured the CoBank revolver facility to purchase NTC. The Company borrowed $13.1 million for the purchase and to pay off the acquired debt, in addition to funding the scheduled debt payments. In 2003, the Company made an accelerated payment on certain portions of its long-term debt, in addition to the scheduled debt payments to reduce the debt balance, as a result of the cash generated from the sale of the Virginia 10 RSA limited partnership interest.</w:t>
      </w:r>
    </w:p>
    <w:p>
      <w:pPr>
        <w:spacing w:after="0" w:line="174" w:lineRule="exact"/>
        <w:rPr>
          <w:sz w:val="20"/>
          <w:szCs w:val="20"/>
          <w:color w:val="auto"/>
        </w:rPr>
      </w:pPr>
    </w:p>
    <w:p>
      <w:pPr>
        <w:ind w:right="2219"/>
        <w:spacing w:after="0" w:line="268" w:lineRule="auto"/>
        <w:rPr>
          <w:sz w:val="20"/>
          <w:szCs w:val="20"/>
          <w:color w:val="auto"/>
        </w:rPr>
      </w:pPr>
      <w:r>
        <w:rPr>
          <w:rFonts w:ascii="Arial" w:cs="Arial" w:eastAsia="Arial" w:hAnsi="Arial"/>
          <w:sz w:val="18"/>
          <w:szCs w:val="18"/>
          <w:color w:val="auto"/>
        </w:rPr>
        <w:t>Discontinued operations generated cash of $5.0 million in 2005, the result of the settlement of the escrow account established in 2003, in the sale of the Virginia 10 RSA Cellular Partnership interest.</w:t>
      </w:r>
    </w:p>
    <w:p>
      <w:pPr>
        <w:spacing w:after="0" w:line="186" w:lineRule="exact"/>
        <w:rPr>
          <w:sz w:val="20"/>
          <w:szCs w:val="20"/>
          <w:color w:val="auto"/>
        </w:rPr>
      </w:pPr>
    </w:p>
    <w:p>
      <w:pPr>
        <w:ind w:right="2099"/>
        <w:spacing w:after="0" w:line="268" w:lineRule="auto"/>
        <w:rPr>
          <w:sz w:val="20"/>
          <w:szCs w:val="20"/>
          <w:color w:val="auto"/>
        </w:rPr>
      </w:pPr>
      <w:r>
        <w:rPr>
          <w:rFonts w:ascii="Arial" w:cs="Arial" w:eastAsia="Arial" w:hAnsi="Arial"/>
          <w:sz w:val="18"/>
          <w:szCs w:val="18"/>
          <w:i w:val="1"/>
          <w:iCs w:val="1"/>
          <w:color w:val="auto"/>
        </w:rPr>
        <w:t xml:space="preserve">Indebtedness. </w:t>
      </w:r>
      <w:r>
        <w:rPr>
          <w:rFonts w:ascii="Arial" w:cs="Arial" w:eastAsia="Arial" w:hAnsi="Arial"/>
          <w:sz w:val="18"/>
          <w:szCs w:val="18"/>
          <w:color w:val="auto"/>
        </w:rPr>
        <w:t>At December 31, 2005, the Company’s indebtedness totaled $35.9 million and the annualized overall</w:t>
      </w:r>
      <w:r>
        <w:rPr>
          <w:rFonts w:ascii="Arial" w:cs="Arial" w:eastAsia="Arial" w:hAnsi="Arial"/>
          <w:sz w:val="18"/>
          <w:szCs w:val="18"/>
          <w:i w:val="1"/>
          <w:iCs w:val="1"/>
          <w:color w:val="auto"/>
        </w:rPr>
        <w:t xml:space="preserve"> </w:t>
      </w:r>
      <w:r>
        <w:rPr>
          <w:rFonts w:ascii="Arial" w:cs="Arial" w:eastAsia="Arial" w:hAnsi="Arial"/>
          <w:sz w:val="18"/>
          <w:szCs w:val="18"/>
          <w:color w:val="auto"/>
        </w:rPr>
        <w:t>weighted average rate of such indebtedness was approximately 7.4%.</w:t>
      </w:r>
    </w:p>
    <w:p>
      <w:pPr>
        <w:spacing w:after="0" w:line="186" w:lineRule="exact"/>
        <w:rPr>
          <w:sz w:val="20"/>
          <w:szCs w:val="20"/>
          <w:color w:val="auto"/>
        </w:rPr>
      </w:pPr>
    </w:p>
    <w:p>
      <w:pPr>
        <w:ind w:right="2139"/>
        <w:spacing w:after="0" w:line="286" w:lineRule="auto"/>
        <w:rPr>
          <w:sz w:val="20"/>
          <w:szCs w:val="20"/>
          <w:color w:val="auto"/>
        </w:rPr>
      </w:pPr>
      <w:r>
        <w:rPr>
          <w:rFonts w:ascii="Arial" w:cs="Arial" w:eastAsia="Arial" w:hAnsi="Arial"/>
          <w:sz w:val="16"/>
          <w:szCs w:val="16"/>
          <w:color w:val="auto"/>
        </w:rPr>
        <w:t>On November 30, 2004, the Company amended the terms of its Master Loan Agreement with CoBank, ACB to provide for a $15 million revolving reducing credit facility. Under the terms of the amended credit facility, the Company was able to borrow up to $15 million for use in connection with the acquisition of NTC Communications LLC and other corporate purposes. The revolving credit facility has a 12-year term with scheduled quarterly payments beginning June 2006. Borrowings under the facility accrue interest at an adjustable rate that can be converted to a fixed rate at the Company’s option. As of December 31, 2005, interest accrued on outstanding borrowings at an annual rate of 5.96%. Repayment of the revolving credit facility is secured by a pledge of the stock of all of the subsidiaries of the Company and all of the outstanding membership interests in NTC. In May 2005, the Company made an unscheduled $12.0 million payment on the revolving debt facility, from funds invested in short-term cash investments, to reduce interest expense. At December 31, 2005, $1.2 million was outstanding under this facility.</w:t>
      </w:r>
    </w:p>
    <w:p>
      <w:pPr>
        <w:spacing w:after="0" w:line="181" w:lineRule="exact"/>
        <w:rPr>
          <w:sz w:val="20"/>
          <w:szCs w:val="20"/>
          <w:color w:val="auto"/>
        </w:rPr>
      </w:pPr>
    </w:p>
    <w:p>
      <w:pPr>
        <w:ind w:right="2179"/>
        <w:spacing w:after="0" w:line="291" w:lineRule="auto"/>
        <w:rPr>
          <w:sz w:val="20"/>
          <w:szCs w:val="20"/>
          <w:color w:val="auto"/>
        </w:rPr>
      </w:pPr>
      <w:r>
        <w:rPr>
          <w:rFonts w:ascii="Arial" w:cs="Arial" w:eastAsia="Arial" w:hAnsi="Arial"/>
          <w:sz w:val="16"/>
          <w:szCs w:val="16"/>
          <w:color w:val="auto"/>
        </w:rPr>
        <w:t>The outstanding balance of the CoBank term loan is $29.8 million at December 31, 2005, all of which is at fixed rates ranging from approximately 6.67% to 8.05%. The stated rate excluded patronage credits that are received from CoBank. These patronage credits are a distribution of profits from CoBank, which is a cooperative required to distribute its profits to its members. During the first quarter of 2005 and 2004, the Company received patronage credits of approximately 100 and 81 basis points, respectively, on its outstanding CoBank debt balance. The CoBank term facility matures in 2013 and requires monthly payments of $332 thousand plus interest.</w:t>
      </w:r>
    </w:p>
    <w:p>
      <w:pPr>
        <w:spacing w:after="0" w:line="174" w:lineRule="exact"/>
        <w:rPr>
          <w:sz w:val="20"/>
          <w:szCs w:val="20"/>
          <w:color w:val="auto"/>
        </w:rPr>
      </w:pPr>
    </w:p>
    <w:p>
      <w:pPr>
        <w:ind w:right="2179"/>
        <w:spacing w:after="0" w:line="294" w:lineRule="auto"/>
        <w:rPr>
          <w:sz w:val="20"/>
          <w:szCs w:val="20"/>
          <w:color w:val="auto"/>
        </w:rPr>
      </w:pPr>
      <w:r>
        <w:rPr>
          <w:rFonts w:ascii="Arial" w:cs="Arial" w:eastAsia="Arial" w:hAnsi="Arial"/>
          <w:sz w:val="16"/>
          <w:szCs w:val="16"/>
          <w:color w:val="auto"/>
        </w:rPr>
        <w:t>The CoBank loan agreements have three financial covenants that are measured on a trailing 12-month basis and are calculated on continuing operations. At December 31, 2005, the ratio of total debt to operating cash flow, which must be 2.5 or lower, was 0.8; the equity to total assets ratio, which must be 35% or higher, was 59.3%; and the ratio of operating cash flow to scheduled debt service, which must exceed 2.0, was 5.0. The Company was in compliance with all other covenants related to its debt agreements at December 31, 2005.</w:t>
      </w:r>
    </w:p>
    <w:p>
      <w:pPr>
        <w:spacing w:after="0" w:line="170" w:lineRule="exact"/>
        <w:rPr>
          <w:sz w:val="20"/>
          <w:szCs w:val="20"/>
          <w:color w:val="auto"/>
        </w:rPr>
      </w:pPr>
    </w:p>
    <w:p>
      <w:pPr>
        <w:ind w:right="2139"/>
        <w:spacing w:after="0" w:line="294" w:lineRule="auto"/>
        <w:rPr>
          <w:sz w:val="20"/>
          <w:szCs w:val="20"/>
          <w:color w:val="auto"/>
        </w:rPr>
      </w:pPr>
      <w:r>
        <w:rPr>
          <w:rFonts w:ascii="Arial" w:cs="Arial" w:eastAsia="Arial" w:hAnsi="Arial"/>
          <w:sz w:val="16"/>
          <w:szCs w:val="16"/>
          <w:color w:val="auto"/>
        </w:rPr>
        <w:t>As of December 31, 2005, the Company had loans from the Rural Telephone Bank and the Rural Utilities Service totaling $4.7 million at fixed rates ranging from 5.0% to 6.0%. The RTB loans require monthly payments of $67 thousand including interest. RUS loans require quarterly payments of $4 thousand including interest. The RUS and RTB loans have maturities through 2019. The Company’s covenants on the RUS/RTB debt require the pledge of all current and future assets of the telephone subsidiary until the debt is retired.</w:t>
      </w:r>
    </w:p>
    <w:p>
      <w:pPr>
        <w:sectPr>
          <w:pgSz w:w="11900" w:h="16838" w:orient="portrait"/>
          <w:cols w:equalWidth="0" w:num="1">
            <w:col w:w="10219"/>
          </w:cols>
          <w:pgMar w:left="240" w:top="590" w:right="1440" w:bottom="1440" w:gutter="0" w:footer="0" w:header="0"/>
        </w:sectPr>
      </w:pPr>
    </w:p>
    <w:p>
      <w:pPr>
        <w:spacing w:after="0" w:line="170"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5166995" cy="469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90" w:right="1440" w:bottom="1440" w:gutter="0" w:footer="0" w:header="0"/>
          <w:type w:val="continuous"/>
        </w:sectPr>
      </w:pPr>
    </w:p>
    <w:bookmarkStart w:id="59" w:name="page60"/>
    <w:bookmarkEnd w:id="59"/>
    <w:p>
      <w:pPr>
        <w:ind w:right="2139"/>
        <w:spacing w:after="0" w:line="294" w:lineRule="auto"/>
        <w:rPr>
          <w:sz w:val="20"/>
          <w:szCs w:val="20"/>
          <w:color w:val="auto"/>
        </w:rPr>
      </w:pPr>
      <w:r>
        <w:rPr>
          <w:rFonts w:ascii="Arial" w:cs="Arial" w:eastAsia="Arial" w:hAnsi="Arial"/>
          <w:sz w:val="16"/>
          <w:szCs w:val="16"/>
          <w:color w:val="auto"/>
        </w:rPr>
        <w:t>On August 4, 2005, the board of directors of the Rural Telephone Bank adopted resolutions for the purpose of dissolving RTB as of October 1, 2005. The Company holds 10,821,770 shares of Class B and Class C RTB Common Stock ($1.00 par value) which is reflected on the Company’s books at $796,000 under the cost method at December 31, 2005. In 2006, the Company will receive $11.3 million in proceeds, and recognize a gain of approximately $6.5 million, net of tax, related to the dissolution of the RTB, and the redemption of the stock.</w:t>
      </w:r>
    </w:p>
    <w:p>
      <w:pPr>
        <w:spacing w:after="0" w:line="170" w:lineRule="exact"/>
        <w:rPr>
          <w:sz w:val="20"/>
          <w:szCs w:val="20"/>
          <w:color w:val="auto"/>
        </w:rPr>
      </w:pPr>
    </w:p>
    <w:p>
      <w:pPr>
        <w:ind w:right="2099"/>
        <w:spacing w:after="0" w:line="298" w:lineRule="auto"/>
        <w:rPr>
          <w:sz w:val="20"/>
          <w:szCs w:val="20"/>
          <w:color w:val="auto"/>
        </w:rPr>
      </w:pPr>
      <w:r>
        <w:rPr>
          <w:rFonts w:ascii="Arial" w:cs="Arial" w:eastAsia="Arial" w:hAnsi="Arial"/>
          <w:sz w:val="16"/>
          <w:szCs w:val="16"/>
          <w:i w:val="1"/>
          <w:iCs w:val="1"/>
          <w:color w:val="auto"/>
        </w:rPr>
        <w:t xml:space="preserve">Contractual Commitments. </w:t>
      </w:r>
      <w:r>
        <w:rPr>
          <w:rFonts w:ascii="Arial" w:cs="Arial" w:eastAsia="Arial" w:hAnsi="Arial"/>
          <w:sz w:val="16"/>
          <w:szCs w:val="16"/>
          <w:color w:val="auto"/>
        </w:rPr>
        <w:t>The Company is obligated to make future payments under various contracts it has</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into, including amounts pursuant to its various long-term debt facilities, and non-cancelable operating lease agreements for retail space, tower space and cell sites. Expected future minimum contractual cash obligations for the next five years and in the aggregate at December 31, 2005, are as follows: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Payments due by periods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jc w:val="center"/>
              <w:ind w:left="12"/>
              <w:spacing w:after="0"/>
              <w:rPr>
                <w:sz w:val="20"/>
                <w:szCs w:val="20"/>
                <w:color w:val="auto"/>
              </w:rPr>
            </w:pPr>
            <w:r>
              <w:rPr>
                <w:rFonts w:ascii="Arial" w:cs="Arial" w:eastAsia="Arial" w:hAnsi="Arial"/>
                <w:sz w:val="14"/>
                <w:szCs w:val="14"/>
                <w:b w:val="1"/>
                <w:bCs w:val="1"/>
                <w:color w:val="auto"/>
                <w:w w:val="85"/>
              </w:rPr>
              <w:t>Less than 1</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4"/>
        </w:trPr>
        <w:tc>
          <w:tcPr>
            <w:tcW w:w="32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ind w:left="220"/>
              <w:spacing w:after="0"/>
              <w:rPr>
                <w:sz w:val="20"/>
                <w:szCs w:val="20"/>
                <w:color w:val="auto"/>
              </w:rPr>
            </w:pPr>
            <w:r>
              <w:rPr>
                <w:rFonts w:ascii="Arial" w:cs="Arial" w:eastAsia="Arial" w:hAnsi="Arial"/>
                <w:sz w:val="14"/>
                <w:szCs w:val="14"/>
                <w:b w:val="1"/>
                <w:bCs w:val="1"/>
                <w:color w:val="auto"/>
              </w:rPr>
              <w:t>Total</w:t>
            </w:r>
          </w:p>
        </w:tc>
        <w:tc>
          <w:tcPr>
            <w:tcW w:w="1100" w:type="dxa"/>
            <w:vAlign w:val="bottom"/>
          </w:tcPr>
          <w:p>
            <w:pPr>
              <w:jc w:val="center"/>
              <w:ind w:left="12"/>
              <w:spacing w:after="0"/>
              <w:rPr>
                <w:sz w:val="20"/>
                <w:szCs w:val="20"/>
                <w:color w:val="auto"/>
              </w:rPr>
            </w:pPr>
            <w:r>
              <w:rPr>
                <w:rFonts w:ascii="Arial" w:cs="Arial" w:eastAsia="Arial" w:hAnsi="Arial"/>
                <w:sz w:val="14"/>
                <w:szCs w:val="14"/>
                <w:b w:val="1"/>
                <w:bCs w:val="1"/>
                <w:color w:val="auto"/>
                <w:w w:val="90"/>
              </w:rPr>
              <w:t>year</w:t>
            </w:r>
          </w:p>
        </w:tc>
        <w:tc>
          <w:tcPr>
            <w:tcW w:w="920" w:type="dxa"/>
            <w:vAlign w:val="bottom"/>
          </w:tcPr>
          <w:p>
            <w:pPr>
              <w:ind w:left="200"/>
              <w:spacing w:after="0"/>
              <w:rPr>
                <w:sz w:val="20"/>
                <w:szCs w:val="20"/>
                <w:color w:val="auto"/>
              </w:rPr>
            </w:pPr>
            <w:r>
              <w:rPr>
                <w:rFonts w:ascii="Arial" w:cs="Arial" w:eastAsia="Arial" w:hAnsi="Arial"/>
                <w:sz w:val="14"/>
                <w:szCs w:val="14"/>
                <w:b w:val="1"/>
                <w:bCs w:val="1"/>
                <w:color w:val="auto"/>
              </w:rPr>
              <w:t>1-3 years</w:t>
            </w:r>
          </w:p>
        </w:tc>
        <w:tc>
          <w:tcPr>
            <w:tcW w:w="920" w:type="dxa"/>
            <w:vAlign w:val="bottom"/>
          </w:tcPr>
          <w:p>
            <w:pPr>
              <w:ind w:left="200"/>
              <w:spacing w:after="0"/>
              <w:rPr>
                <w:sz w:val="20"/>
                <w:szCs w:val="20"/>
                <w:color w:val="auto"/>
              </w:rPr>
            </w:pPr>
            <w:r>
              <w:rPr>
                <w:rFonts w:ascii="Arial" w:cs="Arial" w:eastAsia="Arial" w:hAnsi="Arial"/>
                <w:sz w:val="14"/>
                <w:szCs w:val="14"/>
                <w:b w:val="1"/>
                <w:bCs w:val="1"/>
                <w:color w:val="auto"/>
              </w:rPr>
              <w:t>4-5 years</w:t>
            </w:r>
          </w:p>
        </w:tc>
        <w:tc>
          <w:tcPr>
            <w:tcW w:w="1140" w:type="dxa"/>
            <w:vAlign w:val="bottom"/>
          </w:tcPr>
          <w:p>
            <w:pPr>
              <w:ind w:left="200"/>
              <w:spacing w:after="0"/>
              <w:rPr>
                <w:sz w:val="20"/>
                <w:szCs w:val="20"/>
                <w:color w:val="auto"/>
              </w:rPr>
            </w:pPr>
            <w:r>
              <w:rPr>
                <w:rFonts w:ascii="Arial" w:cs="Arial" w:eastAsia="Arial" w:hAnsi="Arial"/>
                <w:sz w:val="14"/>
                <w:szCs w:val="14"/>
                <w:b w:val="1"/>
                <w:bCs w:val="1"/>
                <w:color w:val="auto"/>
              </w:rPr>
              <w:t>After 5 years</w:t>
            </w:r>
          </w:p>
        </w:tc>
      </w:tr>
      <w:tr>
        <w:trPr>
          <w:trHeight w:val="95"/>
        </w:trPr>
        <w:tc>
          <w:tcPr>
            <w:tcW w:w="328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20" w:type="dxa"/>
            <w:vAlign w:val="bottom"/>
            <w:shd w:val="clear" w:color="auto" w:fill="EAF9E8"/>
          </w:tcPr>
          <w:p>
            <w:pPr>
              <w:spacing w:after="0"/>
              <w:rPr>
                <w:sz w:val="20"/>
                <w:szCs w:val="20"/>
                <w:color w:val="auto"/>
              </w:rPr>
            </w:pPr>
            <w:r>
              <w:rPr>
                <w:rFonts w:ascii="Arial" w:cs="Arial" w:eastAsia="Arial" w:hAnsi="Arial"/>
                <w:sz w:val="18"/>
                <w:szCs w:val="18"/>
                <w:color w:val="auto"/>
              </w:rPr>
              <w:t>Long-term debt principal</w:t>
            </w:r>
          </w:p>
        </w:tc>
        <w:tc>
          <w:tcPr>
            <w:tcW w:w="7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35,918</w:t>
            </w:r>
          </w:p>
        </w:tc>
        <w:tc>
          <w:tcPr>
            <w:tcW w:w="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4,526</w:t>
            </w:r>
          </w:p>
        </w:tc>
        <w:tc>
          <w:tcPr>
            <w:tcW w:w="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9,553</w:t>
            </w:r>
          </w:p>
        </w:tc>
        <w:tc>
          <w:tcPr>
            <w:tcW w:w="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8"/>
              </w:rPr>
              <w:t>10,309</w:t>
            </w:r>
          </w:p>
        </w:tc>
        <w:tc>
          <w:tcPr>
            <w:tcW w:w="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11,530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Interest on long –term debt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8,366</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2,293</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3,538</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2,049</w:t>
            </w:r>
          </w:p>
        </w:tc>
        <w:tc>
          <w:tcPr>
            <w:tcW w:w="40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20" w:type="dxa"/>
            <w:vAlign w:val="bottom"/>
            <w:shd w:val="clear" w:color="auto" w:fill="EAF9E8"/>
          </w:tcPr>
          <w:p>
            <w:pPr>
              <w:spacing w:after="0"/>
              <w:rPr>
                <w:sz w:val="20"/>
                <w:szCs w:val="20"/>
                <w:color w:val="auto"/>
              </w:rPr>
            </w:pPr>
            <w:r>
              <w:rPr>
                <w:rFonts w:ascii="Arial" w:cs="Arial" w:eastAsia="Arial" w:hAnsi="Arial"/>
                <w:sz w:val="18"/>
                <w:szCs w:val="18"/>
                <w:color w:val="auto"/>
              </w:rPr>
              <w:t>Retirement plan benefit</w:t>
            </w:r>
          </w:p>
        </w:tc>
        <w:tc>
          <w:tcPr>
            <w:tcW w:w="6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contributions/payments</w:t>
            </w:r>
          </w:p>
        </w:tc>
        <w:tc>
          <w:tcPr>
            <w:tcW w:w="6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825</w:t>
            </w:r>
          </w:p>
        </w:tc>
        <w:tc>
          <w:tcPr>
            <w:tcW w:w="340" w:type="dxa"/>
            <w:vAlign w:val="bottom"/>
            <w:shd w:val="clear" w:color="auto" w:fill="EAF9E8"/>
          </w:tcPr>
          <w:p>
            <w:pPr>
              <w:spacing w:after="0"/>
              <w:rPr>
                <w:sz w:val="19"/>
                <w:szCs w:val="19"/>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700</w:t>
            </w:r>
          </w:p>
        </w:tc>
        <w:tc>
          <w:tcPr>
            <w:tcW w:w="340" w:type="dxa"/>
            <w:vAlign w:val="bottom"/>
            <w:shd w:val="clear" w:color="auto" w:fill="EAF9E8"/>
          </w:tcPr>
          <w:p>
            <w:pPr>
              <w:spacing w:after="0"/>
              <w:rPr>
                <w:sz w:val="19"/>
                <w:szCs w:val="19"/>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19"/>
                <w:szCs w:val="19"/>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AF9E8"/>
          </w:tcPr>
          <w:p>
            <w:pPr>
              <w:spacing w:after="0"/>
              <w:rPr>
                <w:sz w:val="19"/>
                <w:szCs w:val="19"/>
                <w:color w:val="auto"/>
              </w:rPr>
            </w:pPr>
          </w:p>
        </w:tc>
        <w:tc>
          <w:tcPr>
            <w:tcW w:w="86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Operating leases (1)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48,822</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5,237</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10,447</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9,358</w:t>
            </w:r>
          </w:p>
        </w:tc>
        <w:tc>
          <w:tcPr>
            <w:tcW w:w="40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23,780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EAF9E8"/>
          </w:tcPr>
          <w:p>
            <w:pPr>
              <w:spacing w:after="0"/>
              <w:rPr>
                <w:sz w:val="20"/>
                <w:szCs w:val="20"/>
                <w:color w:val="auto"/>
              </w:rPr>
            </w:pPr>
            <w:r>
              <w:rPr>
                <w:rFonts w:ascii="Arial" w:cs="Arial" w:eastAsia="Arial" w:hAnsi="Arial"/>
                <w:sz w:val="18"/>
                <w:szCs w:val="18"/>
                <w:color w:val="auto"/>
              </w:rPr>
              <w:t>Capital calls on investments</w:t>
            </w:r>
          </w:p>
        </w:tc>
        <w:tc>
          <w:tcPr>
            <w:tcW w:w="6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692</w:t>
            </w:r>
          </w:p>
        </w:tc>
        <w:tc>
          <w:tcPr>
            <w:tcW w:w="340" w:type="dxa"/>
            <w:vAlign w:val="bottom"/>
            <w:shd w:val="clear" w:color="auto" w:fill="EAF9E8"/>
          </w:tcPr>
          <w:p>
            <w:pPr>
              <w:spacing w:after="0"/>
              <w:rPr>
                <w:sz w:val="18"/>
                <w:szCs w:val="18"/>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692</w:t>
            </w:r>
          </w:p>
        </w:tc>
        <w:tc>
          <w:tcPr>
            <w:tcW w:w="340" w:type="dxa"/>
            <w:vAlign w:val="bottom"/>
            <w:shd w:val="clear" w:color="auto" w:fill="EAF9E8"/>
          </w:tcPr>
          <w:p>
            <w:pPr>
              <w:spacing w:after="0"/>
              <w:rPr>
                <w:sz w:val="18"/>
                <w:szCs w:val="18"/>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18"/>
                <w:szCs w:val="18"/>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Purchase obligations (2)</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3,100</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3,100</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640" w:type="dxa"/>
            <w:vAlign w:val="bottom"/>
            <w:gridSpan w:val="2"/>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EAF9E8"/>
          </w:tcPr>
          <w:p>
            <w:pPr>
              <w:spacing w:after="0"/>
              <w:rPr>
                <w:sz w:val="20"/>
                <w:szCs w:val="20"/>
                <w:color w:val="auto"/>
              </w:rPr>
            </w:pPr>
            <w:r>
              <w:rPr>
                <w:rFonts w:ascii="Arial" w:cs="Arial" w:eastAsia="Arial" w:hAnsi="Arial"/>
                <w:sz w:val="18"/>
                <w:szCs w:val="18"/>
                <w:color w:val="auto"/>
              </w:rPr>
              <w:t>Total obligations</w:t>
            </w:r>
          </w:p>
        </w:tc>
        <w:tc>
          <w:tcPr>
            <w:tcW w:w="7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97,723</w:t>
            </w:r>
          </w:p>
        </w:tc>
        <w:tc>
          <w:tcPr>
            <w:tcW w:w="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16,548</w:t>
            </w:r>
          </w:p>
        </w:tc>
        <w:tc>
          <w:tcPr>
            <w:tcW w:w="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8"/>
              </w:rPr>
              <w:t>23,538</w:t>
            </w:r>
          </w:p>
        </w:tc>
        <w:tc>
          <w:tcPr>
            <w:tcW w:w="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8"/>
              </w:rPr>
              <w:t>21,716</w:t>
            </w:r>
          </w:p>
        </w:tc>
        <w:tc>
          <w:tcPr>
            <w:tcW w:w="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35,921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2087245</wp:posOffset>
            </wp:positionH>
            <wp:positionV relativeFrom="paragraph">
              <wp:posOffset>-14605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2146935</wp:posOffset>
            </wp:positionH>
            <wp:positionV relativeFrom="paragraph">
              <wp:posOffset>-14605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-14605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-14605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-14605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-14605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-14605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-14605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-14605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-14605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-14605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-14605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-14605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-14605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-14605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10464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20" w:right="2519" w:hanging="412"/>
        <w:spacing w:after="0" w:line="332" w:lineRule="auto"/>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Amounts include payments over reasonably assured renewals. See Note 14 to the consolidated financial statements appearing elsewhere in this report for additional information.</w:t>
      </w:r>
    </w:p>
    <w:p>
      <w:pPr>
        <w:spacing w:after="0" w:line="71" w:lineRule="exact"/>
        <w:rPr>
          <w:rFonts w:ascii="Arial" w:cs="Arial" w:eastAsia="Arial" w:hAnsi="Arial"/>
          <w:sz w:val="16"/>
          <w:szCs w:val="16"/>
          <w:color w:val="auto"/>
        </w:rPr>
      </w:pPr>
    </w:p>
    <w:p>
      <w:pPr>
        <w:ind w:left="420" w:hanging="412"/>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open purchase orders at December 31, 2005.</w:t>
      </w:r>
    </w:p>
    <w:p>
      <w:pPr>
        <w:spacing w:after="0" w:line="225" w:lineRule="exact"/>
        <w:rPr>
          <w:sz w:val="20"/>
          <w:szCs w:val="20"/>
          <w:color w:val="auto"/>
        </w:rPr>
      </w:pPr>
    </w:p>
    <w:p>
      <w:pPr>
        <w:ind w:right="2459"/>
        <w:spacing w:after="0" w:line="268" w:lineRule="auto"/>
        <w:rPr>
          <w:sz w:val="20"/>
          <w:szCs w:val="20"/>
          <w:color w:val="auto"/>
        </w:rPr>
      </w:pPr>
      <w:r>
        <w:rPr>
          <w:rFonts w:ascii="Arial" w:cs="Arial" w:eastAsia="Arial" w:hAnsi="Arial"/>
          <w:sz w:val="18"/>
          <w:szCs w:val="18"/>
          <w:color w:val="auto"/>
        </w:rPr>
        <w:t>The Company has no other off-balance sheet arrangements and has not entered into any transactions involving unconsolidated, limited purpose entities or commodity contracts.</w:t>
      </w:r>
    </w:p>
    <w:p>
      <w:pPr>
        <w:spacing w:after="0" w:line="186" w:lineRule="exact"/>
        <w:rPr>
          <w:sz w:val="20"/>
          <w:szCs w:val="20"/>
          <w:color w:val="auto"/>
        </w:rPr>
      </w:pPr>
    </w:p>
    <w:p>
      <w:pPr>
        <w:ind w:right="2159"/>
        <w:spacing w:after="0" w:line="259" w:lineRule="auto"/>
        <w:rPr>
          <w:sz w:val="20"/>
          <w:szCs w:val="20"/>
          <w:color w:val="auto"/>
        </w:rPr>
      </w:pPr>
      <w:r>
        <w:rPr>
          <w:rFonts w:ascii="Arial" w:cs="Arial" w:eastAsia="Arial" w:hAnsi="Arial"/>
          <w:sz w:val="18"/>
          <w:szCs w:val="18"/>
          <w:i w:val="1"/>
          <w:iCs w:val="1"/>
          <w:color w:val="auto"/>
        </w:rPr>
        <w:t>Capital Commitments.</w:t>
      </w:r>
      <w:r>
        <w:rPr>
          <w:rFonts w:ascii="Arial" w:cs="Arial" w:eastAsia="Arial" w:hAnsi="Arial"/>
          <w:sz w:val="18"/>
          <w:szCs w:val="18"/>
          <w:color w:val="auto"/>
        </w:rPr>
        <w:t>The Company spent $30 million on capital projects in 2005, or approximately $8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less than the 2005 budgeted amount. The variance was primarily due to delays in the start dates for construction of a fiber route and various PCS related expenditures.</w:t>
      </w:r>
    </w:p>
    <w:p>
      <w:pPr>
        <w:spacing w:after="0" w:line="194" w:lineRule="exact"/>
        <w:rPr>
          <w:sz w:val="20"/>
          <w:szCs w:val="20"/>
          <w:color w:val="auto"/>
        </w:rPr>
      </w:pPr>
    </w:p>
    <w:p>
      <w:pPr>
        <w:ind w:right="2119"/>
        <w:spacing w:after="0" w:line="294" w:lineRule="auto"/>
        <w:rPr>
          <w:sz w:val="20"/>
          <w:szCs w:val="20"/>
          <w:color w:val="auto"/>
        </w:rPr>
      </w:pPr>
      <w:r>
        <w:rPr>
          <w:rFonts w:ascii="Arial" w:cs="Arial" w:eastAsia="Arial" w:hAnsi="Arial"/>
          <w:sz w:val="16"/>
          <w:szCs w:val="16"/>
          <w:color w:val="auto"/>
        </w:rPr>
        <w:t>Capital expenditures budgeted for 2006 total approximately $42.8 million, including approximately $21.3 million for additional PCS base stations, additional towers, and switch upgrades to enhance the PCS network. Approximately $5.7 million is budgeted for NTC’s network upgrades and new MDU build outs, improvements and replacements, approximately $5.3 million for the telephone operations, approximately $2.4 million for wireless broadband projects, and approximately $8.4 million for technology upgrades and other capital needs.</w:t>
      </w:r>
    </w:p>
    <w:p>
      <w:pPr>
        <w:spacing w:after="0" w:line="170" w:lineRule="exact"/>
        <w:rPr>
          <w:sz w:val="20"/>
          <w:szCs w:val="20"/>
          <w:color w:val="auto"/>
        </w:rPr>
      </w:pPr>
    </w:p>
    <w:p>
      <w:pPr>
        <w:ind w:right="2119"/>
        <w:spacing w:after="0" w:line="287" w:lineRule="auto"/>
        <w:rPr>
          <w:sz w:val="20"/>
          <w:szCs w:val="20"/>
          <w:color w:val="auto"/>
        </w:rPr>
      </w:pPr>
      <w:r>
        <w:rPr>
          <w:rFonts w:ascii="Arial" w:cs="Arial" w:eastAsia="Arial" w:hAnsi="Arial"/>
          <w:sz w:val="16"/>
          <w:szCs w:val="16"/>
          <w:color w:val="auto"/>
        </w:rPr>
        <w:t>The Company believes that cash on hand, cash flow from operations, the expected RTB distribution, and borrowings expected to be available under the Company’s existing revolving credit facility will provide sufficient cash to enable the Company to fund its planned capital expenditures, make scheduled principal and interest payments, meet its other cash requirements and maintain compliance with the terms of its financing agreements for at least the next 12 months. Thereafter, capital expenditures will likely to continue to be required to provide increased capacity to meet the Company’s expected growth in demand for its products and services. The actual amount and timing of the Company’s future capital requirements may differ materially from the Company’s estimate depending on the demand for its products and new market developments and opportunities. The Company currently expects that it will fund its future capital expenditures primarily with cash from operations and with borrowings.</w:t>
      </w:r>
    </w:p>
    <w:p>
      <w:pPr>
        <w:spacing w:after="0" w:line="177" w:lineRule="exact"/>
        <w:rPr>
          <w:sz w:val="20"/>
          <w:szCs w:val="20"/>
          <w:color w:val="auto"/>
        </w:rPr>
      </w:pPr>
    </w:p>
    <w:p>
      <w:pPr>
        <w:ind w:right="2319"/>
        <w:spacing w:after="0" w:line="294" w:lineRule="auto"/>
        <w:rPr>
          <w:sz w:val="20"/>
          <w:szCs w:val="20"/>
          <w:color w:val="auto"/>
        </w:rPr>
      </w:pPr>
      <w:r>
        <w:rPr>
          <w:rFonts w:ascii="Arial" w:cs="Arial" w:eastAsia="Arial" w:hAnsi="Arial"/>
          <w:sz w:val="16"/>
          <w:szCs w:val="16"/>
          <w:color w:val="auto"/>
        </w:rPr>
        <w:t>These events include, but are not limited to; changes in overall economic conditions, regulatory requirements, changes in technologies, availability of labor resources and capital, changes in the Company’s relationship with Sprint Nextel, cancellations or non-renewal of NTC contracts and other conditions. The PCS subsidiary’s operations are dependent upon Sprint Nextel’s ability to execute certain functions such as billing, customer care, and collections; the subsidiary’s ability to develop and implement successful marketing</w:t>
      </w:r>
    </w:p>
    <w:p>
      <w:pPr>
        <w:sectPr>
          <w:pgSz w:w="11900" w:h="16838" w:orient="portrait"/>
          <w:cols w:equalWidth="0" w:num="1">
            <w:col w:w="10219"/>
          </w:cols>
          <w:pgMar w:left="240" w:top="590" w:right="1440" w:bottom="1440" w:gutter="0" w:footer="0" w:header="0"/>
        </w:sectPr>
      </w:pPr>
    </w:p>
    <w:p>
      <w:pPr>
        <w:spacing w:after="0" w:line="170"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5166995" cy="469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90" w:right="1440" w:bottom="1440" w:gutter="0" w:footer="0" w:header="0"/>
          <w:type w:val="continuous"/>
        </w:sectPr>
      </w:pPr>
    </w:p>
    <w:bookmarkStart w:id="60" w:name="page61"/>
    <w:bookmarkEnd w:id="60"/>
    <w:p>
      <w:pPr>
        <w:ind w:right="2139"/>
        <w:spacing w:after="0" w:line="318" w:lineRule="auto"/>
        <w:rPr>
          <w:sz w:val="20"/>
          <w:szCs w:val="20"/>
          <w:color w:val="auto"/>
        </w:rPr>
      </w:pPr>
      <w:r>
        <w:rPr>
          <w:rFonts w:ascii="Arial" w:cs="Arial" w:eastAsia="Arial" w:hAnsi="Arial"/>
          <w:sz w:val="15"/>
          <w:szCs w:val="15"/>
          <w:color w:val="auto"/>
        </w:rPr>
        <w:t>programs and new products and services, and the subsidiary’s ability to effectively and economically manage other operating activities under the Company’s agreements with Sprint Nextel. The Company’s ability to attract and maintain a sufficient customer base is also critical to its ability to maintain a positive cash flow from operations. The foregoing events individually or collectively could affect the Company’s results. The Company continues to assess the impact of the planned merger of Sprint Nextel and Nextel Partners on the Company’s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31" w:lineRule="exact"/>
        <w:rPr>
          <w:sz w:val="20"/>
          <w:szCs w:val="20"/>
          <w:color w:val="auto"/>
        </w:rPr>
      </w:pPr>
    </w:p>
    <w:p>
      <w:pPr>
        <w:ind w:right="2099"/>
        <w:spacing w:after="0" w:line="288" w:lineRule="auto"/>
        <w:rPr>
          <w:sz w:val="20"/>
          <w:szCs w:val="20"/>
          <w:color w:val="auto"/>
        </w:rPr>
      </w:pPr>
      <w:r>
        <w:rPr>
          <w:rFonts w:ascii="Arial" w:cs="Arial" w:eastAsia="Arial" w:hAnsi="Arial"/>
          <w:sz w:val="16"/>
          <w:szCs w:val="16"/>
          <w:color w:val="auto"/>
        </w:rPr>
        <w:t>In December 2004, the FASB issued SFAS No. 123 (revised 2004), Share Based Payment, which is a revision of SFAS No. 123, Accounting for Stock-Based Compensation. SFAS No. 123 (R) replaces SFAS No. 123, and supersedes APB Opinion No. 25, Accounting for Stock Issued to Employees, and amends SFAS No. 95, Statement of Cash Flows. The approach in SFAS 123 (R) is similar to the approach described in SFAS No. 123, however, SFAS No. 123 (R) requires all share-based payments to employees, including grants of employee stock options, to be recognized in the income statement based on their fair values. Pro forma disclosure will no longer be an alternative. SFAS No. 123 (R) will be effective for the Company beginning January 1, 2006. The Company expects to record a cumulative effect of a change in accounting principle of approximately $0.2 million upon application of SFAS 123 (R).</w:t>
      </w:r>
    </w:p>
    <w:p>
      <w:pPr>
        <w:spacing w:after="0" w:line="174" w:lineRule="exact"/>
        <w:rPr>
          <w:sz w:val="20"/>
          <w:szCs w:val="20"/>
          <w:color w:val="auto"/>
        </w:rPr>
      </w:pPr>
    </w:p>
    <w:p>
      <w:pPr>
        <w:ind w:right="2259"/>
        <w:spacing w:after="0" w:line="291" w:lineRule="auto"/>
        <w:rPr>
          <w:sz w:val="20"/>
          <w:szCs w:val="20"/>
          <w:color w:val="auto"/>
        </w:rPr>
      </w:pPr>
      <w:r>
        <w:rPr>
          <w:rFonts w:ascii="Arial" w:cs="Arial" w:eastAsia="Arial" w:hAnsi="Arial"/>
          <w:sz w:val="16"/>
          <w:szCs w:val="16"/>
          <w:color w:val="auto"/>
        </w:rPr>
        <w:t>In March 2005, the FASB issued FASB Interpretation (“FIN”) No. 47 “Accounting for Conditional Asset Retirement Obligations—an Interpretation of FASB Statement No. 143” (“FIN No. 47”). FIN No. 47 clarifies the timing of liability recognition for legal obligations associated with the retirement of a tangible long-lived asset when the timing and/or method of settlement are conditional on a future event. FIN No. 47 is effective for us no later than December 31, 2005. The adoption of FIN No. 47 did not have a material impact on the Company’s consolidated results of operations or financial position.</w:t>
      </w:r>
    </w:p>
    <w:p>
      <w:pPr>
        <w:spacing w:after="0" w:line="174" w:lineRule="exact"/>
        <w:rPr>
          <w:sz w:val="20"/>
          <w:szCs w:val="20"/>
          <w:color w:val="auto"/>
        </w:rPr>
      </w:pPr>
    </w:p>
    <w:p>
      <w:pPr>
        <w:ind w:right="2119"/>
        <w:spacing w:after="0" w:line="288" w:lineRule="auto"/>
        <w:rPr>
          <w:sz w:val="20"/>
          <w:szCs w:val="20"/>
          <w:color w:val="auto"/>
        </w:rPr>
      </w:pPr>
      <w:r>
        <w:rPr>
          <w:rFonts w:ascii="Arial" w:cs="Arial" w:eastAsia="Arial" w:hAnsi="Arial"/>
          <w:sz w:val="16"/>
          <w:szCs w:val="16"/>
          <w:color w:val="auto"/>
        </w:rPr>
        <w:t>In May 2005, the FASB issued SFAS No. 154, “Accounting Changes and Error Corrections—a replacement of APB Opinion No. 20 and FASB Statement No. 3” (“SFAS No. 154”). This Statement replaces APB Opinion No. 20, “Accounting Changes” and FASB Statement No. 3, “Reporting Accounting Changes in Interim Financial Statements,” and changes the requirements for the accounting for and reporting of a change in accounting principle. SFAS No. 154 applies to all voluntary changes in an accounting principle. It also applies to changes required by an accounting pronouncement in the unusual instance that the pronouncement does not include specific transition provisions. When a pronouncement includes specific transition provisions, those provisions should be followed. SFAS No. 154 is effective for accounting changes and error corrections occurring in fiscal years beginning after December 15, 2005.</w:t>
      </w:r>
    </w:p>
    <w:p>
      <w:pPr>
        <w:spacing w:after="0" w:line="17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90" w:right="1440"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31" w:lineRule="exact"/>
        <w:rPr>
          <w:sz w:val="20"/>
          <w:szCs w:val="20"/>
          <w:color w:val="auto"/>
        </w:rPr>
      </w:pPr>
    </w:p>
    <w:p>
      <w:pPr>
        <w:ind w:right="2139"/>
        <w:spacing w:after="0" w:line="290" w:lineRule="auto"/>
        <w:rPr>
          <w:sz w:val="20"/>
          <w:szCs w:val="20"/>
          <w:color w:val="auto"/>
        </w:rPr>
      </w:pPr>
      <w:r>
        <w:rPr>
          <w:rFonts w:ascii="Arial" w:cs="Arial" w:eastAsia="Arial" w:hAnsi="Arial"/>
          <w:sz w:val="16"/>
          <w:szCs w:val="16"/>
          <w:color w:val="auto"/>
        </w:rPr>
        <w:t>The Company’s market risks relate primarily to changes in interest rates on instruments held for other than trading purposes. The Company’s interest rate risk involves three components. The first component is outstanding debt with variable rates. As of December 31, 2005, the Company’s variable rate debt balance was $1.2 million. The Company’s interest rate risk on the variable rate debt is $7 thousand based on a 10.0% increase in the interest rate. The Company’s remaining debt has fixed rates through maturity. A 10.0% increase in interest rates would decrease the fair value of the Company’s total debt by approximately $0.8 million, while the estimated fair value of the fixed rate debt was approximately $33.6 million as of December 31, 2005.</w:t>
      </w:r>
    </w:p>
    <w:p>
      <w:pPr>
        <w:spacing w:after="0" w:line="172" w:lineRule="exact"/>
        <w:rPr>
          <w:sz w:val="20"/>
          <w:szCs w:val="20"/>
          <w:color w:val="auto"/>
        </w:rPr>
      </w:pPr>
    </w:p>
    <w:p>
      <w:pPr>
        <w:ind w:right="2299"/>
        <w:spacing w:after="0" w:line="256" w:lineRule="auto"/>
        <w:rPr>
          <w:sz w:val="20"/>
          <w:szCs w:val="20"/>
          <w:color w:val="auto"/>
        </w:rPr>
      </w:pPr>
      <w:r>
        <w:rPr>
          <w:rFonts w:ascii="Arial" w:cs="Arial" w:eastAsia="Arial" w:hAnsi="Arial"/>
          <w:sz w:val="18"/>
          <w:szCs w:val="18"/>
          <w:color w:val="auto"/>
        </w:rPr>
        <w:t>The second component of interest rate risk consists of temporary excess cash, which is primarily invested in overnight repurchase agreements and Treasury bills with a maturity of less than 90 days. The cash is currently invested in short-term investment vehicles that have limited interest rate risk. Management continues to evaluate the most beneficial use of these funds.</w:t>
      </w:r>
    </w:p>
    <w:p>
      <w:pPr>
        <w:spacing w:after="0" w:line="197" w:lineRule="exact"/>
        <w:rPr>
          <w:sz w:val="20"/>
          <w:szCs w:val="20"/>
          <w:color w:val="auto"/>
        </w:rPr>
      </w:pPr>
    </w:p>
    <w:p>
      <w:pPr>
        <w:ind w:right="2299"/>
        <w:spacing w:after="0" w:line="256" w:lineRule="auto"/>
        <w:rPr>
          <w:sz w:val="20"/>
          <w:szCs w:val="20"/>
          <w:color w:val="auto"/>
        </w:rPr>
      </w:pPr>
      <w:r>
        <w:rPr>
          <w:rFonts w:ascii="Arial" w:cs="Arial" w:eastAsia="Arial" w:hAnsi="Arial"/>
          <w:sz w:val="18"/>
          <w:szCs w:val="18"/>
          <w:color w:val="auto"/>
        </w:rPr>
        <w:t>The third component of interest rate risk is marked increases in interest rates that may adversely affect the rate at which the Company may borrow funds for growth in the future. Management does not believe that this risk is currently significant because the Company’s existing sources of liquidity are adequate to provide cash for operations, payment of debt and near-term capital projects.</w:t>
      </w:r>
    </w:p>
    <w:p>
      <w:pPr>
        <w:spacing w:after="0" w:line="197" w:lineRule="exact"/>
        <w:rPr>
          <w:sz w:val="20"/>
          <w:szCs w:val="20"/>
          <w:color w:val="auto"/>
        </w:rPr>
      </w:pPr>
    </w:p>
    <w:p>
      <w:pPr>
        <w:ind w:right="2299"/>
        <w:spacing w:after="0" w:line="291" w:lineRule="auto"/>
        <w:rPr>
          <w:sz w:val="20"/>
          <w:szCs w:val="20"/>
          <w:color w:val="auto"/>
        </w:rPr>
      </w:pPr>
      <w:r>
        <w:rPr>
          <w:rFonts w:ascii="Arial" w:cs="Arial" w:eastAsia="Arial" w:hAnsi="Arial"/>
          <w:sz w:val="16"/>
          <w:szCs w:val="16"/>
          <w:color w:val="auto"/>
        </w:rPr>
        <w:t>Management does not view market risk as having a significant impact on the Company’s results of operations, although future results could be adversely affected if interest rates were to increase significantly for an extended period and the Company were to require external financing. Since the Company has no investments in publicly traded stock as of December 31, 2005, there is currently no risk related to the Company’s available for sale securities. General economic conditions affected by regulatory changes, competition or other external influences may pose a higher risk to the Company’s overall results.</w:t>
      </w:r>
    </w:p>
    <w:p>
      <w:pPr>
        <w:spacing w:after="0" w:line="174" w:lineRule="exact"/>
        <w:rPr>
          <w:sz w:val="20"/>
          <w:szCs w:val="20"/>
          <w:color w:val="auto"/>
        </w:rPr>
      </w:pPr>
    </w:p>
    <w:p>
      <w:pPr>
        <w:ind w:right="2179"/>
        <w:spacing w:after="0" w:line="294" w:lineRule="auto"/>
        <w:rPr>
          <w:sz w:val="20"/>
          <w:szCs w:val="20"/>
          <w:color w:val="auto"/>
        </w:rPr>
      </w:pPr>
      <w:r>
        <w:rPr>
          <w:rFonts w:ascii="Arial" w:cs="Arial" w:eastAsia="Arial" w:hAnsi="Arial"/>
          <w:sz w:val="16"/>
          <w:szCs w:val="16"/>
          <w:color w:val="auto"/>
        </w:rPr>
        <w:t>As of December 31, 2005, the Company has $7.3 million invested in privately held companies directly or through investments with portfolio managers. Most of the companies are in an early stage of development and significant increases in interest rates could have an adverse impact on their results, ability to raise capital and viability. The Company’s market risk is limited to the funds previously invested and an additional $0.7 million committed under contracts the Company has signed with portfolio managers.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8. </w:t>
      </w:r>
      <w:r>
        <w:rPr>
          <w:rFonts w:ascii="Arial" w:cs="Arial" w:eastAsia="Arial" w:hAnsi="Arial"/>
          <w:sz w:val="18"/>
          <w:szCs w:val="18"/>
          <w:b w:val="1"/>
          <w:bCs w:val="1"/>
          <w:color w:val="auto"/>
        </w:rPr>
        <w:t>FINANCIAL STATEMENTS AND SUPPLEMENTARY DATA</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financial statements listed in Item 15 are filed as part of this report and appear on pages F-2 through F-37.</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9. </w:t>
      </w:r>
      <w:r>
        <w:rPr>
          <w:rFonts w:ascii="Arial" w:cs="Arial" w:eastAsia="Arial" w:hAnsi="Arial"/>
          <w:sz w:val="18"/>
          <w:szCs w:val="18"/>
          <w:b w:val="1"/>
          <w:bCs w:val="1"/>
          <w:color w:val="auto"/>
        </w:rPr>
        <w:t>CHANGES IN AND DISAGREEMENTS WITH ACCOUNTANTS ON ACCOUNTING AND</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FINANCIAL DISCLOSURE</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382" w:right="1440"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 xml:space="preserve">ITEM 9A. </w:t>
      </w:r>
      <w:r>
        <w:rPr>
          <w:rFonts w:ascii="Arial" w:cs="Arial" w:eastAsia="Arial" w:hAnsi="Arial"/>
          <w:sz w:val="18"/>
          <w:szCs w:val="18"/>
          <w:b w:val="1"/>
          <w:bCs w:val="1"/>
          <w:color w:val="auto"/>
        </w:rPr>
        <w:t>CONTROLS AND PROCEDURES</w:t>
      </w:r>
    </w:p>
    <w:p>
      <w:pPr>
        <w:spacing w:after="0" w:line="231" w:lineRule="exact"/>
        <w:rPr>
          <w:sz w:val="20"/>
          <w:szCs w:val="20"/>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2239"/>
        <w:spacing w:after="0" w:line="290" w:lineRule="auto"/>
        <w:rPr>
          <w:sz w:val="20"/>
          <w:szCs w:val="20"/>
          <w:color w:val="auto"/>
        </w:rPr>
      </w:pPr>
      <w:r>
        <w:rPr>
          <w:rFonts w:ascii="Arial" w:cs="Arial" w:eastAsia="Arial" w:hAnsi="Arial"/>
          <w:sz w:val="16"/>
          <w:szCs w:val="16"/>
          <w:color w:val="auto"/>
        </w:rPr>
        <w:t>As discussed elsewhere in the Annual Report on Form 10-K, on February 22, 2006, the Audit Committee of the board of directors concluded, based on the recommendation of our management, that our financial statements for years ended December 31, 2003 and 2004, for each of the quarters in the year ended December 31, 2004 and for the first three quarters of the year ended December 31, 2005 (collectively, the “restated financial periods”) should be restated to correct certain errors relating to accounting for operating leases, as described below under “Management’s Report on Internal Control Over Financial Reporting” and also Note 2 to the Company’s consolidated financial statements appearing elsewhere in this report for additional information.</w:t>
      </w:r>
    </w:p>
    <w:p>
      <w:pPr>
        <w:spacing w:after="0" w:line="172" w:lineRule="exact"/>
        <w:rPr>
          <w:sz w:val="20"/>
          <w:szCs w:val="20"/>
          <w:color w:val="auto"/>
        </w:rPr>
      </w:pPr>
    </w:p>
    <w:p>
      <w:pPr>
        <w:ind w:right="2139"/>
        <w:spacing w:after="0" w:line="284" w:lineRule="auto"/>
        <w:rPr>
          <w:sz w:val="20"/>
          <w:szCs w:val="20"/>
          <w:color w:val="auto"/>
        </w:rPr>
      </w:pPr>
      <w:r>
        <w:rPr>
          <w:rFonts w:ascii="Arial" w:cs="Arial" w:eastAsia="Arial" w:hAnsi="Arial"/>
          <w:sz w:val="16"/>
          <w:szCs w:val="16"/>
          <w:color w:val="auto"/>
        </w:rPr>
        <w:t>In the reports we filed with the SEC for each of the restated financial periods, our Chief Executive Officer and Chief Financial Officer concluded that as of the end of the financial period covered by each such report, our disclosure controls and procedures (as defined in Rules 13a-15(e) and 15d-15(e) under the Securities Exchange Act of 1934) were effective as of the end of each such financial period. However, in connection with the restatement of our financial statements, our management, with the participation of our Chief Executive Officer and our Chief Financial Officer, conducted another evaluation of the effectiveness of the design and operation of our disclosure controls and procedures. Based upon this evaluation, our Chief Executive Officer and our Chief Financial Officer concluded that, as a result of the material weakness in our internal control over financial reporting with respect to accounting for operating leases described below in “Management’s Report on Internal Control Over Financial Reporting,” our disclosure controls and procedures were not effective as of December 31, 2003, as of the end of each quarter in the year ended December 31, 2004 (including December 31, 2004), or as of the end of each of the first three quarters of the year ended December 31, 2005. In addition, based upon the foregoing evaluation, our Chief Executive Officer and our Chief Financial Officer concluded that, as a result of the material weaknesses in our internal control over financial reporting as of December 31, 2005 described below in “Management’s Report on Internal Control Over Financial Reporting,” our disclosure controls and procedures were not effective as of December 31, 2005. We have described the actions we are taking to remediate the material weaknesses in our internal control over financial reporting below under “Changes in Internal Control Over Financial Reporting.”</w:t>
      </w:r>
    </w:p>
    <w:p>
      <w:pPr>
        <w:spacing w:after="0" w:line="187"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ind w:right="2199"/>
        <w:spacing w:after="0" w:line="294"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for the Company. With the participation of our Chief Executive Officer and our Chief Financial Officer, our management conducted an evaluation of the effectiveness of our internal control over financial reporting as of December 31, 2005, based on the framework and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issued by the Committee of Sponsoring Organizations of the Treadway Commission.</w:t>
      </w:r>
    </w:p>
    <w:p>
      <w:pPr>
        <w:spacing w:after="0" w:line="170" w:lineRule="exact"/>
        <w:rPr>
          <w:sz w:val="20"/>
          <w:szCs w:val="20"/>
          <w:color w:val="auto"/>
        </w:rPr>
      </w:pPr>
    </w:p>
    <w:p>
      <w:pPr>
        <w:ind w:right="2279"/>
        <w:spacing w:after="0" w:line="259" w:lineRule="auto"/>
        <w:rPr>
          <w:sz w:val="20"/>
          <w:szCs w:val="20"/>
          <w:color w:val="auto"/>
        </w:rPr>
      </w:pPr>
      <w:r>
        <w:rPr>
          <w:rFonts w:ascii="Arial" w:cs="Arial" w:eastAsia="Arial" w:hAnsi="Arial"/>
          <w:sz w:val="18"/>
          <w:szCs w:val="18"/>
          <w:color w:val="auto"/>
        </w:rPr>
        <w:t>A material weakness is a control deficiency or combination of control deficiencies that results in more than a remote likelihood that a material misstatement of the annual or interim financial statements will not be prevented or detected.</w:t>
      </w:r>
    </w:p>
    <w:p>
      <w:pPr>
        <w:spacing w:after="0" w:line="194" w:lineRule="exact"/>
        <w:rPr>
          <w:sz w:val="20"/>
          <w:szCs w:val="20"/>
          <w:color w:val="auto"/>
        </w:rPr>
      </w:pPr>
    </w:p>
    <w:p>
      <w:pPr>
        <w:ind w:right="2099"/>
        <w:spacing w:after="0" w:line="268" w:lineRule="auto"/>
        <w:rPr>
          <w:sz w:val="20"/>
          <w:szCs w:val="20"/>
          <w:color w:val="auto"/>
        </w:rPr>
      </w:pPr>
      <w:r>
        <w:rPr>
          <w:rFonts w:ascii="Arial" w:cs="Arial" w:eastAsia="Arial" w:hAnsi="Arial"/>
          <w:sz w:val="18"/>
          <w:szCs w:val="18"/>
          <w:color w:val="auto"/>
        </w:rPr>
        <w:t>Our management has identified two material weaknesses in the Company’s internal control over financial reporting as of December 31, 2005:</w:t>
      </w:r>
    </w:p>
    <w:p>
      <w:pPr>
        <w:spacing w:after="0" w:line="199" w:lineRule="exact"/>
        <w:rPr>
          <w:sz w:val="20"/>
          <w:szCs w:val="20"/>
          <w:color w:val="auto"/>
        </w:rPr>
      </w:pPr>
    </w:p>
    <w:p>
      <w:pPr>
        <w:ind w:left="420" w:right="2219" w:hanging="412"/>
        <w:spacing w:after="0" w:line="291" w:lineRule="auto"/>
        <w:tabs>
          <w:tab w:leader="none" w:pos="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Ineffective controls over the selection and monitoring of appropriate assumptions and factors affecting lease accounting practices. The Company’s controls did not detect that the Company had incorrectly excluded the consideration of renewal periods in the recording of operating lease expense or in the recording of operating lease revenue. This material weakness resulted in errors in operating revenues, cost of goods and services, deferred charges and other assets, deferred lease payables, deferred income tax liabilities and retained earnings, as of and for the years ended December 31, 2003 and 2004,</w:t>
      </w:r>
    </w:p>
    <w:p>
      <w:pPr>
        <w:spacing w:after="0" w:line="17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382" w:right="1440" w:bottom="1440" w:gutter="0" w:footer="0" w:header="0"/>
        </w:sectPr>
      </w:pPr>
    </w:p>
    <w:bookmarkStart w:id="63" w:name="page64"/>
    <w:bookmarkEnd w:id="63"/>
    <w:p>
      <w:pPr>
        <w:ind w:left="420" w:right="2119"/>
        <w:spacing w:after="0" w:line="332" w:lineRule="auto"/>
        <w:rPr>
          <w:sz w:val="20"/>
          <w:szCs w:val="20"/>
          <w:color w:val="auto"/>
        </w:rPr>
      </w:pPr>
      <w:r>
        <w:rPr>
          <w:rFonts w:ascii="Arial" w:cs="Arial" w:eastAsia="Arial" w:hAnsi="Arial"/>
          <w:sz w:val="16"/>
          <w:szCs w:val="16"/>
          <w:color w:val="auto"/>
        </w:rPr>
        <w:t>for each of the quarters in the year ended December 31, 2004 and for the first three quarters of the year ended December 31, 2005, for which the Company restated its consolidated financial statements.</w:t>
      </w:r>
    </w:p>
    <w:p>
      <w:pPr>
        <w:spacing w:after="0" w:line="72" w:lineRule="exact"/>
        <w:rPr>
          <w:sz w:val="20"/>
          <w:szCs w:val="20"/>
          <w:color w:val="auto"/>
        </w:rPr>
      </w:pPr>
    </w:p>
    <w:p>
      <w:pPr>
        <w:ind w:left="420" w:right="2199" w:hanging="412"/>
        <w:spacing w:after="0" w:line="289" w:lineRule="auto"/>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Inadequate controls over the accounting for income taxes. Specifically, the Company lacked sufficient personnel with adequate technical skills related to accounting for income taxes. In addition, the Company’s policies and procedures did not provide for effective supervisory review of the analysis of income tax accounting amounts, including the review of the calculation of current income tax expense and the calculation of the appropriate deferred tax liability. These deficiencies resulted in a material misstatement of income tax expense and deferred tax liabilities in the Company’s preliminary 2005 consolidated financial statements. These errors have been corrected by management in the Company’s consolidated financial statements as of and for the year ended December 31, 2005 included in this Annual Report.</w:t>
      </w:r>
    </w:p>
    <w:p>
      <w:pPr>
        <w:spacing w:after="0" w:line="172" w:lineRule="exact"/>
        <w:rPr>
          <w:sz w:val="20"/>
          <w:szCs w:val="20"/>
          <w:color w:val="auto"/>
        </w:rPr>
      </w:pPr>
    </w:p>
    <w:p>
      <w:pPr>
        <w:ind w:right="2279"/>
        <w:spacing w:after="0" w:line="268" w:lineRule="auto"/>
        <w:rPr>
          <w:sz w:val="20"/>
          <w:szCs w:val="20"/>
          <w:color w:val="auto"/>
        </w:rPr>
      </w:pPr>
      <w:r>
        <w:rPr>
          <w:rFonts w:ascii="Arial" w:cs="Arial" w:eastAsia="Arial" w:hAnsi="Arial"/>
          <w:sz w:val="18"/>
          <w:szCs w:val="18"/>
          <w:color w:val="auto"/>
        </w:rPr>
        <w:t>As a result of these material weaknesses, our management has determined that our internal control over financial reporting was not effective as of December 31, 2005.</w:t>
      </w:r>
    </w:p>
    <w:p>
      <w:pPr>
        <w:spacing w:after="0" w:line="186" w:lineRule="exact"/>
        <w:rPr>
          <w:sz w:val="20"/>
          <w:szCs w:val="20"/>
          <w:color w:val="auto"/>
        </w:rPr>
      </w:pPr>
    </w:p>
    <w:p>
      <w:pPr>
        <w:ind w:right="2139"/>
        <w:spacing w:after="0" w:line="259" w:lineRule="auto"/>
        <w:rPr>
          <w:sz w:val="20"/>
          <w:szCs w:val="20"/>
          <w:color w:val="auto"/>
        </w:rPr>
      </w:pPr>
      <w:r>
        <w:rPr>
          <w:rFonts w:ascii="Arial" w:cs="Arial" w:eastAsia="Arial" w:hAnsi="Arial"/>
          <w:sz w:val="18"/>
          <w:szCs w:val="18"/>
          <w:color w:val="auto"/>
        </w:rPr>
        <w:t>KPMG LLP, a registered public accounting firm, which audited the Company’s financial statements included in this Annual Report, has issued an audit report on management’s assessment of the Company’s internal control over financial reporting, which is included in Item 8 of this Annual Report.</w:t>
      </w:r>
    </w:p>
    <w:p>
      <w:pPr>
        <w:spacing w:after="0" w:line="194" w:lineRule="exact"/>
        <w:rPr>
          <w:sz w:val="20"/>
          <w:szCs w:val="20"/>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 During 2005 Fourth Quarter</w:t>
      </w:r>
    </w:p>
    <w:p>
      <w:pPr>
        <w:spacing w:after="0" w:line="225" w:lineRule="exact"/>
        <w:rPr>
          <w:sz w:val="20"/>
          <w:szCs w:val="20"/>
          <w:color w:val="auto"/>
        </w:rPr>
      </w:pPr>
    </w:p>
    <w:p>
      <w:pPr>
        <w:ind w:right="2219"/>
        <w:spacing w:after="0" w:line="255"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quarter ended December 31, 2005 that have materially affected, or are reasonably likely to materially affect, our internal control over financial reporting. However, subsequent to December 31, 2005, we are initiating the measures discussed below to remediate the material weaknesses in our internal control over financial reporting that existed as of December 31, 2005.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Remediation of Material Weaknesses in Internal Control Over Financial Reporting</w:t>
      </w:r>
    </w:p>
    <w:p>
      <w:pPr>
        <w:spacing w:after="0" w:line="225" w:lineRule="exact"/>
        <w:rPr>
          <w:sz w:val="20"/>
          <w:szCs w:val="20"/>
          <w:color w:val="auto"/>
        </w:rPr>
      </w:pPr>
    </w:p>
    <w:p>
      <w:pPr>
        <w:ind w:right="2179"/>
        <w:spacing w:after="0" w:line="306" w:lineRule="auto"/>
        <w:rPr>
          <w:sz w:val="20"/>
          <w:szCs w:val="20"/>
          <w:color w:val="auto"/>
        </w:rPr>
      </w:pPr>
      <w:r>
        <w:rPr>
          <w:rFonts w:ascii="Arial" w:cs="Arial" w:eastAsia="Arial" w:hAnsi="Arial"/>
          <w:sz w:val="16"/>
          <w:szCs w:val="16"/>
          <w:color w:val="auto"/>
        </w:rPr>
        <w:t>In connection with correcting our methodology of accounting for operating leases, we are instituting the following procedures to remediate the related material weakness in our internal control over financial reporting described above under “Management’s Report on Internal Control Over Financial Reporting”:</w:t>
      </w:r>
    </w:p>
    <w:p>
      <w:pPr>
        <w:spacing w:after="0" w:line="174" w:lineRule="exact"/>
        <w:rPr>
          <w:sz w:val="20"/>
          <w:szCs w:val="20"/>
          <w:color w:val="auto"/>
        </w:rPr>
      </w:pPr>
    </w:p>
    <w:p>
      <w:pPr>
        <w:ind w:left="820" w:hanging="407"/>
        <w:spacing w:after="0"/>
        <w:tabs>
          <w:tab w:leader="none" w:pos="8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 will review any renewing lease to determine if a new straight-line calculation is required;</w:t>
      </w:r>
    </w:p>
    <w:p>
      <w:pPr>
        <w:spacing w:after="0" w:line="180" w:lineRule="exact"/>
        <w:rPr>
          <w:rFonts w:ascii="Arial" w:cs="Arial" w:eastAsia="Arial" w:hAnsi="Arial"/>
          <w:sz w:val="16"/>
          <w:szCs w:val="16"/>
          <w:color w:val="auto"/>
        </w:rPr>
      </w:pPr>
    </w:p>
    <w:p>
      <w:pPr>
        <w:ind w:left="820" w:right="2219" w:hanging="407"/>
        <w:spacing w:after="0" w:line="268"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will review new and/or modified lease arrangements to ensure appropriate consideration of lease renewal periods; and</w:t>
      </w:r>
    </w:p>
    <w:p>
      <w:pPr>
        <w:spacing w:after="0" w:line="118" w:lineRule="exact"/>
        <w:rPr>
          <w:rFonts w:ascii="Arial" w:cs="Arial" w:eastAsia="Arial" w:hAnsi="Arial"/>
          <w:sz w:val="18"/>
          <w:szCs w:val="18"/>
          <w:color w:val="auto"/>
        </w:rPr>
      </w:pPr>
    </w:p>
    <w:p>
      <w:pPr>
        <w:ind w:left="820" w:right="2219" w:hanging="407"/>
        <w:spacing w:after="0" w:line="268"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will enhance systematic controls applicable to the calculation of deferred rent assets and liabilities.</w:t>
      </w:r>
    </w:p>
    <w:p>
      <w:pPr>
        <w:spacing w:after="0" w:line="186" w:lineRule="exact"/>
        <w:rPr>
          <w:sz w:val="20"/>
          <w:szCs w:val="20"/>
          <w:color w:val="auto"/>
        </w:rPr>
      </w:pPr>
    </w:p>
    <w:p>
      <w:pPr>
        <w:ind w:right="2199"/>
        <w:spacing w:after="0" w:line="259" w:lineRule="auto"/>
        <w:rPr>
          <w:sz w:val="20"/>
          <w:szCs w:val="20"/>
          <w:color w:val="auto"/>
        </w:rPr>
      </w:pPr>
      <w:r>
        <w:rPr>
          <w:rFonts w:ascii="Arial" w:cs="Arial" w:eastAsia="Arial" w:hAnsi="Arial"/>
          <w:sz w:val="18"/>
          <w:szCs w:val="18"/>
          <w:color w:val="auto"/>
        </w:rPr>
        <w:t>To remediate the material weakness with respect to the income tax calculation process, the Company is evaluating the staffing and other resources necessary to address this weakness and plans to procure and maintain adequate resources for this purpose.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9B. </w:t>
      </w:r>
      <w:r>
        <w:rPr>
          <w:rFonts w:ascii="Arial" w:cs="Arial" w:eastAsia="Arial" w:hAnsi="Arial"/>
          <w:sz w:val="18"/>
          <w:szCs w:val="18"/>
          <w:b w:val="1"/>
          <w:bCs w:val="1"/>
          <w:color w:val="auto"/>
        </w:rPr>
        <w:t>OTHER INFORMATION</w:t>
      </w:r>
    </w:p>
    <w:p>
      <w:pPr>
        <w:spacing w:after="0" w:line="231" w:lineRule="exact"/>
        <w:rPr>
          <w:sz w:val="20"/>
          <w:szCs w:val="20"/>
          <w:color w:val="auto"/>
        </w:rPr>
      </w:pPr>
    </w:p>
    <w:p>
      <w:pPr>
        <w:ind w:right="2479"/>
        <w:spacing w:after="0" w:line="268" w:lineRule="auto"/>
        <w:rPr>
          <w:sz w:val="20"/>
          <w:szCs w:val="20"/>
          <w:color w:val="auto"/>
        </w:rPr>
      </w:pPr>
      <w:r>
        <w:rPr>
          <w:rFonts w:ascii="Arial" w:cs="Arial" w:eastAsia="Arial" w:hAnsi="Arial"/>
          <w:sz w:val="18"/>
          <w:szCs w:val="18"/>
          <w:color w:val="auto"/>
        </w:rPr>
        <w:t>On January 19, 2006, the Shenandoah Telephone Company executed a Stock Redemption Agreement with the RTB, a copy of which agreement is filed as an exhibit to this Annual Report.</w:t>
      </w:r>
    </w:p>
    <w:p>
      <w:pPr>
        <w:spacing w:after="0" w:line="18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388" w:right="1440" w:bottom="1440" w:gutter="0" w:footer="0" w:header="0"/>
        </w:sectPr>
      </w:pPr>
    </w:p>
    <w:bookmarkStart w:id="64" w:name="page65"/>
    <w:bookmarkEnd w:id="64"/>
    <w:p>
      <w:pPr>
        <w:spacing w:after="0"/>
        <w:rPr>
          <w:sz w:val="20"/>
          <w:szCs w:val="20"/>
          <w:color w:val="auto"/>
        </w:rPr>
      </w:pPr>
      <w:r>
        <w:rPr>
          <w:rFonts w:ascii="Arial" w:cs="Arial" w:eastAsia="Arial" w:hAnsi="Arial"/>
          <w:sz w:val="16"/>
          <w:szCs w:val="16"/>
          <w:color w:val="auto"/>
        </w:rPr>
        <w:t>On August 4, 2005, the board of directors of the Rural Telephone Bank (the “RTB”) adopted a number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resolutions for the purpose of dissolving RTB as of October 1, 2005. The Company held 10,821,770 shares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Class B and Class C RTB Common Stock ($1.00 par value) which is reflected on the Company’s books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$796,000 under the cost method at December 31, 2005. In 2006, the Company will recognize a gain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$6.5 million, net of tax, related to the dissolution of the RTB. In 2006, the Company will receive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$11.3 million in proceeds, and recognize a gain of approximately $6.5 million, net of tax, related to the dissolution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RTB, and the redemption of the stock.</w:t>
      </w:r>
    </w:p>
    <w:p>
      <w:pPr>
        <w:spacing w:after="0" w:line="219" w:lineRule="exact"/>
        <w:rPr>
          <w:sz w:val="20"/>
          <w:szCs w:val="20"/>
          <w:color w:val="auto"/>
        </w:rPr>
      </w:pPr>
    </w:p>
    <w:p>
      <w:pPr>
        <w:ind w:right="2159"/>
        <w:spacing w:after="0" w:line="256" w:lineRule="auto"/>
        <w:rPr>
          <w:sz w:val="20"/>
          <w:szCs w:val="20"/>
          <w:color w:val="auto"/>
        </w:rPr>
      </w:pPr>
      <w:r>
        <w:rPr>
          <w:rFonts w:ascii="Arial" w:cs="Arial" w:eastAsia="Arial" w:hAnsi="Arial"/>
          <w:sz w:val="18"/>
          <w:szCs w:val="18"/>
          <w:color w:val="auto"/>
        </w:rPr>
        <w:t>Shenandoah Telephone Company owns both Class B stock and Class C stock of the RTB, and has been advised by the RTB that the total cash proceeds to the Company from the redemption is expected to be $11.3 million before taxes. The Company expects that the full value of the cash proceeds received in the redemptions will be subject to income taxes.</w:t>
      </w:r>
    </w:p>
    <w:p>
      <w:pPr>
        <w:spacing w:after="0" w:line="197" w:lineRule="exact"/>
        <w:rPr>
          <w:sz w:val="20"/>
          <w:szCs w:val="20"/>
          <w:color w:val="auto"/>
        </w:rPr>
      </w:pPr>
    </w:p>
    <w:p>
      <w:pPr>
        <w:ind w:right="2239"/>
        <w:spacing w:after="0" w:line="332" w:lineRule="auto"/>
        <w:rPr>
          <w:sz w:val="20"/>
          <w:szCs w:val="20"/>
          <w:color w:val="auto"/>
        </w:rPr>
      </w:pPr>
      <w:r>
        <w:rPr>
          <w:rFonts w:ascii="Arial" w:cs="Arial" w:eastAsia="Arial" w:hAnsi="Arial"/>
          <w:sz w:val="16"/>
          <w:szCs w:val="16"/>
          <w:color w:val="auto"/>
        </w:rPr>
        <w:t>For security reasons Schedule II to the Agreement which contains bank routing and account information has been redacted from the copy of the Agreement that is filed as an exhibit to this Annual Report.</w:t>
      </w:r>
    </w:p>
    <w:p>
      <w:pPr>
        <w:spacing w:after="0" w:line="133"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PART III</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10.  </w:t>
      </w:r>
      <w:r>
        <w:rPr>
          <w:rFonts w:ascii="Arial" w:cs="Arial" w:eastAsia="Arial" w:hAnsi="Arial"/>
          <w:sz w:val="18"/>
          <w:szCs w:val="18"/>
          <w:b w:val="1"/>
          <w:bCs w:val="1"/>
          <w:color w:val="auto"/>
        </w:rPr>
        <w:t>DIRECTORS AND EXECUTIVE OFFICERS OF THE REGISTRANT</w:t>
      </w:r>
    </w:p>
    <w:p>
      <w:pPr>
        <w:spacing w:after="0" w:line="164" w:lineRule="exact"/>
        <w:rPr>
          <w:sz w:val="20"/>
          <w:szCs w:val="20"/>
          <w:color w:val="auto"/>
        </w:rPr>
      </w:pPr>
    </w:p>
    <w:p>
      <w:pPr>
        <w:ind w:left="1620" w:right="2119"/>
        <w:spacing w:after="0" w:line="332" w:lineRule="auto"/>
        <w:rPr>
          <w:sz w:val="20"/>
          <w:szCs w:val="20"/>
          <w:color w:val="auto"/>
        </w:rPr>
      </w:pPr>
      <w:r>
        <w:rPr>
          <w:rFonts w:ascii="Arial" w:cs="Arial" w:eastAsia="Arial" w:hAnsi="Arial"/>
          <w:sz w:val="16"/>
          <w:szCs w:val="16"/>
          <w:color w:val="auto"/>
        </w:rPr>
        <w:t>Information responsive to this Item 10 is incorporated herein by reference to the Company’s definitive proxy statement for its 2006 Annual Meeting of Shareholders.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11.  </w:t>
      </w:r>
      <w:r>
        <w:rPr>
          <w:rFonts w:ascii="Arial" w:cs="Arial" w:eastAsia="Arial" w:hAnsi="Arial"/>
          <w:sz w:val="18"/>
          <w:szCs w:val="18"/>
          <w:b w:val="1"/>
          <w:bCs w:val="1"/>
          <w:color w:val="auto"/>
        </w:rPr>
        <w:t>EXECUTIVE COMPENSATION</w:t>
      </w:r>
    </w:p>
    <w:p>
      <w:pPr>
        <w:spacing w:after="0" w:line="164" w:lineRule="exact"/>
        <w:rPr>
          <w:sz w:val="20"/>
          <w:szCs w:val="20"/>
          <w:color w:val="auto"/>
        </w:rPr>
      </w:pPr>
    </w:p>
    <w:p>
      <w:pPr>
        <w:ind w:left="1620" w:right="2119"/>
        <w:spacing w:after="0" w:line="332" w:lineRule="auto"/>
        <w:rPr>
          <w:sz w:val="20"/>
          <w:szCs w:val="20"/>
          <w:color w:val="auto"/>
        </w:rPr>
      </w:pPr>
      <w:r>
        <w:rPr>
          <w:rFonts w:ascii="Arial" w:cs="Arial" w:eastAsia="Arial" w:hAnsi="Arial"/>
          <w:sz w:val="16"/>
          <w:szCs w:val="16"/>
          <w:color w:val="auto"/>
        </w:rPr>
        <w:t>Information responsive to this Item 11 is incorporated herein by reference to the Company’s definitive proxy statement for its 2006 Annual Meeting of Shareholders.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12.  </w:t>
      </w:r>
      <w:r>
        <w:rPr>
          <w:rFonts w:ascii="Arial" w:cs="Arial" w:eastAsia="Arial" w:hAnsi="Arial"/>
          <w:sz w:val="18"/>
          <w:szCs w:val="18"/>
          <w:b w:val="1"/>
          <w:bCs w:val="1"/>
          <w:color w:val="auto"/>
        </w:rPr>
        <w:t>SECURITY OWNERSHIP OF CERTAIN BENEFICIAL OWNERS AND MANAGEMENT</w:t>
      </w:r>
    </w:p>
    <w:p>
      <w:pPr>
        <w:spacing w:after="0" w:line="164" w:lineRule="exact"/>
        <w:rPr>
          <w:sz w:val="20"/>
          <w:szCs w:val="20"/>
          <w:color w:val="auto"/>
        </w:rPr>
      </w:pPr>
    </w:p>
    <w:p>
      <w:pPr>
        <w:ind w:left="1620" w:right="2119"/>
        <w:spacing w:after="0" w:line="332" w:lineRule="auto"/>
        <w:rPr>
          <w:sz w:val="20"/>
          <w:szCs w:val="20"/>
          <w:color w:val="auto"/>
        </w:rPr>
      </w:pPr>
      <w:r>
        <w:rPr>
          <w:rFonts w:ascii="Arial" w:cs="Arial" w:eastAsia="Arial" w:hAnsi="Arial"/>
          <w:sz w:val="16"/>
          <w:szCs w:val="16"/>
          <w:color w:val="auto"/>
        </w:rPr>
        <w:t>Information responsive to this Item 12 is incorporated herein by reference to the Company’s definitive proxy statement for its 2006 Annual Meeting of Shareholders.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13.  </w:t>
      </w:r>
      <w:r>
        <w:rPr>
          <w:rFonts w:ascii="Arial" w:cs="Arial" w:eastAsia="Arial" w:hAnsi="Arial"/>
          <w:sz w:val="18"/>
          <w:szCs w:val="18"/>
          <w:b w:val="1"/>
          <w:bCs w:val="1"/>
          <w:color w:val="auto"/>
        </w:rPr>
        <w:t>CERTAIN RELATIONSHIPS AND RELATED TRANSACTIONS</w:t>
      </w:r>
    </w:p>
    <w:p>
      <w:pPr>
        <w:spacing w:after="0" w:line="164" w:lineRule="exact"/>
        <w:rPr>
          <w:sz w:val="20"/>
          <w:szCs w:val="20"/>
          <w:color w:val="auto"/>
        </w:rPr>
      </w:pPr>
    </w:p>
    <w:p>
      <w:pPr>
        <w:ind w:left="1620" w:right="2119"/>
        <w:spacing w:after="0" w:line="332" w:lineRule="auto"/>
        <w:rPr>
          <w:sz w:val="20"/>
          <w:szCs w:val="20"/>
          <w:color w:val="auto"/>
        </w:rPr>
      </w:pPr>
      <w:r>
        <w:rPr>
          <w:rFonts w:ascii="Arial" w:cs="Arial" w:eastAsia="Arial" w:hAnsi="Arial"/>
          <w:sz w:val="16"/>
          <w:szCs w:val="16"/>
          <w:color w:val="auto"/>
        </w:rPr>
        <w:t>Information responsive to this Item 13 is incorporated herein by reference to the Company’s definitive proxy statement for its 2006 Annual Meeting of Shareholders.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14.  </w:t>
      </w:r>
      <w:r>
        <w:rPr>
          <w:rFonts w:ascii="Arial" w:cs="Arial" w:eastAsia="Arial" w:hAnsi="Arial"/>
          <w:sz w:val="18"/>
          <w:szCs w:val="18"/>
          <w:b w:val="1"/>
          <w:bCs w:val="1"/>
          <w:color w:val="auto"/>
        </w:rPr>
        <w:t>PRINCIPAL ACCOUNTANT FEES AND SERVICES</w:t>
      </w:r>
    </w:p>
    <w:p>
      <w:pPr>
        <w:spacing w:after="0" w:line="164" w:lineRule="exact"/>
        <w:rPr>
          <w:sz w:val="20"/>
          <w:szCs w:val="20"/>
          <w:color w:val="auto"/>
        </w:rPr>
      </w:pPr>
    </w:p>
    <w:p>
      <w:pPr>
        <w:ind w:left="1620" w:right="2119"/>
        <w:spacing w:after="0" w:line="332" w:lineRule="auto"/>
        <w:rPr>
          <w:sz w:val="20"/>
          <w:szCs w:val="20"/>
          <w:color w:val="auto"/>
        </w:rPr>
      </w:pPr>
      <w:r>
        <w:rPr>
          <w:rFonts w:ascii="Arial" w:cs="Arial" w:eastAsia="Arial" w:hAnsi="Arial"/>
          <w:sz w:val="16"/>
          <w:szCs w:val="16"/>
          <w:color w:val="auto"/>
        </w:rPr>
        <w:t>Information responsive to this Item 14 is incorporated herein by reference to the Company’s definitive proxy statement for its 2006 Annual Meeting of Shareholders</w:t>
      </w:r>
    </w:p>
    <w:p>
      <w:pPr>
        <w:spacing w:after="0" w:line="13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90" w:right="1440" w:bottom="1440" w:gutter="0" w:footer="0" w:header="0"/>
        </w:sectPr>
      </w:pPr>
    </w:p>
    <w:bookmarkStart w:id="65" w:name="page66"/>
    <w:bookmarkEnd w:id="65"/>
    <w:p>
      <w:pPr>
        <w:ind w:left="3720"/>
        <w:spacing w:after="0"/>
        <w:rPr>
          <w:sz w:val="20"/>
          <w:szCs w:val="20"/>
          <w:color w:val="auto"/>
        </w:rPr>
      </w:pPr>
      <w:r>
        <w:rPr>
          <w:rFonts w:ascii="Arial" w:cs="Arial" w:eastAsia="Arial" w:hAnsi="Arial"/>
          <w:sz w:val="18"/>
          <w:szCs w:val="18"/>
          <w:b w:val="1"/>
          <w:bCs w:val="1"/>
          <w:color w:val="auto"/>
        </w:rPr>
        <w:t>PART IV</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15.  </w:t>
      </w:r>
      <w:r>
        <w:rPr>
          <w:rFonts w:ascii="Arial" w:cs="Arial" w:eastAsia="Arial" w:hAnsi="Arial"/>
          <w:sz w:val="18"/>
          <w:szCs w:val="18"/>
          <w:b w:val="1"/>
          <w:bCs w:val="1"/>
          <w:color w:val="auto"/>
        </w:rPr>
        <w:t>EXHIBITS AND FINANCIAL STATEMENT SCHEDULES</w:t>
      </w:r>
    </w:p>
    <w:p>
      <w:pPr>
        <w:spacing w:after="0" w:line="177" w:lineRule="exact"/>
        <w:rPr>
          <w:sz w:val="20"/>
          <w:szCs w:val="20"/>
          <w:color w:val="auto"/>
        </w:rPr>
      </w:pPr>
    </w:p>
    <w:p>
      <w:pPr>
        <w:ind w:left="1220" w:right="2539"/>
        <w:spacing w:after="0" w:line="332" w:lineRule="auto"/>
        <w:rPr>
          <w:sz w:val="20"/>
          <w:szCs w:val="20"/>
          <w:color w:val="auto"/>
        </w:rPr>
      </w:pPr>
      <w:r>
        <w:rPr>
          <w:rFonts w:ascii="Arial" w:cs="Arial" w:eastAsia="Arial" w:hAnsi="Arial"/>
          <w:sz w:val="16"/>
          <w:szCs w:val="16"/>
          <w:color w:val="auto"/>
        </w:rPr>
        <w:t>(a)(1) The following consolidated financial statements of the Company appear on pages F-2 through F-37 of this report and are incorporated by reference in Part II, Item 8:</w:t>
      </w:r>
    </w:p>
    <w:p>
      <w:pPr>
        <w:spacing w:after="0" w:line="7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Reports of Independent Registered Public Accounting Firm</w:t>
      </w:r>
    </w:p>
    <w:p>
      <w:pPr>
        <w:spacing w:after="0" w:line="15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Consolidated Financial Statements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Consolidated Balance Sheets as of December 31, 2005, 2004 and 2003</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Consolidated Statements of Income for the three years ended December 31, 2005</w:t>
      </w:r>
    </w:p>
    <w:p>
      <w:pPr>
        <w:spacing w:after="0" w:line="181" w:lineRule="exact"/>
        <w:rPr>
          <w:sz w:val="20"/>
          <w:szCs w:val="20"/>
          <w:color w:val="auto"/>
        </w:rPr>
      </w:pPr>
    </w:p>
    <w:p>
      <w:pPr>
        <w:ind w:left="1620" w:right="2219"/>
        <w:spacing w:after="0" w:line="268" w:lineRule="auto"/>
        <w:rPr>
          <w:sz w:val="20"/>
          <w:szCs w:val="20"/>
          <w:color w:val="auto"/>
        </w:rPr>
      </w:pPr>
      <w:r>
        <w:rPr>
          <w:rFonts w:ascii="Arial" w:cs="Arial" w:eastAsia="Arial" w:hAnsi="Arial"/>
          <w:sz w:val="18"/>
          <w:szCs w:val="18"/>
          <w:color w:val="auto"/>
        </w:rPr>
        <w:t>Consolidated Statements of Shareholders’ Equity and Comprehensive Income for the three years ended December 31, 2005</w:t>
      </w:r>
    </w:p>
    <w:p>
      <w:pPr>
        <w:spacing w:after="0" w:line="118" w:lineRule="exact"/>
        <w:rPr>
          <w:sz w:val="20"/>
          <w:szCs w:val="20"/>
          <w:color w:val="auto"/>
        </w:rPr>
      </w:pPr>
    </w:p>
    <w:p>
      <w:pPr>
        <w:ind w:left="1620" w:right="2579"/>
        <w:spacing w:after="0" w:line="422" w:lineRule="auto"/>
        <w:rPr>
          <w:sz w:val="20"/>
          <w:szCs w:val="20"/>
          <w:color w:val="auto"/>
        </w:rPr>
      </w:pPr>
      <w:r>
        <w:rPr>
          <w:rFonts w:ascii="Arial" w:cs="Arial" w:eastAsia="Arial" w:hAnsi="Arial"/>
          <w:sz w:val="18"/>
          <w:szCs w:val="18"/>
          <w:color w:val="auto"/>
        </w:rPr>
        <w:t>Consolidated Statements of Cash Flows for the three years ended December 31, 2005 Notes to Consolidated Financial Statements</w:t>
      </w:r>
    </w:p>
    <w:p>
      <w:pPr>
        <w:spacing w:after="0" w:line="1" w:lineRule="exact"/>
        <w:rPr>
          <w:sz w:val="20"/>
          <w:szCs w:val="20"/>
          <w:color w:val="auto"/>
        </w:rPr>
      </w:pPr>
    </w:p>
    <w:p>
      <w:pPr>
        <w:ind w:left="1900" w:right="3199" w:hanging="674"/>
        <w:spacing w:after="0" w:line="256" w:lineRule="auto"/>
        <w:rPr>
          <w:sz w:val="20"/>
          <w:szCs w:val="20"/>
          <w:color w:val="auto"/>
        </w:rPr>
      </w:pPr>
      <w:r>
        <w:rPr>
          <w:rFonts w:ascii="Arial" w:cs="Arial" w:eastAsia="Arial" w:hAnsi="Arial"/>
          <w:sz w:val="18"/>
          <w:szCs w:val="18"/>
          <w:color w:val="auto"/>
        </w:rPr>
        <w:t>(a)(2) All schedules for which provision is made in the applicable accounting regulations of the Securities and Exchange Commission are not required under the related instructions or are inapplicable and therefore have been omitted.</w:t>
      </w:r>
    </w:p>
    <w:p>
      <w:pPr>
        <w:spacing w:after="0" w:line="130" w:lineRule="exact"/>
        <w:rPr>
          <w:sz w:val="20"/>
          <w:szCs w:val="20"/>
          <w:color w:val="auto"/>
        </w:rPr>
      </w:pPr>
    </w:p>
    <w:p>
      <w:pPr>
        <w:ind w:left="1900" w:right="2959" w:hanging="674"/>
        <w:spacing w:after="0" w:line="370" w:lineRule="auto"/>
        <w:rPr>
          <w:sz w:val="20"/>
          <w:szCs w:val="20"/>
          <w:color w:val="auto"/>
        </w:rPr>
      </w:pPr>
      <w:r>
        <w:rPr>
          <w:rFonts w:ascii="Arial" w:cs="Arial" w:eastAsia="Arial" w:hAnsi="Arial"/>
          <w:sz w:val="15"/>
          <w:szCs w:val="15"/>
          <w:color w:val="auto"/>
        </w:rPr>
        <w:t>(a)(3) The following exhibits are either filed with this Form 10-K or incorporated herein by reference. Our Securities Exchange Act file number is 000-09881.</w:t>
      </w:r>
    </w:p>
    <w:p>
      <w:pPr>
        <w:spacing w:after="0" w:line="26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u w:val="single" w:color="auto"/>
          <w:color w:val="auto"/>
        </w:rPr>
        <w:t>Exhibits Index</w:t>
      </w:r>
    </w:p>
    <w:p>
      <w:pPr>
        <w:sectPr>
          <w:pgSz w:w="11900" w:h="16838" w:orient="portrait"/>
          <w:cols w:equalWidth="0" w:num="1">
            <w:col w:w="10219"/>
          </w:cols>
          <w:pgMar w:left="240" w:top="584" w:right="1440" w:bottom="1440" w:gutter="0" w:footer="0" w:header="0"/>
        </w:sect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29146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83185</wp:posOffset>
            </wp:positionV>
            <wp:extent cx="7543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500" w:space="720"/>
            <w:col w:w="8999"/>
          </w:cols>
          <w:pgMar w:left="240" w:top="584" w:right="1440" w:bottom="1440" w:gutter="0" w:footer="0" w:header="0"/>
          <w:type w:val="continuous"/>
        </w:sectPr>
      </w:pP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3.1</w:t>
            </w:r>
          </w:p>
        </w:tc>
        <w:tc>
          <w:tcPr>
            <w:tcW w:w="7580" w:type="dxa"/>
            <w:vAlign w:val="bottom"/>
          </w:tcPr>
          <w:p>
            <w:pPr>
              <w:ind w:left="240"/>
              <w:spacing w:after="0"/>
              <w:rPr>
                <w:sz w:val="20"/>
                <w:szCs w:val="20"/>
                <w:color w:val="auto"/>
              </w:rPr>
            </w:pPr>
            <w:r>
              <w:rPr>
                <w:rFonts w:ascii="Arial" w:cs="Arial" w:eastAsia="Arial" w:hAnsi="Arial"/>
                <w:sz w:val="18"/>
                <w:szCs w:val="18"/>
                <w:color w:val="auto"/>
                <w:w w:val="88"/>
              </w:rPr>
              <w:t>Amended and Restated Articles of Incorporation of Shenandoah Telecommunications Company filed as</w:t>
            </w:r>
          </w:p>
        </w:tc>
      </w:tr>
      <w:tr>
        <w:trPr>
          <w:trHeight w:val="222"/>
        </w:trPr>
        <w:tc>
          <w:tcPr>
            <w:tcW w:w="560" w:type="dxa"/>
            <w:vAlign w:val="bottom"/>
          </w:tcPr>
          <w:p>
            <w:pPr>
              <w:spacing w:after="0"/>
              <w:rPr>
                <w:sz w:val="19"/>
                <w:szCs w:val="19"/>
                <w:color w:val="auto"/>
              </w:rPr>
            </w:pPr>
          </w:p>
        </w:tc>
        <w:tc>
          <w:tcPr>
            <w:tcW w:w="7580" w:type="dxa"/>
            <w:vAlign w:val="bottom"/>
          </w:tcPr>
          <w:p>
            <w:pPr>
              <w:ind w:left="240"/>
              <w:spacing w:after="0"/>
              <w:rPr>
                <w:sz w:val="20"/>
                <w:szCs w:val="20"/>
                <w:color w:val="auto"/>
              </w:rPr>
            </w:pPr>
            <w:r>
              <w:rPr>
                <w:rFonts w:ascii="Arial" w:cs="Arial" w:eastAsia="Arial" w:hAnsi="Arial"/>
                <w:sz w:val="18"/>
                <w:szCs w:val="18"/>
                <w:color w:val="auto"/>
              </w:rPr>
              <w:t>Exhibit 4.2 to the Company’s Registration Statement on Form S-8 (No. 333-21733).</w:t>
            </w:r>
          </w:p>
        </w:tc>
      </w:tr>
      <w:tr>
        <w:trPr>
          <w:trHeight w:val="358"/>
        </w:trPr>
        <w:tc>
          <w:tcPr>
            <w:tcW w:w="560" w:type="dxa"/>
            <w:vAlign w:val="bottom"/>
          </w:tcPr>
          <w:p>
            <w:pPr>
              <w:spacing w:after="0"/>
              <w:rPr>
                <w:sz w:val="20"/>
                <w:szCs w:val="20"/>
                <w:color w:val="auto"/>
              </w:rPr>
            </w:pPr>
            <w:r>
              <w:rPr>
                <w:rFonts w:ascii="Arial" w:cs="Arial" w:eastAsia="Arial" w:hAnsi="Arial"/>
                <w:sz w:val="18"/>
                <w:szCs w:val="18"/>
                <w:color w:val="auto"/>
              </w:rPr>
              <w:t>3.2</w:t>
            </w:r>
          </w:p>
        </w:tc>
        <w:tc>
          <w:tcPr>
            <w:tcW w:w="7580" w:type="dxa"/>
            <w:vAlign w:val="bottom"/>
          </w:tcPr>
          <w:p>
            <w:pPr>
              <w:ind w:left="240"/>
              <w:spacing w:after="0"/>
              <w:rPr>
                <w:sz w:val="20"/>
                <w:szCs w:val="20"/>
                <w:color w:val="auto"/>
              </w:rPr>
            </w:pPr>
            <w:r>
              <w:rPr>
                <w:rFonts w:ascii="Arial" w:cs="Arial" w:eastAsia="Arial" w:hAnsi="Arial"/>
                <w:sz w:val="18"/>
                <w:szCs w:val="18"/>
                <w:color w:val="auto"/>
                <w:w w:val="88"/>
              </w:rPr>
              <w:t>Shenandoah Telecommunications Company Bylaws, as amended, filed as Exhibit 3.2 to the Company’s</w:t>
            </w:r>
          </w:p>
        </w:tc>
      </w:tr>
      <w:tr>
        <w:trPr>
          <w:trHeight w:val="222"/>
        </w:trPr>
        <w:tc>
          <w:tcPr>
            <w:tcW w:w="560" w:type="dxa"/>
            <w:vAlign w:val="bottom"/>
          </w:tcPr>
          <w:p>
            <w:pPr>
              <w:spacing w:after="0"/>
              <w:rPr>
                <w:sz w:val="19"/>
                <w:szCs w:val="19"/>
                <w:color w:val="auto"/>
              </w:rPr>
            </w:pPr>
          </w:p>
        </w:tc>
        <w:tc>
          <w:tcPr>
            <w:tcW w:w="7580" w:type="dxa"/>
            <w:vAlign w:val="bottom"/>
          </w:tcPr>
          <w:p>
            <w:pPr>
              <w:ind w:left="240"/>
              <w:spacing w:after="0"/>
              <w:rPr>
                <w:sz w:val="20"/>
                <w:szCs w:val="20"/>
                <w:color w:val="auto"/>
              </w:rPr>
            </w:pPr>
            <w:r>
              <w:rPr>
                <w:rFonts w:ascii="Arial" w:cs="Arial" w:eastAsia="Arial" w:hAnsi="Arial"/>
                <w:sz w:val="18"/>
                <w:szCs w:val="18"/>
                <w:color w:val="auto"/>
              </w:rPr>
              <w:t>Report on Form 10-K for the year ended December 31, 2003.</w:t>
            </w:r>
          </w:p>
        </w:tc>
      </w:tr>
      <w:tr>
        <w:trPr>
          <w:trHeight w:val="358"/>
        </w:trPr>
        <w:tc>
          <w:tcPr>
            <w:tcW w:w="560" w:type="dxa"/>
            <w:vAlign w:val="bottom"/>
          </w:tcPr>
          <w:p>
            <w:pPr>
              <w:spacing w:after="0"/>
              <w:rPr>
                <w:sz w:val="20"/>
                <w:szCs w:val="20"/>
                <w:color w:val="auto"/>
              </w:rPr>
            </w:pPr>
            <w:r>
              <w:rPr>
                <w:rFonts w:ascii="Arial" w:cs="Arial" w:eastAsia="Arial" w:hAnsi="Arial"/>
                <w:sz w:val="18"/>
                <w:szCs w:val="18"/>
                <w:color w:val="auto"/>
              </w:rPr>
              <w:t>4.1</w:t>
            </w:r>
          </w:p>
        </w:tc>
        <w:tc>
          <w:tcPr>
            <w:tcW w:w="7580" w:type="dxa"/>
            <w:vAlign w:val="bottom"/>
          </w:tcPr>
          <w:p>
            <w:pPr>
              <w:ind w:left="240"/>
              <w:spacing w:after="0"/>
              <w:rPr>
                <w:sz w:val="20"/>
                <w:szCs w:val="20"/>
                <w:color w:val="auto"/>
              </w:rPr>
            </w:pPr>
            <w:r>
              <w:rPr>
                <w:rFonts w:ascii="Arial" w:cs="Arial" w:eastAsia="Arial" w:hAnsi="Arial"/>
                <w:sz w:val="18"/>
                <w:szCs w:val="18"/>
                <w:color w:val="auto"/>
                <w:w w:val="94"/>
              </w:rPr>
              <w:t>Rights Agreement, dated as of February 8, 1998 between the Company and Crestar Bank filed as</w:t>
            </w:r>
          </w:p>
        </w:tc>
      </w:tr>
      <w:tr>
        <w:trPr>
          <w:trHeight w:val="222"/>
        </w:trPr>
        <w:tc>
          <w:tcPr>
            <w:tcW w:w="560" w:type="dxa"/>
            <w:vAlign w:val="bottom"/>
          </w:tcPr>
          <w:p>
            <w:pPr>
              <w:spacing w:after="0"/>
              <w:rPr>
                <w:sz w:val="19"/>
                <w:szCs w:val="19"/>
                <w:color w:val="auto"/>
              </w:rPr>
            </w:pPr>
          </w:p>
        </w:tc>
        <w:tc>
          <w:tcPr>
            <w:tcW w:w="7580" w:type="dxa"/>
            <w:vAlign w:val="bottom"/>
          </w:tcPr>
          <w:p>
            <w:pPr>
              <w:ind w:left="240"/>
              <w:spacing w:after="0"/>
              <w:rPr>
                <w:sz w:val="20"/>
                <w:szCs w:val="20"/>
                <w:color w:val="auto"/>
              </w:rPr>
            </w:pPr>
            <w:r>
              <w:rPr>
                <w:rFonts w:ascii="Arial" w:cs="Arial" w:eastAsia="Arial" w:hAnsi="Arial"/>
                <w:sz w:val="18"/>
                <w:szCs w:val="18"/>
                <w:color w:val="auto"/>
              </w:rPr>
              <w:t>Exhibit 1 to the Company’s Current Report on Form 8-K, dated February 9, 1998).</w:t>
            </w:r>
          </w:p>
        </w:tc>
      </w:tr>
      <w:tr>
        <w:trPr>
          <w:trHeight w:val="358"/>
        </w:trPr>
        <w:tc>
          <w:tcPr>
            <w:tcW w:w="560" w:type="dxa"/>
            <w:vAlign w:val="bottom"/>
          </w:tcPr>
          <w:p>
            <w:pPr>
              <w:spacing w:after="0"/>
              <w:rPr>
                <w:sz w:val="20"/>
                <w:szCs w:val="20"/>
                <w:color w:val="auto"/>
              </w:rPr>
            </w:pPr>
            <w:r>
              <w:rPr>
                <w:rFonts w:ascii="Arial" w:cs="Arial" w:eastAsia="Arial" w:hAnsi="Arial"/>
                <w:sz w:val="18"/>
                <w:szCs w:val="18"/>
                <w:color w:val="auto"/>
              </w:rPr>
              <w:t>4.2</w:t>
            </w:r>
          </w:p>
        </w:tc>
        <w:tc>
          <w:tcPr>
            <w:tcW w:w="7580" w:type="dxa"/>
            <w:vAlign w:val="bottom"/>
          </w:tcPr>
          <w:p>
            <w:pPr>
              <w:ind w:left="240"/>
              <w:spacing w:after="0"/>
              <w:rPr>
                <w:sz w:val="20"/>
                <w:szCs w:val="20"/>
                <w:color w:val="auto"/>
              </w:rPr>
            </w:pPr>
            <w:r>
              <w:rPr>
                <w:rFonts w:ascii="Arial" w:cs="Arial" w:eastAsia="Arial" w:hAnsi="Arial"/>
                <w:sz w:val="18"/>
                <w:szCs w:val="18"/>
                <w:color w:val="auto"/>
                <w:w w:val="93"/>
              </w:rPr>
              <w:t>Shenandoah Telecommunications Company Dividend Reinvestment Plan filed as Exhibit 4.1 to the</w:t>
            </w:r>
          </w:p>
        </w:tc>
      </w:tr>
      <w:tr>
        <w:trPr>
          <w:trHeight w:val="222"/>
        </w:trPr>
        <w:tc>
          <w:tcPr>
            <w:tcW w:w="560" w:type="dxa"/>
            <w:vAlign w:val="bottom"/>
          </w:tcPr>
          <w:p>
            <w:pPr>
              <w:spacing w:after="0"/>
              <w:rPr>
                <w:sz w:val="19"/>
                <w:szCs w:val="19"/>
                <w:color w:val="auto"/>
              </w:rPr>
            </w:pPr>
          </w:p>
        </w:tc>
        <w:tc>
          <w:tcPr>
            <w:tcW w:w="7580" w:type="dxa"/>
            <w:vAlign w:val="bottom"/>
          </w:tcPr>
          <w:p>
            <w:pPr>
              <w:ind w:left="240"/>
              <w:spacing w:after="0"/>
              <w:rPr>
                <w:sz w:val="20"/>
                <w:szCs w:val="20"/>
                <w:color w:val="auto"/>
              </w:rPr>
            </w:pPr>
            <w:r>
              <w:rPr>
                <w:rFonts w:ascii="Arial" w:cs="Arial" w:eastAsia="Arial" w:hAnsi="Arial"/>
                <w:sz w:val="18"/>
                <w:szCs w:val="18"/>
                <w:color w:val="auto"/>
                <w:w w:val="88"/>
              </w:rPr>
              <w:t>Company’s Registration Statement on Form S-3 (No. 333-74297) and incorporated herein by reference.</w:t>
            </w:r>
          </w:p>
        </w:tc>
      </w:tr>
      <w:tr>
        <w:trPr>
          <w:trHeight w:val="358"/>
        </w:trPr>
        <w:tc>
          <w:tcPr>
            <w:tcW w:w="560" w:type="dxa"/>
            <w:vAlign w:val="bottom"/>
          </w:tcPr>
          <w:p>
            <w:pPr>
              <w:spacing w:after="0"/>
              <w:rPr>
                <w:sz w:val="20"/>
                <w:szCs w:val="20"/>
                <w:color w:val="auto"/>
              </w:rPr>
            </w:pPr>
            <w:r>
              <w:rPr>
                <w:rFonts w:ascii="Arial" w:cs="Arial" w:eastAsia="Arial" w:hAnsi="Arial"/>
                <w:sz w:val="18"/>
                <w:szCs w:val="18"/>
                <w:color w:val="auto"/>
              </w:rPr>
              <w:t>4.3</w:t>
            </w:r>
          </w:p>
        </w:tc>
        <w:tc>
          <w:tcPr>
            <w:tcW w:w="7580" w:type="dxa"/>
            <w:vAlign w:val="bottom"/>
          </w:tcPr>
          <w:p>
            <w:pPr>
              <w:ind w:left="240"/>
              <w:spacing w:after="0"/>
              <w:rPr>
                <w:sz w:val="20"/>
                <w:szCs w:val="20"/>
                <w:color w:val="auto"/>
              </w:rPr>
            </w:pPr>
            <w:r>
              <w:rPr>
                <w:rFonts w:ascii="Arial" w:cs="Arial" w:eastAsia="Arial" w:hAnsi="Arial"/>
                <w:sz w:val="18"/>
                <w:szCs w:val="18"/>
                <w:color w:val="auto"/>
                <w:w w:val="97"/>
              </w:rPr>
              <w:t>Specimen representing the Common Stock, no par value, of Shenandoah Telecommunications</w:t>
            </w:r>
          </w:p>
        </w:tc>
      </w:tr>
      <w:tr>
        <w:trPr>
          <w:trHeight w:val="216"/>
        </w:trPr>
        <w:tc>
          <w:tcPr>
            <w:tcW w:w="560" w:type="dxa"/>
            <w:vAlign w:val="bottom"/>
          </w:tcPr>
          <w:p>
            <w:pPr>
              <w:spacing w:after="0"/>
              <w:rPr>
                <w:sz w:val="18"/>
                <w:szCs w:val="18"/>
                <w:color w:val="auto"/>
              </w:rPr>
            </w:pPr>
          </w:p>
        </w:tc>
        <w:tc>
          <w:tcPr>
            <w:tcW w:w="7580" w:type="dxa"/>
            <w:vAlign w:val="bottom"/>
          </w:tcPr>
          <w:p>
            <w:pPr>
              <w:ind w:left="240"/>
              <w:spacing w:after="0"/>
              <w:rPr>
                <w:sz w:val="20"/>
                <w:szCs w:val="20"/>
                <w:color w:val="auto"/>
              </w:rPr>
            </w:pPr>
            <w:r>
              <w:rPr>
                <w:rFonts w:ascii="Arial" w:cs="Arial" w:eastAsia="Arial" w:hAnsi="Arial"/>
                <w:sz w:val="18"/>
                <w:szCs w:val="18"/>
                <w:color w:val="auto"/>
                <w:w w:val="89"/>
              </w:rPr>
              <w:t>Company filed as Exhibit 4.3 to the Company’s Report on Form 10-K for the year ended December 31,</w:t>
            </w:r>
          </w:p>
        </w:tc>
      </w:tr>
      <w:tr>
        <w:trPr>
          <w:trHeight w:val="222"/>
        </w:trPr>
        <w:tc>
          <w:tcPr>
            <w:tcW w:w="560" w:type="dxa"/>
            <w:vAlign w:val="bottom"/>
          </w:tcPr>
          <w:p>
            <w:pPr>
              <w:spacing w:after="0"/>
              <w:rPr>
                <w:sz w:val="19"/>
                <w:szCs w:val="19"/>
                <w:color w:val="auto"/>
              </w:rPr>
            </w:pPr>
          </w:p>
        </w:tc>
        <w:tc>
          <w:tcPr>
            <w:tcW w:w="7580" w:type="dxa"/>
            <w:vAlign w:val="bottom"/>
          </w:tcPr>
          <w:p>
            <w:pPr>
              <w:ind w:left="240"/>
              <w:spacing w:after="0"/>
              <w:rPr>
                <w:sz w:val="20"/>
                <w:szCs w:val="20"/>
                <w:color w:val="auto"/>
              </w:rPr>
            </w:pPr>
            <w:r>
              <w:rPr>
                <w:rFonts w:ascii="Arial" w:cs="Arial" w:eastAsia="Arial" w:hAnsi="Arial"/>
                <w:sz w:val="18"/>
                <w:szCs w:val="18"/>
                <w:color w:val="auto"/>
              </w:rPr>
              <w:t>2004.</w:t>
            </w:r>
          </w:p>
        </w:tc>
      </w:tr>
      <w:tr>
        <w:trPr>
          <w:trHeight w:val="358"/>
        </w:trPr>
        <w:tc>
          <w:tcPr>
            <w:tcW w:w="560" w:type="dxa"/>
            <w:vAlign w:val="bottom"/>
          </w:tcPr>
          <w:p>
            <w:pPr>
              <w:spacing w:after="0"/>
              <w:rPr>
                <w:sz w:val="20"/>
                <w:szCs w:val="20"/>
                <w:color w:val="auto"/>
              </w:rPr>
            </w:pPr>
            <w:r>
              <w:rPr>
                <w:rFonts w:ascii="Arial" w:cs="Arial" w:eastAsia="Arial" w:hAnsi="Arial"/>
                <w:sz w:val="18"/>
                <w:szCs w:val="18"/>
                <w:color w:val="auto"/>
              </w:rPr>
              <w:t>10.1</w:t>
            </w:r>
          </w:p>
        </w:tc>
        <w:tc>
          <w:tcPr>
            <w:tcW w:w="7580" w:type="dxa"/>
            <w:vAlign w:val="bottom"/>
          </w:tcPr>
          <w:p>
            <w:pPr>
              <w:ind w:left="240"/>
              <w:spacing w:after="0"/>
              <w:rPr>
                <w:sz w:val="20"/>
                <w:szCs w:val="20"/>
                <w:color w:val="auto"/>
              </w:rPr>
            </w:pPr>
            <w:r>
              <w:rPr>
                <w:rFonts w:ascii="Arial" w:cs="Arial" w:eastAsia="Arial" w:hAnsi="Arial"/>
                <w:sz w:val="18"/>
                <w:szCs w:val="18"/>
                <w:color w:val="auto"/>
                <w:w w:val="89"/>
              </w:rPr>
              <w:t>Shenandoah Telecommunications Company Stock Incentive Plan filed as Exhibit 4.1 to the Company’s</w:t>
            </w:r>
          </w:p>
        </w:tc>
      </w:tr>
      <w:tr>
        <w:trPr>
          <w:trHeight w:val="222"/>
        </w:trPr>
        <w:tc>
          <w:tcPr>
            <w:tcW w:w="560" w:type="dxa"/>
            <w:vAlign w:val="bottom"/>
          </w:tcPr>
          <w:p>
            <w:pPr>
              <w:spacing w:after="0"/>
              <w:rPr>
                <w:sz w:val="19"/>
                <w:szCs w:val="19"/>
                <w:color w:val="auto"/>
              </w:rPr>
            </w:pPr>
          </w:p>
        </w:tc>
        <w:tc>
          <w:tcPr>
            <w:tcW w:w="7580" w:type="dxa"/>
            <w:vAlign w:val="bottom"/>
          </w:tcPr>
          <w:p>
            <w:pPr>
              <w:ind w:left="240"/>
              <w:spacing w:after="0"/>
              <w:rPr>
                <w:sz w:val="20"/>
                <w:szCs w:val="20"/>
                <w:color w:val="auto"/>
              </w:rPr>
            </w:pPr>
            <w:r>
              <w:rPr>
                <w:rFonts w:ascii="Arial" w:cs="Arial" w:eastAsia="Arial" w:hAnsi="Arial"/>
                <w:sz w:val="18"/>
                <w:szCs w:val="18"/>
                <w:color w:val="auto"/>
              </w:rPr>
              <w:t>Registration Statement on Form S-8 (No. 333-21733) and incorporated herein by reference.</w:t>
            </w:r>
          </w:p>
        </w:tc>
      </w:tr>
      <w:tr>
        <w:trPr>
          <w:trHeight w:val="358"/>
        </w:trPr>
        <w:tc>
          <w:tcPr>
            <w:tcW w:w="560" w:type="dxa"/>
            <w:vAlign w:val="bottom"/>
          </w:tcPr>
          <w:p>
            <w:pPr>
              <w:spacing w:after="0"/>
              <w:rPr>
                <w:sz w:val="20"/>
                <w:szCs w:val="20"/>
                <w:color w:val="auto"/>
              </w:rPr>
            </w:pPr>
            <w:r>
              <w:rPr>
                <w:rFonts w:ascii="Arial" w:cs="Arial" w:eastAsia="Arial" w:hAnsi="Arial"/>
                <w:sz w:val="18"/>
                <w:szCs w:val="18"/>
                <w:color w:val="auto"/>
              </w:rPr>
              <w:t>10.2</w:t>
            </w:r>
          </w:p>
        </w:tc>
        <w:tc>
          <w:tcPr>
            <w:tcW w:w="7580" w:type="dxa"/>
            <w:vAlign w:val="bottom"/>
          </w:tcPr>
          <w:p>
            <w:pPr>
              <w:ind w:left="240"/>
              <w:spacing w:after="0"/>
              <w:rPr>
                <w:sz w:val="20"/>
                <w:szCs w:val="20"/>
                <w:color w:val="auto"/>
              </w:rPr>
            </w:pPr>
            <w:r>
              <w:rPr>
                <w:rFonts w:ascii="Arial" w:cs="Arial" w:eastAsia="Arial" w:hAnsi="Arial"/>
                <w:sz w:val="18"/>
                <w:szCs w:val="18"/>
                <w:color w:val="auto"/>
                <w:w w:val="93"/>
              </w:rPr>
              <w:t>Shenandoah Telecommunications Company Dividend Reinvestment Plan filed as Exhibit 4.4 to the</w:t>
            </w:r>
          </w:p>
        </w:tc>
      </w:tr>
      <w:tr>
        <w:trPr>
          <w:trHeight w:val="216"/>
        </w:trPr>
        <w:tc>
          <w:tcPr>
            <w:tcW w:w="560" w:type="dxa"/>
            <w:vAlign w:val="bottom"/>
          </w:tcPr>
          <w:p>
            <w:pPr>
              <w:spacing w:after="0"/>
              <w:rPr>
                <w:sz w:val="18"/>
                <w:szCs w:val="18"/>
                <w:color w:val="auto"/>
              </w:rPr>
            </w:pPr>
          </w:p>
        </w:tc>
        <w:tc>
          <w:tcPr>
            <w:tcW w:w="7580" w:type="dxa"/>
            <w:vAlign w:val="bottom"/>
          </w:tcPr>
          <w:p>
            <w:pPr>
              <w:ind w:left="240"/>
              <w:spacing w:after="0"/>
              <w:rPr>
                <w:sz w:val="20"/>
                <w:szCs w:val="20"/>
                <w:color w:val="auto"/>
              </w:rPr>
            </w:pPr>
            <w:r>
              <w:rPr>
                <w:rFonts w:ascii="Arial" w:cs="Arial" w:eastAsia="Arial" w:hAnsi="Arial"/>
                <w:sz w:val="18"/>
                <w:szCs w:val="18"/>
                <w:color w:val="auto"/>
                <w:w w:val="97"/>
              </w:rPr>
              <w:t>Company’s Registration Statement on Form S-3D (No. 333-74297) and incorporated herein by</w:t>
            </w:r>
          </w:p>
        </w:tc>
      </w:tr>
      <w:tr>
        <w:trPr>
          <w:trHeight w:val="222"/>
        </w:trPr>
        <w:tc>
          <w:tcPr>
            <w:tcW w:w="560" w:type="dxa"/>
            <w:vAlign w:val="bottom"/>
          </w:tcPr>
          <w:p>
            <w:pPr>
              <w:spacing w:after="0"/>
              <w:rPr>
                <w:sz w:val="19"/>
                <w:szCs w:val="19"/>
                <w:color w:val="auto"/>
              </w:rPr>
            </w:pPr>
          </w:p>
        </w:tc>
        <w:tc>
          <w:tcPr>
            <w:tcW w:w="7580" w:type="dxa"/>
            <w:vAlign w:val="bottom"/>
          </w:tcPr>
          <w:p>
            <w:pPr>
              <w:ind w:left="240"/>
              <w:spacing w:after="0"/>
              <w:rPr>
                <w:sz w:val="20"/>
                <w:szCs w:val="20"/>
                <w:color w:val="auto"/>
              </w:rPr>
            </w:pPr>
            <w:r>
              <w:rPr>
                <w:rFonts w:ascii="Arial" w:cs="Arial" w:eastAsia="Arial" w:hAnsi="Arial"/>
                <w:sz w:val="18"/>
                <w:szCs w:val="18"/>
                <w:color w:val="auto"/>
              </w:rPr>
              <w:t>reference.</w:t>
            </w:r>
          </w:p>
        </w:tc>
      </w:tr>
      <w:tr>
        <w:trPr>
          <w:trHeight w:val="358"/>
        </w:trPr>
        <w:tc>
          <w:tcPr>
            <w:tcW w:w="560" w:type="dxa"/>
            <w:vAlign w:val="bottom"/>
          </w:tcPr>
          <w:p>
            <w:pPr>
              <w:spacing w:after="0"/>
              <w:rPr>
                <w:sz w:val="20"/>
                <w:szCs w:val="20"/>
                <w:color w:val="auto"/>
              </w:rPr>
            </w:pPr>
            <w:r>
              <w:rPr>
                <w:rFonts w:ascii="Arial" w:cs="Arial" w:eastAsia="Arial" w:hAnsi="Arial"/>
                <w:sz w:val="18"/>
                <w:szCs w:val="18"/>
                <w:color w:val="auto"/>
              </w:rPr>
              <w:t>10.3</w:t>
            </w:r>
          </w:p>
        </w:tc>
        <w:tc>
          <w:tcPr>
            <w:tcW w:w="7580" w:type="dxa"/>
            <w:vAlign w:val="bottom"/>
          </w:tcPr>
          <w:p>
            <w:pPr>
              <w:ind w:left="240"/>
              <w:spacing w:after="0"/>
              <w:rPr>
                <w:sz w:val="20"/>
                <w:szCs w:val="20"/>
                <w:color w:val="auto"/>
              </w:rPr>
            </w:pPr>
            <w:r>
              <w:rPr>
                <w:rFonts w:ascii="Arial" w:cs="Arial" w:eastAsia="Arial" w:hAnsi="Arial"/>
                <w:sz w:val="18"/>
                <w:szCs w:val="18"/>
                <w:color w:val="auto"/>
                <w:w w:val="87"/>
              </w:rPr>
              <w:t>Settlement Agreement and Mutual Release dated as of January 30, 2004 by and among Sprint Spectrum</w:t>
            </w:r>
          </w:p>
        </w:tc>
      </w:tr>
      <w:tr>
        <w:trPr>
          <w:trHeight w:val="216"/>
        </w:trPr>
        <w:tc>
          <w:tcPr>
            <w:tcW w:w="560" w:type="dxa"/>
            <w:vAlign w:val="bottom"/>
          </w:tcPr>
          <w:p>
            <w:pPr>
              <w:spacing w:after="0"/>
              <w:rPr>
                <w:sz w:val="18"/>
                <w:szCs w:val="18"/>
                <w:color w:val="auto"/>
              </w:rPr>
            </w:pPr>
          </w:p>
        </w:tc>
        <w:tc>
          <w:tcPr>
            <w:tcW w:w="7580" w:type="dxa"/>
            <w:vAlign w:val="bottom"/>
          </w:tcPr>
          <w:p>
            <w:pPr>
              <w:ind w:left="240"/>
              <w:spacing w:after="0"/>
              <w:rPr>
                <w:sz w:val="20"/>
                <w:szCs w:val="20"/>
                <w:color w:val="auto"/>
              </w:rPr>
            </w:pPr>
            <w:r>
              <w:rPr>
                <w:rFonts w:ascii="Arial" w:cs="Arial" w:eastAsia="Arial" w:hAnsi="Arial"/>
                <w:sz w:val="18"/>
                <w:szCs w:val="18"/>
                <w:color w:val="auto"/>
                <w:w w:val="93"/>
              </w:rPr>
              <w:t>L.P., Sprint Communications Company L.P., WirelessCo, L.P., APC PCS, LLC, PhillieCo, L.P. and</w:t>
            </w:r>
          </w:p>
        </w:tc>
      </w:tr>
      <w:tr>
        <w:trPr>
          <w:trHeight w:val="216"/>
        </w:trPr>
        <w:tc>
          <w:tcPr>
            <w:tcW w:w="560" w:type="dxa"/>
            <w:vAlign w:val="bottom"/>
          </w:tcPr>
          <w:p>
            <w:pPr>
              <w:spacing w:after="0"/>
              <w:rPr>
                <w:sz w:val="18"/>
                <w:szCs w:val="18"/>
                <w:color w:val="auto"/>
              </w:rPr>
            </w:pPr>
          </w:p>
        </w:tc>
        <w:tc>
          <w:tcPr>
            <w:tcW w:w="7580" w:type="dxa"/>
            <w:vAlign w:val="bottom"/>
          </w:tcPr>
          <w:p>
            <w:pPr>
              <w:ind w:left="240"/>
              <w:spacing w:after="0"/>
              <w:rPr>
                <w:sz w:val="20"/>
                <w:szCs w:val="20"/>
                <w:color w:val="auto"/>
              </w:rPr>
            </w:pPr>
            <w:r>
              <w:rPr>
                <w:rFonts w:ascii="Arial" w:cs="Arial" w:eastAsia="Arial" w:hAnsi="Arial"/>
                <w:sz w:val="18"/>
                <w:szCs w:val="18"/>
                <w:color w:val="auto"/>
                <w:w w:val="91"/>
              </w:rPr>
              <w:t>Shenandoah Personal Communications Company and Shenandoah Telecommunications Company,</w:t>
            </w:r>
          </w:p>
        </w:tc>
      </w:tr>
      <w:tr>
        <w:trPr>
          <w:trHeight w:val="216"/>
        </w:trPr>
        <w:tc>
          <w:tcPr>
            <w:tcW w:w="560" w:type="dxa"/>
            <w:vAlign w:val="bottom"/>
          </w:tcPr>
          <w:p>
            <w:pPr>
              <w:spacing w:after="0"/>
              <w:rPr>
                <w:sz w:val="18"/>
                <w:szCs w:val="18"/>
                <w:color w:val="auto"/>
              </w:rPr>
            </w:pPr>
          </w:p>
        </w:tc>
        <w:tc>
          <w:tcPr>
            <w:tcW w:w="7580" w:type="dxa"/>
            <w:vAlign w:val="bottom"/>
          </w:tcPr>
          <w:p>
            <w:pPr>
              <w:ind w:left="240"/>
              <w:spacing w:after="0"/>
              <w:rPr>
                <w:sz w:val="20"/>
                <w:szCs w:val="20"/>
                <w:color w:val="auto"/>
              </w:rPr>
            </w:pPr>
            <w:r>
              <w:rPr>
                <w:rFonts w:ascii="Arial" w:cs="Arial" w:eastAsia="Arial" w:hAnsi="Arial"/>
                <w:sz w:val="18"/>
                <w:szCs w:val="18"/>
                <w:color w:val="auto"/>
                <w:w w:val="95"/>
              </w:rPr>
              <w:t>dated January 30, 2004; filed as Exhibit 10.3 to the Company’s Report on Form 10-K for the year</w:t>
            </w:r>
          </w:p>
        </w:tc>
      </w:tr>
      <w:tr>
        <w:trPr>
          <w:trHeight w:val="222"/>
        </w:trPr>
        <w:tc>
          <w:tcPr>
            <w:tcW w:w="560" w:type="dxa"/>
            <w:vAlign w:val="bottom"/>
          </w:tcPr>
          <w:p>
            <w:pPr>
              <w:spacing w:after="0"/>
              <w:rPr>
                <w:sz w:val="19"/>
                <w:szCs w:val="19"/>
                <w:color w:val="auto"/>
              </w:rPr>
            </w:pPr>
          </w:p>
        </w:tc>
        <w:tc>
          <w:tcPr>
            <w:tcW w:w="7580" w:type="dxa"/>
            <w:vAlign w:val="bottom"/>
          </w:tcPr>
          <w:p>
            <w:pPr>
              <w:ind w:left="240"/>
              <w:spacing w:after="0"/>
              <w:rPr>
                <w:sz w:val="20"/>
                <w:szCs w:val="20"/>
                <w:color w:val="auto"/>
              </w:rPr>
            </w:pPr>
            <w:r>
              <w:rPr>
                <w:rFonts w:ascii="Arial" w:cs="Arial" w:eastAsia="Arial" w:hAnsi="Arial"/>
                <w:sz w:val="18"/>
                <w:szCs w:val="18"/>
                <w:color w:val="auto"/>
              </w:rPr>
              <w:t>ended December 31, 2003.</w:t>
            </w:r>
          </w:p>
        </w:tc>
      </w:tr>
      <w:tr>
        <w:trPr>
          <w:trHeight w:val="358"/>
        </w:trPr>
        <w:tc>
          <w:tcPr>
            <w:tcW w:w="560" w:type="dxa"/>
            <w:vAlign w:val="bottom"/>
          </w:tcPr>
          <w:p>
            <w:pPr>
              <w:spacing w:after="0"/>
              <w:rPr>
                <w:sz w:val="20"/>
                <w:szCs w:val="20"/>
                <w:color w:val="auto"/>
              </w:rPr>
            </w:pPr>
            <w:r>
              <w:rPr>
                <w:rFonts w:ascii="Arial" w:cs="Arial" w:eastAsia="Arial" w:hAnsi="Arial"/>
                <w:sz w:val="18"/>
                <w:szCs w:val="18"/>
                <w:color w:val="auto"/>
              </w:rPr>
              <w:t>10.4</w:t>
            </w:r>
          </w:p>
        </w:tc>
        <w:tc>
          <w:tcPr>
            <w:tcW w:w="7580" w:type="dxa"/>
            <w:vAlign w:val="bottom"/>
          </w:tcPr>
          <w:p>
            <w:pPr>
              <w:ind w:left="240"/>
              <w:spacing w:after="0"/>
              <w:rPr>
                <w:sz w:val="20"/>
                <w:szCs w:val="20"/>
                <w:color w:val="auto"/>
              </w:rPr>
            </w:pPr>
            <w:r>
              <w:rPr>
                <w:rFonts w:ascii="Arial" w:cs="Arial" w:eastAsia="Arial" w:hAnsi="Arial"/>
                <w:sz w:val="18"/>
                <w:szCs w:val="18"/>
                <w:color w:val="auto"/>
                <w:w w:val="92"/>
              </w:rPr>
              <w:t>Sprint PCS Management Agreement dated as of November 5, 1999 by and among Sprint Spectrum</w:t>
            </w:r>
          </w:p>
        </w:tc>
      </w:tr>
      <w:tr>
        <w:trPr>
          <w:trHeight w:val="216"/>
        </w:trPr>
        <w:tc>
          <w:tcPr>
            <w:tcW w:w="560" w:type="dxa"/>
            <w:vAlign w:val="bottom"/>
          </w:tcPr>
          <w:p>
            <w:pPr>
              <w:spacing w:after="0"/>
              <w:rPr>
                <w:sz w:val="18"/>
                <w:szCs w:val="18"/>
                <w:color w:val="auto"/>
              </w:rPr>
            </w:pPr>
          </w:p>
        </w:tc>
        <w:tc>
          <w:tcPr>
            <w:tcW w:w="7580" w:type="dxa"/>
            <w:vAlign w:val="bottom"/>
          </w:tcPr>
          <w:p>
            <w:pPr>
              <w:ind w:left="240"/>
              <w:spacing w:after="0"/>
              <w:rPr>
                <w:sz w:val="20"/>
                <w:szCs w:val="20"/>
                <w:color w:val="auto"/>
              </w:rPr>
            </w:pPr>
            <w:r>
              <w:rPr>
                <w:rFonts w:ascii="Arial" w:cs="Arial" w:eastAsia="Arial" w:hAnsi="Arial"/>
                <w:sz w:val="18"/>
                <w:szCs w:val="18"/>
                <w:color w:val="auto"/>
                <w:w w:val="92"/>
              </w:rPr>
              <w:t>L.P., WirelessCo, L.P., APC PCS, LLC, PhillieCo, L.P., and Shenandoah Personal Communications</w:t>
            </w:r>
          </w:p>
        </w:tc>
      </w:tr>
      <w:tr>
        <w:trPr>
          <w:trHeight w:val="216"/>
        </w:trPr>
        <w:tc>
          <w:tcPr>
            <w:tcW w:w="560" w:type="dxa"/>
            <w:vAlign w:val="bottom"/>
          </w:tcPr>
          <w:p>
            <w:pPr>
              <w:spacing w:after="0"/>
              <w:rPr>
                <w:sz w:val="18"/>
                <w:szCs w:val="18"/>
                <w:color w:val="auto"/>
              </w:rPr>
            </w:pPr>
          </w:p>
        </w:tc>
        <w:tc>
          <w:tcPr>
            <w:tcW w:w="7580" w:type="dxa"/>
            <w:vAlign w:val="bottom"/>
          </w:tcPr>
          <w:p>
            <w:pPr>
              <w:ind w:left="240"/>
              <w:spacing w:after="0"/>
              <w:rPr>
                <w:sz w:val="20"/>
                <w:szCs w:val="20"/>
                <w:color w:val="auto"/>
              </w:rPr>
            </w:pPr>
            <w:r>
              <w:rPr>
                <w:rFonts w:ascii="Arial" w:cs="Arial" w:eastAsia="Arial" w:hAnsi="Arial"/>
                <w:sz w:val="18"/>
                <w:szCs w:val="18"/>
                <w:color w:val="auto"/>
                <w:w w:val="91"/>
              </w:rPr>
              <w:t>Company filed as Exhibit 10.4 to the Company’s Report on Form 10-K for the year ended December</w:t>
            </w:r>
          </w:p>
        </w:tc>
      </w:tr>
      <w:tr>
        <w:trPr>
          <w:trHeight w:val="222"/>
        </w:trPr>
        <w:tc>
          <w:tcPr>
            <w:tcW w:w="560" w:type="dxa"/>
            <w:vAlign w:val="bottom"/>
          </w:tcPr>
          <w:p>
            <w:pPr>
              <w:spacing w:after="0"/>
              <w:rPr>
                <w:sz w:val="19"/>
                <w:szCs w:val="19"/>
                <w:color w:val="auto"/>
              </w:rPr>
            </w:pPr>
          </w:p>
        </w:tc>
        <w:tc>
          <w:tcPr>
            <w:tcW w:w="7580" w:type="dxa"/>
            <w:vAlign w:val="bottom"/>
          </w:tcPr>
          <w:p>
            <w:pPr>
              <w:ind w:left="240"/>
              <w:spacing w:after="0"/>
              <w:rPr>
                <w:sz w:val="20"/>
                <w:szCs w:val="20"/>
                <w:color w:val="auto"/>
              </w:rPr>
            </w:pPr>
            <w:r>
              <w:rPr>
                <w:rFonts w:ascii="Arial" w:cs="Arial" w:eastAsia="Arial" w:hAnsi="Arial"/>
                <w:sz w:val="18"/>
                <w:szCs w:val="18"/>
                <w:color w:val="auto"/>
              </w:rPr>
              <w:t>31, 2003.</w:t>
            </w:r>
          </w:p>
        </w:tc>
      </w:tr>
      <w:tr>
        <w:trPr>
          <w:trHeight w:val="358"/>
        </w:trPr>
        <w:tc>
          <w:tcPr>
            <w:tcW w:w="560" w:type="dxa"/>
            <w:vAlign w:val="bottom"/>
          </w:tcPr>
          <w:p>
            <w:pPr>
              <w:spacing w:after="0"/>
              <w:rPr>
                <w:sz w:val="20"/>
                <w:szCs w:val="20"/>
                <w:color w:val="auto"/>
              </w:rPr>
            </w:pPr>
            <w:r>
              <w:rPr>
                <w:rFonts w:ascii="Arial" w:cs="Arial" w:eastAsia="Arial" w:hAnsi="Arial"/>
                <w:sz w:val="18"/>
                <w:szCs w:val="18"/>
                <w:color w:val="auto"/>
              </w:rPr>
              <w:t>10.5</w:t>
            </w:r>
          </w:p>
        </w:tc>
        <w:tc>
          <w:tcPr>
            <w:tcW w:w="7580" w:type="dxa"/>
            <w:vAlign w:val="bottom"/>
          </w:tcPr>
          <w:p>
            <w:pPr>
              <w:ind w:left="240"/>
              <w:spacing w:after="0"/>
              <w:rPr>
                <w:sz w:val="20"/>
                <w:szCs w:val="20"/>
                <w:color w:val="auto"/>
              </w:rPr>
            </w:pPr>
            <w:r>
              <w:rPr>
                <w:rFonts w:ascii="Arial" w:cs="Arial" w:eastAsia="Arial" w:hAnsi="Arial"/>
                <w:sz w:val="18"/>
                <w:szCs w:val="18"/>
                <w:color w:val="auto"/>
                <w:w w:val="90"/>
              </w:rPr>
              <w:t>Sprint PCS Services Agreement dated as of November 5, 1999 by and between Sprint Spectrum L.P.</w:t>
            </w:r>
          </w:p>
        </w:tc>
      </w:tr>
      <w:tr>
        <w:trPr>
          <w:trHeight w:val="216"/>
        </w:trPr>
        <w:tc>
          <w:tcPr>
            <w:tcW w:w="560" w:type="dxa"/>
            <w:vAlign w:val="bottom"/>
          </w:tcPr>
          <w:p>
            <w:pPr>
              <w:spacing w:after="0"/>
              <w:rPr>
                <w:sz w:val="18"/>
                <w:szCs w:val="18"/>
                <w:color w:val="auto"/>
              </w:rPr>
            </w:pPr>
          </w:p>
        </w:tc>
        <w:tc>
          <w:tcPr>
            <w:tcW w:w="7580" w:type="dxa"/>
            <w:vAlign w:val="bottom"/>
          </w:tcPr>
          <w:p>
            <w:pPr>
              <w:ind w:left="240"/>
              <w:spacing w:after="0"/>
              <w:rPr>
                <w:sz w:val="20"/>
                <w:szCs w:val="20"/>
                <w:color w:val="auto"/>
              </w:rPr>
            </w:pPr>
            <w:r>
              <w:rPr>
                <w:rFonts w:ascii="Arial" w:cs="Arial" w:eastAsia="Arial" w:hAnsi="Arial"/>
                <w:sz w:val="18"/>
                <w:szCs w:val="18"/>
                <w:color w:val="auto"/>
                <w:w w:val="88"/>
              </w:rPr>
              <w:t>and Shenandoah Personal Communications Company filed as Exhibit 10.5 to the Company’s Report on</w:t>
            </w:r>
          </w:p>
        </w:tc>
      </w:tr>
      <w:tr>
        <w:trPr>
          <w:trHeight w:val="222"/>
        </w:trPr>
        <w:tc>
          <w:tcPr>
            <w:tcW w:w="560" w:type="dxa"/>
            <w:vAlign w:val="bottom"/>
          </w:tcPr>
          <w:p>
            <w:pPr>
              <w:spacing w:after="0"/>
              <w:rPr>
                <w:sz w:val="19"/>
                <w:szCs w:val="19"/>
                <w:color w:val="auto"/>
              </w:rPr>
            </w:pPr>
          </w:p>
        </w:tc>
        <w:tc>
          <w:tcPr>
            <w:tcW w:w="7580" w:type="dxa"/>
            <w:vAlign w:val="bottom"/>
          </w:tcPr>
          <w:p>
            <w:pPr>
              <w:ind w:left="240"/>
              <w:spacing w:after="0"/>
              <w:rPr>
                <w:sz w:val="20"/>
                <w:szCs w:val="20"/>
                <w:color w:val="auto"/>
              </w:rPr>
            </w:pPr>
            <w:r>
              <w:rPr>
                <w:rFonts w:ascii="Arial" w:cs="Arial" w:eastAsia="Arial" w:hAnsi="Arial"/>
                <w:sz w:val="18"/>
                <w:szCs w:val="18"/>
                <w:color w:val="auto"/>
              </w:rPr>
              <w:t>Form 10-K for the year ended December 31, 2003.</w:t>
            </w:r>
          </w:p>
        </w:tc>
      </w:tr>
      <w:tr>
        <w:trPr>
          <w:trHeight w:val="358"/>
        </w:trPr>
        <w:tc>
          <w:tcPr>
            <w:tcW w:w="560" w:type="dxa"/>
            <w:vAlign w:val="bottom"/>
          </w:tcPr>
          <w:p>
            <w:pPr>
              <w:spacing w:after="0"/>
              <w:rPr>
                <w:sz w:val="20"/>
                <w:szCs w:val="20"/>
                <w:color w:val="auto"/>
              </w:rPr>
            </w:pPr>
            <w:r>
              <w:rPr>
                <w:rFonts w:ascii="Arial" w:cs="Arial" w:eastAsia="Arial" w:hAnsi="Arial"/>
                <w:sz w:val="18"/>
                <w:szCs w:val="18"/>
                <w:color w:val="auto"/>
              </w:rPr>
              <w:t>10.6</w:t>
            </w:r>
          </w:p>
        </w:tc>
        <w:tc>
          <w:tcPr>
            <w:tcW w:w="7580" w:type="dxa"/>
            <w:vAlign w:val="bottom"/>
          </w:tcPr>
          <w:p>
            <w:pPr>
              <w:ind w:left="240"/>
              <w:spacing w:after="0"/>
              <w:rPr>
                <w:sz w:val="20"/>
                <w:szCs w:val="20"/>
                <w:color w:val="auto"/>
              </w:rPr>
            </w:pPr>
            <w:r>
              <w:rPr>
                <w:rFonts w:ascii="Arial" w:cs="Arial" w:eastAsia="Arial" w:hAnsi="Arial"/>
                <w:sz w:val="18"/>
                <w:szCs w:val="18"/>
                <w:color w:val="auto"/>
                <w:w w:val="88"/>
              </w:rPr>
              <w:t>Sprint Trademark and Service Mark License Agreement dated as of November 5, 1999 by and between</w:t>
            </w:r>
          </w:p>
        </w:tc>
      </w:tr>
      <w:tr>
        <w:trPr>
          <w:trHeight w:val="216"/>
        </w:trPr>
        <w:tc>
          <w:tcPr>
            <w:tcW w:w="560" w:type="dxa"/>
            <w:vAlign w:val="bottom"/>
          </w:tcPr>
          <w:p>
            <w:pPr>
              <w:spacing w:after="0"/>
              <w:rPr>
                <w:sz w:val="18"/>
                <w:szCs w:val="18"/>
                <w:color w:val="auto"/>
              </w:rPr>
            </w:pPr>
          </w:p>
        </w:tc>
        <w:tc>
          <w:tcPr>
            <w:tcW w:w="7580" w:type="dxa"/>
            <w:vAlign w:val="bottom"/>
          </w:tcPr>
          <w:p>
            <w:pPr>
              <w:ind w:left="240"/>
              <w:spacing w:after="0"/>
              <w:rPr>
                <w:sz w:val="20"/>
                <w:szCs w:val="20"/>
                <w:color w:val="auto"/>
              </w:rPr>
            </w:pPr>
            <w:r>
              <w:rPr>
                <w:rFonts w:ascii="Arial" w:cs="Arial" w:eastAsia="Arial" w:hAnsi="Arial"/>
                <w:sz w:val="18"/>
                <w:szCs w:val="18"/>
                <w:color w:val="auto"/>
                <w:w w:val="90"/>
              </w:rPr>
              <w:t>Sprint Communications Company, L.P. and Shenandoah Personal Communications Company filed as</w:t>
            </w:r>
          </w:p>
        </w:tc>
      </w:tr>
      <w:tr>
        <w:trPr>
          <w:trHeight w:val="222"/>
        </w:trPr>
        <w:tc>
          <w:tcPr>
            <w:tcW w:w="560" w:type="dxa"/>
            <w:vAlign w:val="bottom"/>
          </w:tcPr>
          <w:p>
            <w:pPr>
              <w:spacing w:after="0"/>
              <w:rPr>
                <w:sz w:val="19"/>
                <w:szCs w:val="19"/>
                <w:color w:val="auto"/>
              </w:rPr>
            </w:pPr>
          </w:p>
        </w:tc>
        <w:tc>
          <w:tcPr>
            <w:tcW w:w="7580" w:type="dxa"/>
            <w:vAlign w:val="bottom"/>
          </w:tcPr>
          <w:p>
            <w:pPr>
              <w:ind w:left="240"/>
              <w:spacing w:after="0"/>
              <w:rPr>
                <w:sz w:val="20"/>
                <w:szCs w:val="20"/>
                <w:color w:val="auto"/>
              </w:rPr>
            </w:pPr>
            <w:r>
              <w:rPr>
                <w:rFonts w:ascii="Arial" w:cs="Arial" w:eastAsia="Arial" w:hAnsi="Arial"/>
                <w:sz w:val="18"/>
                <w:szCs w:val="18"/>
                <w:color w:val="auto"/>
                <w:w w:val="99"/>
              </w:rPr>
              <w:t>Exhibit 10.6 to the Company’s Report on Form 10-K for the year ended December 31, 2003.</w:t>
            </w:r>
          </w:p>
        </w:tc>
      </w:tr>
      <w:tr>
        <w:trPr>
          <w:trHeight w:val="358"/>
        </w:trPr>
        <w:tc>
          <w:tcPr>
            <w:tcW w:w="560" w:type="dxa"/>
            <w:vAlign w:val="bottom"/>
          </w:tcPr>
          <w:p>
            <w:pPr>
              <w:spacing w:after="0"/>
              <w:rPr>
                <w:sz w:val="20"/>
                <w:szCs w:val="20"/>
                <w:color w:val="auto"/>
              </w:rPr>
            </w:pPr>
            <w:r>
              <w:rPr>
                <w:rFonts w:ascii="Arial" w:cs="Arial" w:eastAsia="Arial" w:hAnsi="Arial"/>
                <w:sz w:val="18"/>
                <w:szCs w:val="18"/>
                <w:color w:val="auto"/>
              </w:rPr>
              <w:t>10.7</w:t>
            </w:r>
          </w:p>
        </w:tc>
        <w:tc>
          <w:tcPr>
            <w:tcW w:w="7580" w:type="dxa"/>
            <w:vAlign w:val="bottom"/>
          </w:tcPr>
          <w:p>
            <w:pPr>
              <w:ind w:left="240"/>
              <w:spacing w:after="0"/>
              <w:rPr>
                <w:sz w:val="20"/>
                <w:szCs w:val="20"/>
                <w:color w:val="auto"/>
              </w:rPr>
            </w:pPr>
            <w:r>
              <w:rPr>
                <w:rFonts w:ascii="Arial" w:cs="Arial" w:eastAsia="Arial" w:hAnsi="Arial"/>
                <w:sz w:val="18"/>
                <w:szCs w:val="18"/>
                <w:color w:val="auto"/>
                <w:w w:val="91"/>
              </w:rPr>
              <w:t>Sprint Spectrum Trademark and Service Mark License Agreement dated as of November 5, 1999 by</w:t>
            </w:r>
          </w:p>
        </w:tc>
      </w:tr>
      <w:tr>
        <w:trPr>
          <w:trHeight w:val="222"/>
        </w:trPr>
        <w:tc>
          <w:tcPr>
            <w:tcW w:w="560" w:type="dxa"/>
            <w:vAlign w:val="bottom"/>
          </w:tcPr>
          <w:p>
            <w:pPr>
              <w:spacing w:after="0"/>
              <w:rPr>
                <w:sz w:val="19"/>
                <w:szCs w:val="19"/>
                <w:color w:val="auto"/>
              </w:rPr>
            </w:pPr>
          </w:p>
        </w:tc>
        <w:tc>
          <w:tcPr>
            <w:tcW w:w="7580" w:type="dxa"/>
            <w:vAlign w:val="bottom"/>
          </w:tcPr>
          <w:p>
            <w:pPr>
              <w:ind w:left="240"/>
              <w:spacing w:after="0"/>
              <w:rPr>
                <w:sz w:val="20"/>
                <w:szCs w:val="20"/>
                <w:color w:val="auto"/>
              </w:rPr>
            </w:pPr>
            <w:r>
              <w:rPr>
                <w:rFonts w:ascii="Arial" w:cs="Arial" w:eastAsia="Arial" w:hAnsi="Arial"/>
                <w:sz w:val="18"/>
                <w:szCs w:val="18"/>
                <w:color w:val="auto"/>
              </w:rPr>
              <w:t>and between Sprint Spectrum L.P. and Shenandoah Personal Communications</w:t>
            </w:r>
          </w:p>
        </w:tc>
      </w:tr>
      <w:tr>
        <w:trPr>
          <w:trHeight w:val="432"/>
        </w:trPr>
        <w:tc>
          <w:tcPr>
            <w:tcW w:w="560" w:type="dxa"/>
            <w:vAlign w:val="bottom"/>
          </w:tcPr>
          <w:p>
            <w:pPr>
              <w:spacing w:after="0"/>
              <w:rPr>
                <w:sz w:val="24"/>
                <w:szCs w:val="24"/>
                <w:color w:val="auto"/>
              </w:rPr>
            </w:pPr>
          </w:p>
        </w:tc>
        <w:tc>
          <w:tcPr>
            <w:tcW w:w="7580" w:type="dxa"/>
            <w:vAlign w:val="bottom"/>
          </w:tcPr>
          <w:p>
            <w:pPr>
              <w:ind w:left="3420"/>
              <w:spacing w:after="0"/>
              <w:rPr>
                <w:sz w:val="20"/>
                <w:szCs w:val="20"/>
                <w:color w:val="auto"/>
              </w:rPr>
            </w:pPr>
            <w:r>
              <w:rPr>
                <w:rFonts w:ascii="Arial" w:cs="Arial" w:eastAsia="Arial" w:hAnsi="Arial"/>
                <w:sz w:val="18"/>
                <w:szCs w:val="18"/>
                <w:color w:val="auto"/>
              </w:rPr>
              <w:t>67</w:t>
            </w:r>
          </w:p>
        </w:tc>
      </w:tr>
      <w:tr>
        <w:trPr>
          <w:trHeight w:val="215"/>
        </w:trPr>
        <w:tc>
          <w:tcPr>
            <w:tcW w:w="560" w:type="dxa"/>
            <w:vAlign w:val="bottom"/>
          </w:tcPr>
          <w:p>
            <w:pPr>
              <w:spacing w:after="0"/>
              <w:rPr>
                <w:sz w:val="18"/>
                <w:szCs w:val="18"/>
                <w:color w:val="auto"/>
              </w:rPr>
            </w:pPr>
          </w:p>
        </w:tc>
        <w:tc>
          <w:tcPr>
            <w:tcW w:w="7580" w:type="dxa"/>
            <w:vAlign w:val="bottom"/>
          </w:tcPr>
          <w:p>
            <w:pPr>
              <w:spacing w:after="0"/>
              <w:rPr>
                <w:sz w:val="18"/>
                <w:szCs w:val="18"/>
                <w:color w:val="auto"/>
              </w:rPr>
            </w:pPr>
          </w:p>
        </w:tc>
      </w:tr>
      <w:tr>
        <w:trPr>
          <w:trHeight w:val="74"/>
        </w:trPr>
        <w:tc>
          <w:tcPr>
            <w:tcW w:w="560" w:type="dxa"/>
            <w:vAlign w:val="bottom"/>
            <w:shd w:val="clear" w:color="auto" w:fill="808080"/>
          </w:tcPr>
          <w:p>
            <w:pPr>
              <w:spacing w:after="0"/>
              <w:rPr>
                <w:sz w:val="6"/>
                <w:szCs w:val="6"/>
                <w:color w:val="auto"/>
              </w:rPr>
            </w:pPr>
          </w:p>
        </w:tc>
        <w:tc>
          <w:tcPr>
            <w:tcW w:w="7580" w:type="dxa"/>
            <w:vAlign w:val="bottom"/>
            <w:shd w:val="clear" w:color="auto" w:fill="808080"/>
          </w:tcPr>
          <w:p>
            <w:pPr>
              <w:spacing w:after="0"/>
              <w:rPr>
                <w:sz w:val="6"/>
                <w:szCs w:val="6"/>
                <w:color w:val="auto"/>
              </w:rPr>
            </w:pPr>
          </w:p>
        </w:tc>
      </w:tr>
    </w:tbl>
    <w:p>
      <w:pPr>
        <w:sectPr>
          <w:pgSz w:w="11900" w:h="16838" w:orient="portrait"/>
          <w:cols w:equalWidth="0" w:num="1">
            <w:col w:w="10219"/>
          </w:cols>
          <w:pgMar w:left="240" w:top="584" w:right="1440" w:bottom="1440" w:gutter="0" w:footer="0" w:header="0"/>
          <w:type w:val="continuous"/>
        </w:sectPr>
      </w:pPr>
    </w:p>
    <w:bookmarkStart w:id="67" w:name="page68"/>
    <w:bookmarkEnd w:id="67"/>
    <w:p>
      <w:pPr>
        <w:ind w:left="820" w:right="2319"/>
        <w:spacing w:after="0" w:line="268" w:lineRule="auto"/>
        <w:rPr>
          <w:sz w:val="20"/>
          <w:szCs w:val="20"/>
          <w:color w:val="auto"/>
        </w:rPr>
      </w:pPr>
      <w:r>
        <w:rPr>
          <w:rFonts w:ascii="Arial" w:cs="Arial" w:eastAsia="Arial" w:hAnsi="Arial"/>
          <w:sz w:val="18"/>
          <w:szCs w:val="18"/>
          <w:color w:val="auto"/>
        </w:rPr>
        <w:t>Company filed as Exhibit 10.7 to the Company’s Report on Form 10-K for the year ended December 31, 2003.</w:t>
      </w:r>
    </w:p>
    <w:p>
      <w:pPr>
        <w:spacing w:after="0" w:line="118" w:lineRule="exact"/>
        <w:rPr>
          <w:sz w:val="20"/>
          <w:szCs w:val="20"/>
          <w:color w:val="auto"/>
        </w:rPr>
      </w:pPr>
    </w:p>
    <w:p>
      <w:pPr>
        <w:ind w:left="820" w:right="2239" w:hanging="809"/>
        <w:spacing w:after="0" w:line="335" w:lineRule="auto"/>
        <w:tabs>
          <w:tab w:leader="none" w:pos="8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5"/>
          <w:szCs w:val="15"/>
          <w:color w:val="auto"/>
        </w:rPr>
        <w:t>Addendum I to Sprint PCS Management Agreement by and among Sprint Spectrum L.P., WirelessCo, L.P., APC PCS, LLC, PhillieCo, L.P., and Shenandoah Personal Communications Company filed as Exhibit 10.8 to the Company’s Report on Form 10-K for the year ended December 31, 2003.</w:t>
      </w:r>
    </w:p>
    <w:p>
      <w:pPr>
        <w:spacing w:after="0" w:line="75" w:lineRule="exact"/>
        <w:rPr>
          <w:sz w:val="20"/>
          <w:szCs w:val="20"/>
          <w:color w:val="auto"/>
        </w:rPr>
      </w:pPr>
    </w:p>
    <w:p>
      <w:pPr>
        <w:ind w:left="820" w:right="2179" w:hanging="809"/>
        <w:spacing w:after="0" w:line="294" w:lineRule="auto"/>
        <w:tabs>
          <w:tab w:leader="none" w:pos="8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Asset Purchase Agreement dated November 5, 1999 by and among Sprint Spectrum L.P., Sprint Spectrum Equipment Company, L. P., Sprint Spectrum Realty Company, L.P., and Shenandoah Personal Communications Company, serving as Exhibit A to Addendum I to the Sprint PCS Management Agreement and as Exhibit 2.6 to the Sprint PCS Management Agreement filed as Exhibit 10.9 to the Company’s Report on Form 10-K for the year ended December 31, 2003.</w:t>
      </w:r>
    </w:p>
    <w:p>
      <w:pPr>
        <w:spacing w:after="0" w:line="102" w:lineRule="exact"/>
        <w:rPr>
          <w:sz w:val="20"/>
          <w:szCs w:val="20"/>
          <w:color w:val="auto"/>
        </w:rPr>
      </w:pPr>
    </w:p>
    <w:p>
      <w:pPr>
        <w:ind w:left="820" w:right="2219" w:hanging="809"/>
        <w:spacing w:after="0" w:line="256" w:lineRule="auto"/>
        <w:tabs>
          <w:tab w:leader="none" w:pos="8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Addendum II dated August 31, 2000 to Sprint PCS Management Agreement by and among Sprint Spectrum L.P., WirelessCo, L.P., APC PCS, LLC, PhillieCo, L.P., and Shenandoah Personal Communications Company filed as Exhibit 10.10 to the Company’s Report on Form 10-K for the year ended December 31, 2003.</w:t>
      </w:r>
    </w:p>
    <w:p>
      <w:pPr>
        <w:spacing w:after="0" w:line="130" w:lineRule="exact"/>
        <w:rPr>
          <w:sz w:val="20"/>
          <w:szCs w:val="20"/>
          <w:color w:val="auto"/>
        </w:rPr>
      </w:pPr>
    </w:p>
    <w:p>
      <w:pPr>
        <w:ind w:left="820" w:right="2219" w:hanging="809"/>
        <w:spacing w:after="0" w:line="256" w:lineRule="auto"/>
        <w:tabs>
          <w:tab w:leader="none" w:pos="8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Addendum III dated September 26, 2001 to Sprint PCS Management Agreement by and among Sprint Spectrum L.P., WirelessCo, L.P., APC PCS, LLC, PhillieCo, L.P., and Shenandoah Personal Communications Company filed as Exhibit 10.11 to the Company’s Report on Form 10-K for the year ended December 31, 2003.</w:t>
      </w:r>
    </w:p>
    <w:p>
      <w:pPr>
        <w:spacing w:after="0" w:line="130" w:lineRule="exact"/>
        <w:rPr>
          <w:sz w:val="20"/>
          <w:szCs w:val="20"/>
          <w:color w:val="auto"/>
        </w:rPr>
      </w:pPr>
    </w:p>
    <w:p>
      <w:pPr>
        <w:ind w:left="820" w:right="2219" w:hanging="809"/>
        <w:spacing w:after="0" w:line="256" w:lineRule="auto"/>
        <w:tabs>
          <w:tab w:leader="none" w:pos="8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Addendum IV dated May 22, 2003 to Sprint PCS Management Agreement by and among Sprint Spectrum L.P., WirelessCo, L.P., APC PCS, LLC, PhillieCo, L.P., and Shenandoah Personal Communications Company filed as Exhibit 10.12 to the Company’s Report on Form 10-K for the year ended December 31, 2003.</w:t>
      </w:r>
    </w:p>
    <w:p>
      <w:pPr>
        <w:spacing w:after="0" w:line="130" w:lineRule="exact"/>
        <w:rPr>
          <w:sz w:val="20"/>
          <w:szCs w:val="20"/>
          <w:color w:val="auto"/>
        </w:rPr>
      </w:pPr>
    </w:p>
    <w:p>
      <w:pPr>
        <w:ind w:left="820" w:right="2219" w:hanging="809"/>
        <w:spacing w:after="0" w:line="256" w:lineRule="auto"/>
        <w:tabs>
          <w:tab w:leader="none" w:pos="8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Addendum V dated January 30, 2004 to Sprint PCS Management Agreement by and among Sprint Spectrum L.P., WirelessCo, L.P., APC PCS, LLC, PhillieCo, L.P., and Shenandoah Personal Communications Company filed as Exhibit 10.13 to the Company’s Report on Form 10-K for the year ended December 31, 2003.</w:t>
      </w:r>
    </w:p>
    <w:p>
      <w:pPr>
        <w:spacing w:after="0" w:line="130" w:lineRule="exact"/>
        <w:rPr>
          <w:sz w:val="20"/>
          <w:szCs w:val="20"/>
          <w:color w:val="auto"/>
        </w:rPr>
      </w:pPr>
    </w:p>
    <w:p>
      <w:pPr>
        <w:ind w:left="820" w:right="2219" w:hanging="809"/>
        <w:spacing w:after="0" w:line="268" w:lineRule="auto"/>
        <w:tabs>
          <w:tab w:leader="none" w:pos="8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Supplemental Executive Retirement Plan filed as Exhibit 10.14 to the Company’s Report on Form 10-K for the year ended December 31, 2003.</w:t>
      </w:r>
    </w:p>
    <w:p>
      <w:pPr>
        <w:spacing w:after="0" w:line="118" w:lineRule="exact"/>
        <w:rPr>
          <w:sz w:val="20"/>
          <w:szCs w:val="20"/>
          <w:color w:val="auto"/>
        </w:rPr>
      </w:pPr>
    </w:p>
    <w:p>
      <w:pPr>
        <w:ind w:left="820" w:right="2559" w:hanging="809"/>
        <w:spacing w:after="0" w:line="256" w:lineRule="auto"/>
        <w:tabs>
          <w:tab w:leader="none" w:pos="8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Addendum VI dated May 24, 2004 to Sprint PCS Management Agreement by and among Sprint Spectrum L.P., WirelessCo, L.P., APC PCS, LLC, PhillieCo, L.P., and Shenandoah Personal Communications Company filed as Exhibit 10.15 to the Company’s Report on Form 10-Q for the quarterly period ended June 30, 2004.</w:t>
      </w:r>
    </w:p>
    <w:p>
      <w:pPr>
        <w:spacing w:after="0" w:line="130" w:lineRule="exact"/>
        <w:rPr>
          <w:sz w:val="20"/>
          <w:szCs w:val="20"/>
          <w:color w:val="auto"/>
        </w:rPr>
      </w:pPr>
    </w:p>
    <w:p>
      <w:pPr>
        <w:ind w:left="820" w:right="2319" w:hanging="809"/>
        <w:spacing w:after="0" w:line="306" w:lineRule="auto"/>
        <w:tabs>
          <w:tab w:leader="none" w:pos="8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Second Amended and Restated Master Loan Agreement, dated as of November 30, 2004, by and between CoBank, ACB and Shenandoah Telecommunications Company filed as Exhibit 10.16 to the Company’s Current Report on Form 8-K dated December 3, 2004.</w:t>
      </w:r>
    </w:p>
    <w:p>
      <w:pPr>
        <w:spacing w:after="0" w:line="93" w:lineRule="exact"/>
        <w:rPr>
          <w:sz w:val="20"/>
          <w:szCs w:val="20"/>
          <w:color w:val="auto"/>
        </w:rPr>
      </w:pPr>
    </w:p>
    <w:p>
      <w:pPr>
        <w:ind w:left="820" w:right="2199" w:hanging="809"/>
        <w:spacing w:after="0" w:line="259" w:lineRule="auto"/>
        <w:tabs>
          <w:tab w:leader="none" w:pos="8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Third Supplement to the Master Loan Agreement dated as Of November 30, 2004, between CoBank, ACB and Shenandoah Telecommunications Company filed as Exhibit 10.17 to the Company’s Current Report on Form 8-K dated December 3, 2004.</w:t>
      </w:r>
    </w:p>
    <w:p>
      <w:pPr>
        <w:spacing w:after="0" w:line="12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5"/>
          <w:szCs w:val="15"/>
          <w:color w:val="auto"/>
        </w:rPr>
        <w:t>Second Amendment to the Term Supplement to the Master Loan Agreement dated as Of November 30,</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2004, between CoBank, ACB and Shenandoah Telecommunications</w:t>
      </w:r>
    </w:p>
    <w:p>
      <w:pPr>
        <w:spacing w:after="0" w:line="21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388" w:right="1440" w:bottom="1440" w:gutter="0" w:footer="0" w:header="0"/>
        </w:sectPr>
      </w:pPr>
    </w:p>
    <w:bookmarkStart w:id="68" w:name="page69"/>
    <w:bookmarkEnd w:id="68"/>
    <w:p>
      <w:pPr>
        <w:ind w:left="820" w:right="2459"/>
        <w:spacing w:after="0" w:line="268" w:lineRule="auto"/>
        <w:rPr>
          <w:sz w:val="20"/>
          <w:szCs w:val="20"/>
          <w:color w:val="auto"/>
        </w:rPr>
      </w:pPr>
      <w:r>
        <w:rPr>
          <w:rFonts w:ascii="Arial" w:cs="Arial" w:eastAsia="Arial" w:hAnsi="Arial"/>
          <w:sz w:val="18"/>
          <w:szCs w:val="18"/>
          <w:color w:val="auto"/>
        </w:rPr>
        <w:t>Company filed as Exhibit 10.18 to the Company’s Current Report on Form 8-K dated December 3, 2004.</w:t>
      </w:r>
    </w:p>
    <w:p>
      <w:pPr>
        <w:spacing w:after="0" w:line="118" w:lineRule="exact"/>
        <w:rPr>
          <w:sz w:val="20"/>
          <w:szCs w:val="20"/>
          <w:color w:val="auto"/>
        </w:rPr>
      </w:pPr>
    </w:p>
    <w:p>
      <w:pPr>
        <w:ind w:left="820" w:right="2319" w:hanging="809"/>
        <w:spacing w:after="0" w:line="259" w:lineRule="auto"/>
        <w:tabs>
          <w:tab w:leader="none" w:pos="8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Pledge Agreement dated November 30, 2004 between CoBank, ACB and Shenandoah Telecommunications Company filed as Exhibit 10.19 to the Company’s Current Report on Form 8-K dated December 3, 2004.</w:t>
      </w:r>
    </w:p>
    <w:p>
      <w:pPr>
        <w:spacing w:after="0" w:line="127" w:lineRule="exact"/>
        <w:rPr>
          <w:sz w:val="20"/>
          <w:szCs w:val="20"/>
          <w:color w:val="auto"/>
        </w:rPr>
      </w:pPr>
    </w:p>
    <w:p>
      <w:pPr>
        <w:ind w:left="820" w:right="2159" w:hanging="809"/>
        <w:spacing w:after="0" w:line="259" w:lineRule="auto"/>
        <w:tabs>
          <w:tab w:leader="none" w:pos="8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Membership Interest Pledge Agreement dated November 30, 2004 between CoBank, ACB and Shenandoah Telecommunications Company filed as Exhibit 10.20 to the Company’s Current Report on Form 8-K dated December 3, 2004.</w:t>
      </w:r>
    </w:p>
    <w:p>
      <w:pPr>
        <w:spacing w:after="0" w:line="127" w:lineRule="exact"/>
        <w:rPr>
          <w:sz w:val="20"/>
          <w:szCs w:val="20"/>
          <w:color w:val="auto"/>
        </w:rPr>
      </w:pPr>
    </w:p>
    <w:p>
      <w:pPr>
        <w:ind w:left="820" w:right="2159" w:hanging="809"/>
        <w:spacing w:after="0" w:line="259" w:lineRule="auto"/>
        <w:tabs>
          <w:tab w:leader="none" w:pos="8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Membership Interest Pledge Agreement dated November 30, 2004 between CoBank, ACB and Shentel Converged Services, Inc. filed as Exhibit 10.21 to the Company’s Current Report on Form 8-K dated December 3, 2004.</w:t>
      </w:r>
    </w:p>
    <w:p>
      <w:pPr>
        <w:spacing w:after="0" w:line="127" w:lineRule="exact"/>
        <w:rPr>
          <w:sz w:val="20"/>
          <w:szCs w:val="20"/>
          <w:color w:val="auto"/>
        </w:rPr>
      </w:pPr>
    </w:p>
    <w:p>
      <w:pPr>
        <w:jc w:val="both"/>
        <w:ind w:left="820" w:right="2359" w:hanging="809"/>
        <w:spacing w:after="0" w:line="306" w:lineRule="auto"/>
        <w:tabs>
          <w:tab w:leader="none" w:pos="8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Interest Purchase Agreement dated November 30, 2004 by and among Shentel Converged Services, Inc., NTC Communications LLC and the Interest holders named therein filed as Exhibit 10.22 to the Company’s Current Report on Form 8-K dated January 21, 2005.</w:t>
      </w:r>
    </w:p>
    <w:p>
      <w:pPr>
        <w:spacing w:after="0" w:line="93" w:lineRule="exact"/>
        <w:rPr>
          <w:sz w:val="20"/>
          <w:szCs w:val="20"/>
          <w:color w:val="auto"/>
        </w:rPr>
      </w:pPr>
    </w:p>
    <w:p>
      <w:pPr>
        <w:ind w:left="820" w:right="2399" w:hanging="809"/>
        <w:spacing w:after="0" w:line="259" w:lineRule="auto"/>
        <w:tabs>
          <w:tab w:leader="none" w:pos="8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Form of Incentive Stock Option Agreement under the 1996 Shenandoah Telecommunications Company Stock Incentive Plan (for routine formula grants) filed as Exhibit 10.23 to the Company’s Current Report on Form 8-K dated January 21, 2005.</w:t>
      </w:r>
    </w:p>
    <w:p>
      <w:pPr>
        <w:spacing w:after="0" w:line="127" w:lineRule="exact"/>
        <w:rPr>
          <w:sz w:val="20"/>
          <w:szCs w:val="20"/>
          <w:color w:val="auto"/>
        </w:rPr>
      </w:pPr>
    </w:p>
    <w:p>
      <w:pPr>
        <w:ind w:left="820" w:right="2479" w:hanging="809"/>
        <w:spacing w:after="0" w:line="306" w:lineRule="auto"/>
        <w:tabs>
          <w:tab w:leader="none" w:pos="80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Forms of Incentive Stock Option Agreement under the 1996 Shenandoah Telecommunications Company Stock Incentive Plan (for newly hired executive employees) filed as Exhibit 10.24 to the Company’s Current Report on Form 8-K dated January 21, 2005.</w:t>
      </w:r>
    </w:p>
    <w:p>
      <w:pPr>
        <w:spacing w:after="0" w:line="93" w:lineRule="exact"/>
        <w:rPr>
          <w:sz w:val="20"/>
          <w:szCs w:val="20"/>
          <w:color w:val="auto"/>
        </w:rPr>
      </w:pPr>
    </w:p>
    <w:p>
      <w:pPr>
        <w:ind w:left="820" w:right="2219" w:hanging="809"/>
        <w:spacing w:after="0" w:line="268" w:lineRule="auto"/>
        <w:tabs>
          <w:tab w:leader="none" w:pos="8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Description of the Shenandoah Telecommunications Company Incentive Plan filed as Exhibit 10.25 to the Company’s Current Report on Form 8-K dated January 21, 2005.</w:t>
      </w:r>
    </w:p>
    <w:p>
      <w:pPr>
        <w:spacing w:after="0" w:line="118" w:lineRule="exact"/>
        <w:rPr>
          <w:sz w:val="20"/>
          <w:szCs w:val="20"/>
          <w:color w:val="auto"/>
        </w:rPr>
      </w:pPr>
    </w:p>
    <w:p>
      <w:pPr>
        <w:ind w:left="820" w:right="2439" w:hanging="809"/>
        <w:spacing w:after="0" w:line="268" w:lineRule="auto"/>
        <w:tabs>
          <w:tab w:leader="none" w:pos="80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Description of Compensation of Non-Employee Directors. Filed as exhibit 10.29 to the Company’s current report on Form 8-K dated May 4, 2005.</w:t>
      </w:r>
    </w:p>
    <w:p>
      <w:pPr>
        <w:spacing w:after="0" w:line="118" w:lineRule="exact"/>
        <w:rPr>
          <w:sz w:val="20"/>
          <w:szCs w:val="20"/>
          <w:color w:val="auto"/>
        </w:rPr>
      </w:pPr>
    </w:p>
    <w:p>
      <w:pPr>
        <w:ind w:left="820" w:right="2559" w:hanging="809"/>
        <w:spacing w:after="0" w:line="268" w:lineRule="auto"/>
        <w:tabs>
          <w:tab w:leader="none" w:pos="80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Description of Management Compensatory Plans and Arrangements. Filed as exhibit 10.27 to the Company’s current report on Form 8-K dated April 20, 2005.</w:t>
      </w:r>
    </w:p>
    <w:p>
      <w:pPr>
        <w:spacing w:after="0" w:line="118" w:lineRule="exact"/>
        <w:rPr>
          <w:sz w:val="20"/>
          <w:szCs w:val="20"/>
          <w:color w:val="auto"/>
        </w:rPr>
      </w:pPr>
    </w:p>
    <w:p>
      <w:pPr>
        <w:ind w:left="820" w:right="2259" w:hanging="809"/>
        <w:spacing w:after="0" w:line="268" w:lineRule="auto"/>
        <w:tabs>
          <w:tab w:leader="none" w:pos="80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2005 Stock Incentive Plan filed as exhibit 10.1 to the Company’s Registration Statement on Form S-8 (No. 333-127342).</w:t>
      </w:r>
    </w:p>
    <w:p>
      <w:pPr>
        <w:spacing w:after="0" w:line="11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6"/>
          <w:szCs w:val="16"/>
          <w:color w:val="auto"/>
        </w:rPr>
        <w:t>Form of Incentive Stock Option Agreement under the 2005 Stock Incentive Plan</w:t>
      </w:r>
    </w:p>
    <w:p>
      <w:pPr>
        <w:spacing w:after="0" w:line="158" w:lineRule="exact"/>
        <w:rPr>
          <w:sz w:val="20"/>
          <w:szCs w:val="20"/>
          <w:color w:val="auto"/>
        </w:rPr>
      </w:pPr>
    </w:p>
    <w:p>
      <w:pPr>
        <w:ind w:left="820" w:right="2839" w:hanging="809"/>
        <w:spacing w:after="0" w:line="268" w:lineRule="auto"/>
        <w:tabs>
          <w:tab w:leader="none" w:pos="80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Stock Redemption Agreement dated as of November 10, 2005 among Shenandoah Telephone Company and The Rural Telephone Bank.</w:t>
      </w:r>
    </w:p>
    <w:p>
      <w:pPr>
        <w:spacing w:after="0" w:line="11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List of Subsidiaries.</w:t>
      </w:r>
    </w:p>
    <w:p>
      <w:pPr>
        <w:spacing w:after="0" w:line="15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KPMG LLP, Independent Registered Public Accounting Firm.</w:t>
      </w:r>
    </w:p>
    <w:p>
      <w:pPr>
        <w:spacing w:after="0" w:line="158" w:lineRule="exact"/>
        <w:rPr>
          <w:sz w:val="20"/>
          <w:szCs w:val="20"/>
          <w:color w:val="auto"/>
        </w:rPr>
      </w:pPr>
    </w:p>
    <w:p>
      <w:pPr>
        <w:ind w:left="820" w:right="2279" w:hanging="809"/>
        <w:spacing w:after="0" w:line="332" w:lineRule="auto"/>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President and Chief Executive Officer of Shenandoah Telecommunications Company pursuant to Rule 13a-14(a)under the Securities Exchange Act of 1934.</w:t>
      </w:r>
    </w:p>
    <w:p>
      <w:pPr>
        <w:spacing w:after="0" w:line="13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388" w:right="1440" w:bottom="1440" w:gutter="0" w:footer="0" w:header="0"/>
        </w:sectPr>
      </w:pPr>
    </w:p>
    <w:bookmarkStart w:id="69" w:name="page70"/>
    <w:bookmarkEnd w:id="69"/>
    <w:p>
      <w:pPr>
        <w:ind w:left="820" w:right="2219" w:hanging="809"/>
        <w:spacing w:after="0" w:line="370" w:lineRule="auto"/>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5"/>
          <w:szCs w:val="15"/>
          <w:color w:val="auto"/>
        </w:rPr>
        <w:t>Certification of Executive Vice President and Chief Financial Officer of Shenandoah Telecommunications Company pursuant to Rule 13a-14(a)under the Securities Exchange Act of 1934.</w:t>
      </w:r>
    </w:p>
    <w:p>
      <w:pPr>
        <w:spacing w:after="0" w:line="49"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6"/>
          <w:szCs w:val="16"/>
          <w:color w:val="auto"/>
        </w:rPr>
        <w:t>Certifications pursuant to Rule 13a-14(b) under the Securities Exchange Act of 1934 and 18 U.S.C. §</w:t>
      </w:r>
    </w:p>
    <w:p>
      <w:pPr>
        <w:spacing w:after="0" w:line="3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10464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60" w:lineRule="exact"/>
        <w:rPr>
          <w:sz w:val="20"/>
          <w:szCs w:val="20"/>
          <w:color w:val="auto"/>
        </w:rPr>
      </w:pPr>
    </w:p>
    <w:p>
      <w:pPr>
        <w:ind w:left="1120" w:right="2699" w:hanging="1120"/>
        <w:spacing w:after="0" w:line="275" w:lineRule="auto"/>
        <w:rPr>
          <w:sz w:val="20"/>
          <w:szCs w:val="20"/>
          <w:color w:val="auto"/>
        </w:rPr>
      </w:pPr>
      <w:r>
        <w:rPr>
          <w:rFonts w:ascii="Arial" w:cs="Arial" w:eastAsia="Arial" w:hAnsi="Arial"/>
          <w:sz w:val="18"/>
          <w:szCs w:val="18"/>
          <w:color w:val="auto"/>
        </w:rPr>
        <w:t xml:space="preserve">ITEM 15. </w:t>
      </w:r>
      <w:r>
        <w:rPr>
          <w:rFonts w:ascii="Arial" w:cs="Arial" w:eastAsia="Arial" w:hAnsi="Arial"/>
          <w:sz w:val="18"/>
          <w:szCs w:val="18"/>
          <w:b w:val="1"/>
          <w:bCs w:val="1"/>
          <w:color w:val="auto"/>
        </w:rPr>
        <w:t>EXHIBITS, FINANCIAL STATEMENT SCHEDULES, AND REPORTS ON FORM 8-K</w:t>
      </w:r>
      <w:r>
        <w:rPr>
          <w:rFonts w:ascii="Arial" w:cs="Arial" w:eastAsia="Arial" w:hAnsi="Arial"/>
          <w:sz w:val="18"/>
          <w:szCs w:val="18"/>
          <w:color w:val="auto"/>
        </w:rPr>
        <w:t xml:space="preserve"> </w:t>
      </w:r>
      <w:r>
        <w:rPr>
          <w:rFonts w:ascii="Arial" w:cs="Arial" w:eastAsia="Arial" w:hAnsi="Arial"/>
          <w:sz w:val="18"/>
          <w:szCs w:val="18"/>
          <w:b w:val="1"/>
          <w:bCs w:val="1"/>
          <w:color w:val="auto"/>
        </w:rPr>
        <w:t>(Continued)</w:t>
      </w:r>
    </w:p>
    <w:p>
      <w:pPr>
        <w:spacing w:after="0" w:line="180"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PART IV (Continued)</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379"/>
        <w:spacing w:after="0" w:line="332" w:lineRule="auto"/>
        <w:rPr>
          <w:sz w:val="20"/>
          <w:szCs w:val="20"/>
          <w:color w:val="auto"/>
        </w:rPr>
      </w:pPr>
      <w:r>
        <w:rPr>
          <w:rFonts w:ascii="Arial" w:cs="Arial" w:eastAsia="Arial" w:hAnsi="Arial"/>
          <w:sz w:val="16"/>
          <w:szCs w:val="16"/>
          <w:color w:val="auto"/>
        </w:rPr>
        <w:t>Pursuant to the requirements of Sections 13 or 15(d) of the Securities Exchange Act of 1934, the Registrant has duly caused this report to be signed on its behalf by the undersigned, thereunto duly authorized.</w:t>
      </w:r>
    </w:p>
    <w:p>
      <w:pPr>
        <w:spacing w:after="0" w:line="13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SHENANDOAH TELECOMMUNICATIONS COMPANY</w:t>
      </w:r>
    </w:p>
    <w:p>
      <w:pPr>
        <w:spacing w:after="0" w:line="239" w:lineRule="exact"/>
        <w:rPr>
          <w:sz w:val="20"/>
          <w:szCs w:val="20"/>
          <w:color w:val="auto"/>
        </w:rPr>
      </w:pPr>
    </w:p>
    <w:p>
      <w:pPr>
        <w:spacing w:after="0"/>
        <w:tabs>
          <w:tab w:leader="none" w:pos="2180" w:val="left"/>
        </w:tabs>
        <w:rPr>
          <w:sz w:val="20"/>
          <w:szCs w:val="20"/>
          <w:color w:val="auto"/>
        </w:rPr>
      </w:pPr>
      <w:r>
        <w:rPr>
          <w:rFonts w:ascii="Arial" w:cs="Arial" w:eastAsia="Arial" w:hAnsi="Arial"/>
          <w:sz w:val="18"/>
          <w:szCs w:val="18"/>
          <w:color w:val="auto"/>
        </w:rPr>
        <w:t>March 21, 2006</w:t>
      </w:r>
      <w:r>
        <w:rPr>
          <w:sz w:val="20"/>
          <w:szCs w:val="20"/>
          <w:color w:val="auto"/>
        </w:rPr>
        <w:tab/>
      </w:r>
      <w:r>
        <w:rPr>
          <w:rFonts w:ascii="Arial" w:cs="Arial" w:eastAsia="Arial" w:hAnsi="Arial"/>
          <w:sz w:val="16"/>
          <w:szCs w:val="16"/>
          <w:color w:val="auto"/>
        </w:rPr>
        <w:t>By: /S/ CHRISTOPHER E. FRENCH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80010</wp:posOffset>
            </wp:positionV>
            <wp:extent cx="176657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1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Christopher E. French, President</w:t>
      </w:r>
    </w:p>
    <w:p>
      <w:pPr>
        <w:spacing w:after="0" w:line="15"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(Duly Authorized Officer)</w:t>
      </w:r>
    </w:p>
    <w:p>
      <w:pPr>
        <w:spacing w:after="0" w:line="21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PART IV (Continued)</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299"/>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signed by the following persons on behalf of the Registrant and in the capacities and on the dates indicated.</w:t>
      </w:r>
    </w:p>
    <w:p>
      <w:pPr>
        <w:spacing w:after="0" w:line="199"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/s/CHRISTOPHER E. FRENCH</w:t>
      </w:r>
      <w:r>
        <w:rPr>
          <w:sz w:val="20"/>
          <w:szCs w:val="20"/>
          <w:color w:val="auto"/>
        </w:rPr>
        <w:tab/>
      </w:r>
      <w:r>
        <w:rPr>
          <w:rFonts w:ascii="Arial" w:cs="Arial" w:eastAsia="Arial" w:hAnsi="Arial"/>
          <w:sz w:val="16"/>
          <w:szCs w:val="16"/>
          <w:color w:val="auto"/>
        </w:rPr>
        <w:t>President &amp; Chief Executive Officer,</w:t>
      </w:r>
    </w:p>
    <w:p>
      <w:pPr>
        <w:spacing w:after="0" w:line="15"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March 21, 2006</w:t>
      </w:r>
      <w:r>
        <w:rPr>
          <w:sz w:val="20"/>
          <w:szCs w:val="20"/>
          <w:color w:val="auto"/>
        </w:rPr>
        <w:tab/>
      </w:r>
      <w:r>
        <w:rPr>
          <w:rFonts w:ascii="Arial" w:cs="Arial" w:eastAsia="Arial" w:hAnsi="Arial"/>
          <w:sz w:val="16"/>
          <w:szCs w:val="16"/>
          <w:color w:val="auto"/>
        </w:rPr>
        <w:t>Director (Principal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Christopher E. French</w:t>
      </w:r>
    </w:p>
    <w:p>
      <w:pPr>
        <w:spacing w:after="0" w:line="151"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/s/EARLE A. MACKENZIE</w:t>
      </w:r>
      <w:r>
        <w:rPr>
          <w:sz w:val="20"/>
          <w:szCs w:val="20"/>
          <w:color w:val="auto"/>
        </w:rPr>
        <w:tab/>
      </w:r>
      <w:r>
        <w:rPr>
          <w:rFonts w:ascii="Arial" w:cs="Arial" w:eastAsia="Arial" w:hAnsi="Arial"/>
          <w:sz w:val="16"/>
          <w:szCs w:val="16"/>
          <w:color w:val="auto"/>
        </w:rPr>
        <w:t>Executive Vice President &amp; Treasurer</w:t>
      </w:r>
    </w:p>
    <w:p>
      <w:pPr>
        <w:spacing w:after="0" w:line="15"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March 21, 2006</w:t>
      </w:r>
      <w:r>
        <w:rPr>
          <w:sz w:val="20"/>
          <w:szCs w:val="20"/>
          <w:color w:val="auto"/>
        </w:rPr>
        <w:tab/>
      </w:r>
      <w:r>
        <w:rPr>
          <w:rFonts w:ascii="Arial" w:cs="Arial" w:eastAsia="Arial" w:hAnsi="Arial"/>
          <w:sz w:val="16"/>
          <w:szCs w:val="16"/>
          <w:color w:val="auto"/>
        </w:rPr>
        <w:t>(Principal Financial Officer and</w:t>
      </w:r>
    </w:p>
    <w:p>
      <w:pPr>
        <w:spacing w:after="0" w:line="9"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Earle A. MacKenzie</w:t>
      </w:r>
      <w:r>
        <w:rPr>
          <w:sz w:val="20"/>
          <w:szCs w:val="20"/>
          <w:color w:val="auto"/>
        </w:rPr>
        <w:tab/>
      </w:r>
      <w:r>
        <w:rPr>
          <w:rFonts w:ascii="Arial" w:cs="Arial" w:eastAsia="Arial" w:hAnsi="Arial"/>
          <w:sz w:val="16"/>
          <w:szCs w:val="16"/>
          <w:color w:val="auto"/>
        </w:rPr>
        <w:t>Principal Accounting Officer)</w:t>
      </w:r>
    </w:p>
    <w:p>
      <w:pPr>
        <w:spacing w:after="0" w:line="151"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/s/DOUGLAS C. ARTHUR</w:t>
      </w:r>
      <w:r>
        <w:rPr>
          <w:sz w:val="20"/>
          <w:szCs w:val="20"/>
          <w:color w:val="auto"/>
        </w:rPr>
        <w:tab/>
      </w:r>
      <w:r>
        <w:rPr>
          <w:rFonts w:ascii="Arial" w:cs="Arial" w:eastAsia="Arial" w:hAnsi="Arial"/>
          <w:sz w:val="16"/>
          <w:szCs w:val="16"/>
          <w:color w:val="auto"/>
        </w:rPr>
        <w:t>Director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21,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Douglas C. Arthur</w:t>
      </w:r>
    </w:p>
    <w:p>
      <w:pPr>
        <w:spacing w:after="0" w:line="151"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/s/NOEL M. BORDEN</w:t>
      </w:r>
      <w:r>
        <w:rPr>
          <w:sz w:val="20"/>
          <w:szCs w:val="20"/>
          <w:color w:val="auto"/>
        </w:rPr>
        <w:tab/>
      </w:r>
      <w:r>
        <w:rPr>
          <w:rFonts w:ascii="Arial" w:cs="Arial" w:eastAsia="Arial" w:hAnsi="Arial"/>
          <w:sz w:val="16"/>
          <w:szCs w:val="16"/>
          <w:color w:val="auto"/>
        </w:rPr>
        <w:t>Director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21,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Noel M. Borden</w:t>
      </w:r>
    </w:p>
    <w:p>
      <w:pPr>
        <w:spacing w:after="0" w:line="151"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/s/KEN L. BURCH</w:t>
      </w:r>
      <w:r>
        <w:rPr>
          <w:sz w:val="20"/>
          <w:szCs w:val="20"/>
          <w:color w:val="auto"/>
        </w:rPr>
        <w:tab/>
      </w:r>
      <w:r>
        <w:rPr>
          <w:rFonts w:ascii="Arial" w:cs="Arial" w:eastAsia="Arial" w:hAnsi="Arial"/>
          <w:sz w:val="16"/>
          <w:szCs w:val="16"/>
          <w:color w:val="auto"/>
        </w:rPr>
        <w:t>Director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21,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Ken L. Burch</w:t>
      </w:r>
    </w:p>
    <w:p>
      <w:pPr>
        <w:spacing w:after="0" w:line="151"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/s/TRACY FITZSIMMONS</w:t>
      </w:r>
      <w:r>
        <w:rPr>
          <w:sz w:val="20"/>
          <w:szCs w:val="20"/>
          <w:color w:val="auto"/>
        </w:rPr>
        <w:tab/>
      </w:r>
      <w:r>
        <w:rPr>
          <w:rFonts w:ascii="Arial" w:cs="Arial" w:eastAsia="Arial" w:hAnsi="Arial"/>
          <w:sz w:val="16"/>
          <w:szCs w:val="16"/>
          <w:color w:val="auto"/>
        </w:rPr>
        <w:t>Director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21,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 Fitzsimmons</w:t>
      </w:r>
    </w:p>
    <w:p>
      <w:pPr>
        <w:spacing w:after="0" w:line="151"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/s/GROVER M. HOLLER, JR.</w:t>
      </w:r>
      <w:r>
        <w:rPr>
          <w:sz w:val="20"/>
          <w:szCs w:val="20"/>
          <w:color w:val="auto"/>
        </w:rPr>
        <w:tab/>
      </w:r>
      <w:r>
        <w:rPr>
          <w:rFonts w:ascii="Arial" w:cs="Arial" w:eastAsia="Arial" w:hAnsi="Arial"/>
          <w:sz w:val="16"/>
          <w:szCs w:val="16"/>
          <w:color w:val="auto"/>
        </w:rPr>
        <w:t>Director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21,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Grover M. Holler, Jr.</w:t>
      </w:r>
    </w:p>
    <w:p>
      <w:pPr>
        <w:spacing w:after="0" w:line="151"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/S/DALE S. LAM</w:t>
      </w:r>
      <w:r>
        <w:rPr>
          <w:sz w:val="20"/>
          <w:szCs w:val="20"/>
          <w:color w:val="auto"/>
        </w:rPr>
        <w:tab/>
      </w:r>
      <w:r>
        <w:rPr>
          <w:rFonts w:ascii="Arial" w:cs="Arial" w:eastAsia="Arial" w:hAnsi="Arial"/>
          <w:sz w:val="16"/>
          <w:szCs w:val="16"/>
          <w:color w:val="auto"/>
        </w:rPr>
        <w:t>Director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21,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Dale S. Lam</w:t>
      </w:r>
    </w:p>
    <w:p>
      <w:pPr>
        <w:spacing w:after="0" w:line="151"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/S/WILLIAM A. TRUBAN, JR.</w:t>
      </w:r>
      <w:r>
        <w:rPr>
          <w:sz w:val="20"/>
          <w:szCs w:val="20"/>
          <w:color w:val="auto"/>
        </w:rPr>
        <w:tab/>
      </w:r>
      <w:r>
        <w:rPr>
          <w:rFonts w:ascii="Arial" w:cs="Arial" w:eastAsia="Arial" w:hAnsi="Arial"/>
          <w:sz w:val="16"/>
          <w:szCs w:val="16"/>
          <w:color w:val="auto"/>
        </w:rPr>
        <w:t>Director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21,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A. Truban, Jr.</w:t>
      </w:r>
    </w:p>
    <w:p>
      <w:pPr>
        <w:spacing w:after="0" w:line="151"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/s/JAMES E. ZERKEL II</w:t>
      </w:r>
      <w:r>
        <w:rPr>
          <w:sz w:val="20"/>
          <w:szCs w:val="20"/>
          <w:color w:val="auto"/>
        </w:rPr>
        <w:tab/>
      </w:r>
      <w:r>
        <w:rPr>
          <w:rFonts w:ascii="Arial" w:cs="Arial" w:eastAsia="Arial" w:hAnsi="Arial"/>
          <w:sz w:val="16"/>
          <w:szCs w:val="16"/>
          <w:color w:val="auto"/>
        </w:rPr>
        <w:t>Director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21,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E. Zerkel II</w:t>
      </w:r>
    </w:p>
    <w:p>
      <w:pPr>
        <w:sectPr>
          <w:pgSz w:w="11900" w:h="16838" w:orient="portrait"/>
          <w:cols w:equalWidth="0" w:num="1">
            <w:col w:w="10219"/>
          </w:cols>
          <w:pgMar w:left="240" w:top="388" w:right="1440" w:bottom="342" w:gutter="0" w:footer="0" w:header="0"/>
        </w:sectPr>
      </w:pPr>
    </w:p>
    <w:p>
      <w:pPr>
        <w:spacing w:after="0" w:line="367"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5166995" cy="469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388" w:right="1440" w:bottom="342" w:gutter="0" w:footer="0" w:header="0"/>
          <w:type w:val="continuous"/>
        </w:sectPr>
      </w:pPr>
    </w:p>
    <w:bookmarkStart w:id="70" w:name="page71"/>
    <w:bookmarkEnd w:id="70"/>
    <w:p>
      <w:pPr>
        <w:jc w:val="center"/>
        <w:ind w:right="2099"/>
        <w:spacing w:after="0"/>
        <w:rPr>
          <w:sz w:val="20"/>
          <w:szCs w:val="20"/>
          <w:color w:val="auto"/>
        </w:rPr>
      </w:pPr>
      <w:r>
        <w:rPr>
          <w:rFonts w:ascii="Arial" w:cs="Arial" w:eastAsia="Arial" w:hAnsi="Arial"/>
          <w:sz w:val="18"/>
          <w:szCs w:val="18"/>
          <w:b w:val="1"/>
          <w:bCs w:val="1"/>
          <w:color w:val="auto"/>
        </w:rPr>
        <w:t>SHENANDOAH TELECOMMUNICATIONS COMPANY</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AND SUBSIDIARIES</w:t>
      </w:r>
    </w:p>
    <w:p>
      <w:pPr>
        <w:spacing w:after="0" w:line="21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Index to the Consolidated 2005 Financial Statements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80" w:type="dxa"/>
            <w:vAlign w:val="bottom"/>
          </w:tcPr>
          <w:p>
            <w:pPr>
              <w:jc w:val="center"/>
              <w:ind w:left="235"/>
              <w:spacing w:after="0"/>
              <w:rPr>
                <w:sz w:val="20"/>
                <w:szCs w:val="20"/>
                <w:color w:val="auto"/>
              </w:rPr>
            </w:pPr>
            <w:r>
              <w:rPr>
                <w:rFonts w:ascii="Arial" w:cs="Arial" w:eastAsia="Arial" w:hAnsi="Arial"/>
                <w:sz w:val="14"/>
                <w:szCs w:val="14"/>
                <w:b w:val="1"/>
                <w:bCs w:val="1"/>
                <w:color w:val="auto"/>
                <w:w w:val="83"/>
              </w:rPr>
              <w:t>Page</w:t>
            </w:r>
          </w:p>
        </w:tc>
      </w:tr>
      <w:tr>
        <w:trPr>
          <w:trHeight w:val="222"/>
        </w:trPr>
        <w:tc>
          <w:tcPr>
            <w:tcW w:w="6260" w:type="dxa"/>
            <w:vAlign w:val="bottom"/>
            <w:gridSpan w:val="7"/>
          </w:tcPr>
          <w:p>
            <w:pPr>
              <w:spacing w:after="0"/>
              <w:rPr>
                <w:sz w:val="20"/>
                <w:szCs w:val="20"/>
                <w:color w:val="auto"/>
              </w:rPr>
            </w:pPr>
            <w:r>
              <w:rPr>
                <w:rFonts w:ascii="Arial" w:cs="Arial" w:eastAsia="Arial" w:hAnsi="Arial"/>
                <w:sz w:val="18"/>
                <w:szCs w:val="18"/>
                <w:color w:val="auto"/>
              </w:rPr>
              <w:t>Reports of Independent Registered Public Accounting Firm</w:t>
            </w:r>
          </w:p>
        </w:tc>
        <w:tc>
          <w:tcPr>
            <w:tcW w:w="1880" w:type="dxa"/>
            <w:vAlign w:val="bottom"/>
          </w:tcPr>
          <w:p>
            <w:pPr>
              <w:jc w:val="center"/>
              <w:ind w:left="235"/>
              <w:spacing w:after="0"/>
              <w:rPr>
                <w:sz w:val="20"/>
                <w:szCs w:val="20"/>
                <w:color w:val="auto"/>
              </w:rPr>
            </w:pPr>
            <w:r>
              <w:rPr>
                <w:rFonts w:ascii="Arial" w:cs="Arial" w:eastAsia="Arial" w:hAnsi="Arial"/>
                <w:sz w:val="18"/>
                <w:szCs w:val="18"/>
                <w:color w:val="auto"/>
                <w:w w:val="89"/>
              </w:rPr>
              <w:t>F-2 and F-3</w:t>
            </w:r>
          </w:p>
        </w:tc>
      </w:tr>
      <w:tr>
        <w:trPr>
          <w:trHeight w:val="358"/>
        </w:trPr>
        <w:tc>
          <w:tcPr>
            <w:tcW w:w="6260" w:type="dxa"/>
            <w:vAlign w:val="bottom"/>
            <w:gridSpan w:val="7"/>
          </w:tcPr>
          <w:p>
            <w:pPr>
              <w:spacing w:after="0"/>
              <w:rPr>
                <w:sz w:val="20"/>
                <w:szCs w:val="20"/>
                <w:color w:val="auto"/>
              </w:rPr>
            </w:pPr>
            <w:r>
              <w:rPr>
                <w:rFonts w:ascii="Arial" w:cs="Arial" w:eastAsia="Arial" w:hAnsi="Arial"/>
                <w:sz w:val="18"/>
                <w:szCs w:val="18"/>
                <w:color w:val="auto"/>
                <w:w w:val="95"/>
              </w:rPr>
              <w:t>Consolidated Financial Statements for the Years Ended December 31, 2005, 2004</w:t>
            </w:r>
          </w:p>
        </w:tc>
        <w:tc>
          <w:tcPr>
            <w:tcW w:w="1880" w:type="dxa"/>
            <w:vAlign w:val="bottom"/>
          </w:tcPr>
          <w:p>
            <w:pPr>
              <w:spacing w:after="0"/>
              <w:rPr>
                <w:sz w:val="24"/>
                <w:szCs w:val="24"/>
                <w:color w:val="auto"/>
              </w:rPr>
            </w:pPr>
          </w:p>
        </w:tc>
      </w:tr>
      <w:tr>
        <w:trPr>
          <w:trHeight w:val="222"/>
        </w:trPr>
        <w:tc>
          <w:tcPr>
            <w:tcW w:w="6260" w:type="dxa"/>
            <w:vAlign w:val="bottom"/>
            <w:gridSpan w:val="7"/>
          </w:tcPr>
          <w:p>
            <w:pPr>
              <w:spacing w:after="0"/>
              <w:rPr>
                <w:sz w:val="20"/>
                <w:szCs w:val="20"/>
                <w:color w:val="auto"/>
              </w:rPr>
            </w:pPr>
            <w:r>
              <w:rPr>
                <w:rFonts w:ascii="Arial" w:cs="Arial" w:eastAsia="Arial" w:hAnsi="Arial"/>
                <w:sz w:val="18"/>
                <w:szCs w:val="18"/>
                <w:color w:val="auto"/>
              </w:rPr>
              <w:t>(Restated) and 2003 (Restated)</w:t>
            </w:r>
          </w:p>
        </w:tc>
        <w:tc>
          <w:tcPr>
            <w:tcW w:w="1880" w:type="dxa"/>
            <w:vAlign w:val="bottom"/>
          </w:tcPr>
          <w:p>
            <w:pPr>
              <w:spacing w:after="0"/>
              <w:rPr>
                <w:sz w:val="19"/>
                <w:szCs w:val="19"/>
                <w:color w:val="auto"/>
              </w:rPr>
            </w:pPr>
          </w:p>
        </w:tc>
      </w:tr>
      <w:tr>
        <w:trPr>
          <w:trHeight w:val="326"/>
        </w:trPr>
        <w:tc>
          <w:tcPr>
            <w:tcW w:w="340" w:type="dxa"/>
            <w:vAlign w:val="bottom"/>
          </w:tcPr>
          <w:p>
            <w:pPr>
              <w:spacing w:after="0"/>
              <w:rPr>
                <w:sz w:val="24"/>
                <w:szCs w:val="24"/>
                <w:color w:val="auto"/>
              </w:rPr>
            </w:pPr>
          </w:p>
        </w:tc>
        <w:tc>
          <w:tcPr>
            <w:tcW w:w="2040" w:type="dxa"/>
            <w:vAlign w:val="bottom"/>
            <w:tcBorders>
              <w:bottom w:val="single" w:sz="8" w:color="0000EE"/>
            </w:tcBorders>
          </w:tcPr>
          <w:p>
            <w:pPr>
              <w:spacing w:after="0"/>
              <w:rPr>
                <w:rFonts w:ascii="Arial" w:cs="Arial" w:eastAsia="Arial" w:hAnsi="Arial"/>
                <w:sz w:val="18"/>
                <w:szCs w:val="18"/>
                <w:color w:val="0000EE"/>
                <w:w w:val="85"/>
              </w:rPr>
            </w:pPr>
            <w:hyperlink w:anchor="page75">
              <w:r>
                <w:rPr>
                  <w:rFonts w:ascii="Arial" w:cs="Arial" w:eastAsia="Arial" w:hAnsi="Arial"/>
                  <w:sz w:val="18"/>
                  <w:szCs w:val="18"/>
                  <w:color w:val="0000EE"/>
                  <w:w w:val="85"/>
                </w:rPr>
                <w:t>Consolidated Balance Sheets</w:t>
              </w:r>
            </w:hyperlink>
          </w:p>
        </w:tc>
        <w:tc>
          <w:tcPr>
            <w:tcW w:w="3880" w:type="dxa"/>
            <w:vAlign w:val="bottom"/>
            <w:gridSpan w:val="5"/>
          </w:tcPr>
          <w:p>
            <w:pPr>
              <w:spacing w:after="0"/>
              <w:rPr>
                <w:sz w:val="24"/>
                <w:szCs w:val="24"/>
                <w:color w:val="auto"/>
              </w:rPr>
            </w:pPr>
          </w:p>
        </w:tc>
        <w:tc>
          <w:tcPr>
            <w:tcW w:w="1880" w:type="dxa"/>
            <w:vAlign w:val="bottom"/>
          </w:tcPr>
          <w:p>
            <w:pPr>
              <w:jc w:val="center"/>
              <w:ind w:left="235"/>
              <w:spacing w:after="0"/>
              <w:rPr>
                <w:sz w:val="20"/>
                <w:szCs w:val="20"/>
                <w:color w:val="auto"/>
              </w:rPr>
            </w:pPr>
            <w:r>
              <w:rPr>
                <w:rFonts w:ascii="Arial" w:cs="Arial" w:eastAsia="Arial" w:hAnsi="Arial"/>
                <w:sz w:val="18"/>
                <w:szCs w:val="18"/>
                <w:color w:val="auto"/>
                <w:w w:val="89"/>
              </w:rPr>
              <w:t>F-4 and F-5</w:t>
            </w:r>
          </w:p>
        </w:tc>
      </w:tr>
      <w:tr>
        <w:trPr>
          <w:trHeight w:val="196"/>
        </w:trPr>
        <w:tc>
          <w:tcPr>
            <w:tcW w:w="340" w:type="dxa"/>
            <w:vAlign w:val="bottom"/>
          </w:tcPr>
          <w:p>
            <w:pPr>
              <w:spacing w:after="0"/>
              <w:rPr>
                <w:sz w:val="17"/>
                <w:szCs w:val="17"/>
                <w:color w:val="auto"/>
              </w:rPr>
            </w:pPr>
          </w:p>
        </w:tc>
        <w:tc>
          <w:tcPr>
            <w:tcW w:w="250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w:anchor="page77">
              <w:r>
                <w:rPr>
                  <w:rFonts w:ascii="Arial" w:cs="Arial" w:eastAsia="Arial" w:hAnsi="Arial"/>
                  <w:sz w:val="18"/>
                  <w:szCs w:val="18"/>
                  <w:color w:val="0000EE"/>
                  <w:w w:val="86"/>
                </w:rPr>
                <w:t>Consolidated Statements of Income</w:t>
              </w:r>
            </w:hyperlink>
          </w:p>
        </w:tc>
        <w:tc>
          <w:tcPr>
            <w:tcW w:w="3420" w:type="dxa"/>
            <w:vAlign w:val="bottom"/>
            <w:gridSpan w:val="4"/>
          </w:tcPr>
          <w:p>
            <w:pPr>
              <w:spacing w:after="0"/>
              <w:rPr>
                <w:sz w:val="17"/>
                <w:szCs w:val="17"/>
                <w:color w:val="auto"/>
              </w:rPr>
            </w:pPr>
          </w:p>
        </w:tc>
        <w:tc>
          <w:tcPr>
            <w:tcW w:w="1880" w:type="dxa"/>
            <w:vAlign w:val="bottom"/>
          </w:tcPr>
          <w:p>
            <w:pPr>
              <w:jc w:val="center"/>
              <w:ind w:left="235"/>
              <w:spacing w:after="0" w:line="196" w:lineRule="exact"/>
              <w:rPr>
                <w:sz w:val="20"/>
                <w:szCs w:val="20"/>
                <w:color w:val="auto"/>
              </w:rPr>
            </w:pPr>
            <w:r>
              <w:rPr>
                <w:rFonts w:ascii="Arial" w:cs="Arial" w:eastAsia="Arial" w:hAnsi="Arial"/>
                <w:sz w:val="18"/>
                <w:szCs w:val="18"/>
                <w:color w:val="auto"/>
                <w:w w:val="88"/>
              </w:rPr>
              <w:t>F-6</w:t>
            </w:r>
          </w:p>
        </w:tc>
      </w:tr>
      <w:tr>
        <w:trPr>
          <w:trHeight w:val="196"/>
        </w:trPr>
        <w:tc>
          <w:tcPr>
            <w:tcW w:w="340" w:type="dxa"/>
            <w:vAlign w:val="bottom"/>
          </w:tcPr>
          <w:p>
            <w:pPr>
              <w:spacing w:after="0"/>
              <w:rPr>
                <w:sz w:val="17"/>
                <w:szCs w:val="17"/>
                <w:color w:val="auto"/>
              </w:rPr>
            </w:pPr>
          </w:p>
        </w:tc>
        <w:tc>
          <w:tcPr>
            <w:tcW w:w="5920" w:type="dxa"/>
            <w:vAlign w:val="bottom"/>
            <w:gridSpan w:val="6"/>
          </w:tcPr>
          <w:p>
            <w:pPr>
              <w:spacing w:after="0" w:line="196" w:lineRule="exact"/>
              <w:rPr>
                <w:rFonts w:ascii="Arial" w:cs="Arial" w:eastAsia="Arial" w:hAnsi="Arial"/>
                <w:sz w:val="18"/>
                <w:szCs w:val="18"/>
                <w:color w:val="0000EE"/>
                <w:w w:val="94"/>
              </w:rPr>
            </w:pPr>
            <w:hyperlink w:anchor="page78">
              <w:r>
                <w:rPr>
                  <w:rFonts w:ascii="Arial" w:cs="Arial" w:eastAsia="Arial" w:hAnsi="Arial"/>
                  <w:sz w:val="18"/>
                  <w:szCs w:val="18"/>
                  <w:color w:val="0000EE"/>
                  <w:w w:val="94"/>
                </w:rPr>
                <w:t>Consolidated Statements of Shareholders’ Equity and Comprehensive Income</w:t>
              </w:r>
            </w:hyperlink>
          </w:p>
        </w:tc>
        <w:tc>
          <w:tcPr>
            <w:tcW w:w="1880" w:type="dxa"/>
            <w:vAlign w:val="bottom"/>
          </w:tcPr>
          <w:p>
            <w:pPr>
              <w:jc w:val="center"/>
              <w:ind w:left="235"/>
              <w:spacing w:after="0" w:line="196" w:lineRule="exact"/>
              <w:rPr>
                <w:sz w:val="20"/>
                <w:szCs w:val="20"/>
                <w:color w:val="auto"/>
              </w:rPr>
            </w:pPr>
            <w:r>
              <w:rPr>
                <w:rFonts w:ascii="Arial" w:cs="Arial" w:eastAsia="Arial" w:hAnsi="Arial"/>
                <w:sz w:val="18"/>
                <w:szCs w:val="18"/>
                <w:color w:val="auto"/>
                <w:w w:val="88"/>
              </w:rPr>
              <w:t>F-7</w:t>
            </w:r>
          </w:p>
        </w:tc>
      </w:tr>
      <w:tr>
        <w:trPr>
          <w:trHeight w:val="196"/>
        </w:trPr>
        <w:tc>
          <w:tcPr>
            <w:tcW w:w="34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80">
              <w:r>
                <w:rPr>
                  <w:rFonts w:ascii="Arial" w:cs="Arial" w:eastAsia="Arial" w:hAnsi="Arial"/>
                  <w:sz w:val="18"/>
                  <w:szCs w:val="18"/>
                  <w:color w:val="0000EE"/>
                  <w:w w:val="86"/>
                </w:rPr>
                <w:t>Consolidated Statements of Cash Flows</w:t>
              </w:r>
            </w:hyperlink>
          </w:p>
        </w:tc>
        <w:tc>
          <w:tcPr>
            <w:tcW w:w="2660" w:type="dxa"/>
            <w:vAlign w:val="bottom"/>
            <w:tcBorders>
              <w:top w:val="single" w:sz="8" w:color="0000EE"/>
            </w:tcBorders>
            <w:gridSpan w:val="2"/>
          </w:tcPr>
          <w:p>
            <w:pPr>
              <w:spacing w:after="0"/>
              <w:rPr>
                <w:sz w:val="17"/>
                <w:szCs w:val="17"/>
                <w:color w:val="auto"/>
              </w:rPr>
            </w:pPr>
          </w:p>
        </w:tc>
        <w:tc>
          <w:tcPr>
            <w:tcW w:w="460" w:type="dxa"/>
            <w:vAlign w:val="bottom"/>
          </w:tcPr>
          <w:p>
            <w:pPr>
              <w:spacing w:after="0"/>
              <w:rPr>
                <w:sz w:val="17"/>
                <w:szCs w:val="17"/>
                <w:color w:val="auto"/>
              </w:rPr>
            </w:pPr>
          </w:p>
        </w:tc>
        <w:tc>
          <w:tcPr>
            <w:tcW w:w="1880" w:type="dxa"/>
            <w:vAlign w:val="bottom"/>
          </w:tcPr>
          <w:p>
            <w:pPr>
              <w:jc w:val="center"/>
              <w:ind w:left="235"/>
              <w:spacing w:after="0" w:line="196" w:lineRule="exact"/>
              <w:rPr>
                <w:sz w:val="20"/>
                <w:szCs w:val="20"/>
                <w:color w:val="auto"/>
              </w:rPr>
            </w:pPr>
            <w:r>
              <w:rPr>
                <w:rFonts w:ascii="Arial" w:cs="Arial" w:eastAsia="Arial" w:hAnsi="Arial"/>
                <w:sz w:val="18"/>
                <w:szCs w:val="18"/>
                <w:color w:val="auto"/>
                <w:w w:val="89"/>
              </w:rPr>
              <w:t>F-8 and F-9</w:t>
            </w:r>
          </w:p>
        </w:tc>
      </w:tr>
      <w:tr>
        <w:trPr>
          <w:trHeight w:val="196"/>
        </w:trPr>
        <w:tc>
          <w:tcPr>
            <w:tcW w:w="340" w:type="dxa"/>
            <w:vAlign w:val="bottom"/>
          </w:tcPr>
          <w:p>
            <w:pPr>
              <w:spacing w:after="0"/>
              <w:rPr>
                <w:sz w:val="17"/>
                <w:szCs w:val="17"/>
                <w:color w:val="auto"/>
              </w:rPr>
            </w:pPr>
          </w:p>
        </w:tc>
        <w:tc>
          <w:tcPr>
            <w:tcW w:w="5920" w:type="dxa"/>
            <w:vAlign w:val="bottom"/>
            <w:gridSpan w:val="6"/>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Notes to Consolidated Financial Statements</w:t>
              </w:r>
            </w:hyperlink>
          </w:p>
        </w:tc>
        <w:tc>
          <w:tcPr>
            <w:tcW w:w="1880" w:type="dxa"/>
            <w:vAlign w:val="bottom"/>
          </w:tcPr>
          <w:p>
            <w:pPr>
              <w:jc w:val="center"/>
              <w:ind w:left="255"/>
              <w:spacing w:after="0" w:line="196" w:lineRule="exact"/>
              <w:rPr>
                <w:sz w:val="20"/>
                <w:szCs w:val="20"/>
                <w:color w:val="auto"/>
              </w:rPr>
            </w:pPr>
            <w:r>
              <w:rPr>
                <w:rFonts w:ascii="Arial" w:cs="Arial" w:eastAsia="Arial" w:hAnsi="Arial"/>
                <w:sz w:val="18"/>
                <w:szCs w:val="18"/>
                <w:color w:val="auto"/>
                <w:w w:val="89"/>
              </w:rPr>
              <w:t>F-10 through F-40</w:t>
            </w:r>
          </w:p>
        </w:tc>
      </w:tr>
      <w:tr>
        <w:trPr>
          <w:trHeight w:val="451"/>
        </w:trPr>
        <w:tc>
          <w:tcPr>
            <w:tcW w:w="340" w:type="dxa"/>
            <w:vAlign w:val="bottom"/>
          </w:tcPr>
          <w:p>
            <w:pPr>
              <w:spacing w:after="0"/>
              <w:rPr>
                <w:sz w:val="24"/>
                <w:szCs w:val="24"/>
                <w:color w:val="auto"/>
              </w:rPr>
            </w:pPr>
          </w:p>
        </w:tc>
        <w:tc>
          <w:tcPr>
            <w:tcW w:w="20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860" w:type="dxa"/>
            <w:vAlign w:val="bottom"/>
            <w:gridSpan w:val="2"/>
          </w:tcPr>
          <w:p>
            <w:pPr>
              <w:ind w:left="540"/>
              <w:spacing w:after="0"/>
              <w:rPr>
                <w:sz w:val="20"/>
                <w:szCs w:val="20"/>
                <w:color w:val="auto"/>
              </w:rPr>
            </w:pPr>
            <w:r>
              <w:rPr>
                <w:rFonts w:ascii="Arial" w:cs="Arial" w:eastAsia="Arial" w:hAnsi="Arial"/>
                <w:sz w:val="18"/>
                <w:szCs w:val="18"/>
                <w:color w:val="auto"/>
              </w:rPr>
              <w:t>F-1</w:t>
            </w:r>
          </w:p>
        </w:tc>
        <w:tc>
          <w:tcPr>
            <w:tcW w:w="1880" w:type="dxa"/>
            <w:vAlign w:val="bottom"/>
          </w:tcPr>
          <w:p>
            <w:pPr>
              <w:spacing w:after="0"/>
              <w:rPr>
                <w:sz w:val="24"/>
                <w:szCs w:val="24"/>
                <w:color w:val="auto"/>
              </w:rPr>
            </w:pPr>
          </w:p>
        </w:tc>
      </w:tr>
      <w:tr>
        <w:trPr>
          <w:trHeight w:val="215"/>
        </w:trPr>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74"/>
        </w:trPr>
        <w:tc>
          <w:tcPr>
            <w:tcW w:w="340" w:type="dxa"/>
            <w:vAlign w:val="bottom"/>
            <w:shd w:val="clear" w:color="auto" w:fill="808080"/>
          </w:tcPr>
          <w:p>
            <w:pPr>
              <w:spacing w:after="0"/>
              <w:rPr>
                <w:sz w:val="6"/>
                <w:szCs w:val="6"/>
                <w:color w:val="auto"/>
              </w:rPr>
            </w:pPr>
          </w:p>
        </w:tc>
        <w:tc>
          <w:tcPr>
            <w:tcW w:w="2040" w:type="dxa"/>
            <w:vAlign w:val="bottom"/>
            <w:shd w:val="clear" w:color="auto" w:fill="808080"/>
          </w:tcPr>
          <w:p>
            <w:pPr>
              <w:spacing w:after="0"/>
              <w:rPr>
                <w:sz w:val="6"/>
                <w:szCs w:val="6"/>
                <w:color w:val="auto"/>
              </w:rPr>
            </w:pPr>
          </w:p>
        </w:tc>
        <w:tc>
          <w:tcPr>
            <w:tcW w:w="460" w:type="dxa"/>
            <w:vAlign w:val="bottom"/>
            <w:shd w:val="clear" w:color="auto" w:fill="808080"/>
          </w:tcPr>
          <w:p>
            <w:pPr>
              <w:spacing w:after="0"/>
              <w:rPr>
                <w:sz w:val="6"/>
                <w:szCs w:val="6"/>
                <w:color w:val="auto"/>
              </w:rPr>
            </w:pPr>
          </w:p>
        </w:tc>
        <w:tc>
          <w:tcPr>
            <w:tcW w:w="300" w:type="dxa"/>
            <w:vAlign w:val="bottom"/>
            <w:shd w:val="clear" w:color="auto" w:fill="808080"/>
          </w:tcPr>
          <w:p>
            <w:pPr>
              <w:spacing w:after="0"/>
              <w:rPr>
                <w:sz w:val="6"/>
                <w:szCs w:val="6"/>
                <w:color w:val="auto"/>
              </w:rPr>
            </w:pPr>
          </w:p>
        </w:tc>
        <w:tc>
          <w:tcPr>
            <w:tcW w:w="260" w:type="dxa"/>
            <w:vAlign w:val="bottom"/>
            <w:shd w:val="clear" w:color="auto" w:fill="808080"/>
          </w:tcPr>
          <w:p>
            <w:pPr>
              <w:spacing w:after="0"/>
              <w:rPr>
                <w:sz w:val="6"/>
                <w:szCs w:val="6"/>
                <w:color w:val="auto"/>
              </w:rPr>
            </w:pPr>
          </w:p>
        </w:tc>
        <w:tc>
          <w:tcPr>
            <w:tcW w:w="2400" w:type="dxa"/>
            <w:vAlign w:val="bottom"/>
            <w:shd w:val="clear" w:color="auto" w:fill="808080"/>
          </w:tcPr>
          <w:p>
            <w:pPr>
              <w:spacing w:after="0"/>
              <w:rPr>
                <w:sz w:val="6"/>
                <w:szCs w:val="6"/>
                <w:color w:val="auto"/>
              </w:rPr>
            </w:pPr>
          </w:p>
        </w:tc>
        <w:tc>
          <w:tcPr>
            <w:tcW w:w="460" w:type="dxa"/>
            <w:vAlign w:val="bottom"/>
            <w:shd w:val="clear" w:color="auto" w:fill="808080"/>
          </w:tcPr>
          <w:p>
            <w:pPr>
              <w:spacing w:after="0"/>
              <w:rPr>
                <w:sz w:val="6"/>
                <w:szCs w:val="6"/>
                <w:color w:val="auto"/>
              </w:rPr>
            </w:pPr>
          </w:p>
        </w:tc>
        <w:tc>
          <w:tcPr>
            <w:tcW w:w="1880" w:type="dxa"/>
            <w:vAlign w:val="bottom"/>
            <w:shd w:val="clear" w:color="auto" w:fill="808080"/>
          </w:tcPr>
          <w:p>
            <w:pPr>
              <w:spacing w:after="0"/>
              <w:rPr>
                <w:sz w:val="6"/>
                <w:szCs w:val="6"/>
                <w:color w:val="auto"/>
              </w:rPr>
            </w:pPr>
          </w:p>
        </w:tc>
      </w:tr>
    </w:tbl>
    <w:p>
      <w:pPr>
        <w:sectPr>
          <w:pgSz w:w="11900" w:h="16838" w:orient="portrait"/>
          <w:cols w:equalWidth="0" w:num="1">
            <w:col w:w="10219"/>
          </w:cols>
          <w:pgMar w:left="240" w:top="584" w:right="1440" w:bottom="1440" w:gutter="0" w:footer="0" w:header="0"/>
        </w:sectPr>
      </w:pPr>
    </w:p>
    <w:bookmarkStart w:id="71" w:name="page72"/>
    <w:bookmarkEnd w:id="71"/>
    <w:p>
      <w:pPr>
        <w:ind w:left="2000"/>
        <w:spacing w:after="0"/>
        <w:rPr>
          <w:sz w:val="20"/>
          <w:szCs w:val="20"/>
          <w:color w:val="auto"/>
        </w:rPr>
      </w:pPr>
      <w:r>
        <w:rPr>
          <w:rFonts w:ascii="Arial" w:cs="Arial" w:eastAsia="Arial" w:hAnsi="Arial"/>
          <w:sz w:val="18"/>
          <w:szCs w:val="18"/>
          <w:u w:val="single" w:color="auto"/>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Shenandoah Telecommunications Company:</w:t>
      </w:r>
    </w:p>
    <w:p>
      <w:pPr>
        <w:spacing w:after="0" w:line="327" w:lineRule="exact"/>
        <w:rPr>
          <w:sz w:val="20"/>
          <w:szCs w:val="20"/>
          <w:color w:val="auto"/>
        </w:rPr>
      </w:pPr>
    </w:p>
    <w:p>
      <w:pPr>
        <w:ind w:right="2199"/>
        <w:spacing w:after="0" w:line="288" w:lineRule="auto"/>
        <w:rPr>
          <w:sz w:val="20"/>
          <w:szCs w:val="20"/>
          <w:color w:val="auto"/>
        </w:rPr>
      </w:pPr>
      <w:r>
        <w:rPr>
          <w:rFonts w:ascii="Arial" w:cs="Arial" w:eastAsia="Arial" w:hAnsi="Arial"/>
          <w:sz w:val="16"/>
          <w:szCs w:val="16"/>
          <w:color w:val="auto"/>
        </w:rPr>
        <w:t xml:space="preserve">We have audited management’s assessment, included in Management’s Report on Internal Control over Financial Reporting under Item 9A(b), that Shenandoah Telecommunications Company and subsidiaries (the Company) did not maintain effective internal control over financial reporting as of December 31, 2005, because of the effect of material weaknesses identified in management’s assessment, based on criteria established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Integrated Framework issued by the Committee of Sponsoring Organizations of the Treadway Commission (COSO)</w:t>
      </w:r>
      <w:r>
        <w:rPr>
          <w:rFonts w:ascii="Arial" w:cs="Arial" w:eastAsia="Arial" w:hAnsi="Arial"/>
          <w:sz w:val="16"/>
          <w:szCs w:val="16"/>
          <w:color w:val="auto"/>
        </w:rPr>
        <w:t>. The Company’s management is responsible for maintaining effective internal control over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74" w:lineRule="exact"/>
        <w:rPr>
          <w:sz w:val="20"/>
          <w:szCs w:val="20"/>
          <w:color w:val="auto"/>
        </w:rPr>
      </w:pPr>
    </w:p>
    <w:p>
      <w:pPr>
        <w:ind w:right="2179"/>
        <w:spacing w:after="0" w:line="290"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ind w:right="2239"/>
        <w:spacing w:after="0" w:line="28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7" w:lineRule="exact"/>
        <w:rPr>
          <w:sz w:val="20"/>
          <w:szCs w:val="20"/>
          <w:color w:val="auto"/>
        </w:rPr>
      </w:pPr>
    </w:p>
    <w:p>
      <w:pPr>
        <w:ind w:right="2459"/>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7" w:lineRule="exact"/>
        <w:rPr>
          <w:sz w:val="20"/>
          <w:szCs w:val="20"/>
          <w:color w:val="auto"/>
        </w:rPr>
      </w:pPr>
    </w:p>
    <w:p>
      <w:pPr>
        <w:ind w:right="2199"/>
        <w:spacing w:after="0" w:line="252" w:lineRule="auto"/>
        <w:rPr>
          <w:sz w:val="20"/>
          <w:szCs w:val="20"/>
          <w:color w:val="auto"/>
        </w:rPr>
      </w:pPr>
      <w:r>
        <w:rPr>
          <w:rFonts w:ascii="Arial" w:cs="Arial" w:eastAsia="Arial" w:hAnsi="Arial"/>
          <w:sz w:val="18"/>
          <w:szCs w:val="18"/>
          <w:color w:val="auto"/>
        </w:rPr>
        <w:t>A material weakness is a control deficiency, or combination of control deficiencies, that results in more than a remote likelihood that a material misstatement of the annual or interim financial statements will not be prevented or detected. The following material weaknesses have been identified and included in management’s assessment as of December 31, 2005:</w:t>
      </w:r>
    </w:p>
    <w:p>
      <w:pPr>
        <w:spacing w:after="0" w:line="238" w:lineRule="exact"/>
        <w:rPr>
          <w:sz w:val="20"/>
          <w:szCs w:val="20"/>
          <w:color w:val="auto"/>
        </w:rPr>
      </w:pPr>
    </w:p>
    <w:p>
      <w:pPr>
        <w:ind w:left="320" w:right="2179" w:hanging="312"/>
        <w:spacing w:after="0" w:line="233" w:lineRule="auto"/>
        <w:tabs>
          <w:tab w:leader="none" w:pos="320" w:val="left"/>
        </w:tabs>
        <w:numPr>
          <w:ilvl w:val="0"/>
          <w:numId w:val="26"/>
        </w:numPr>
        <w:rPr>
          <w:rFonts w:ascii="Arial" w:cs="Arial" w:eastAsia="Arial" w:hAnsi="Arial"/>
          <w:sz w:val="43"/>
          <w:szCs w:val="43"/>
          <w:b w:val="1"/>
          <w:bCs w:val="1"/>
          <w:color w:val="auto"/>
          <w:vertAlign w:val="subscript"/>
        </w:rPr>
      </w:pPr>
      <w:r>
        <w:rPr>
          <w:rFonts w:ascii="Arial" w:cs="Arial" w:eastAsia="Arial" w:hAnsi="Arial"/>
          <w:sz w:val="16"/>
          <w:szCs w:val="16"/>
          <w:color w:val="auto"/>
        </w:rPr>
        <w:t>Ineffective controls over the selection and monitoring of appropriate assumptions and factors affecting the Company’s lease accounting practices. The Company’s controls did not detect that the Company had incorrectly excluded the consideration of renewal periods in the recording of operating lease expense or in the recording of operating lease revenue. This material weakness resulted in errors in operating revenues, cost of goods and services, deferred charges and other assets, deferred lease payables, deferred income tax liabilities and retained earnings, as of and for the years ended December 31, 2003 and 2004, for each of the quarters in the year ended December 31, 2004 and for the first three quarters of the year ended December 31, 2005, for which the Company restated its consolidated financial statements.</w:t>
      </w:r>
    </w:p>
    <w:p>
      <w:pPr>
        <w:spacing w:after="0" w:line="4" w:lineRule="exact"/>
        <w:rPr>
          <w:rFonts w:ascii="Arial" w:cs="Arial" w:eastAsia="Arial" w:hAnsi="Arial"/>
          <w:sz w:val="43"/>
          <w:szCs w:val="43"/>
          <w:b w:val="1"/>
          <w:bCs w:val="1"/>
          <w:color w:val="auto"/>
          <w:vertAlign w:val="subscript"/>
        </w:rPr>
      </w:pPr>
    </w:p>
    <w:p>
      <w:pPr>
        <w:ind w:left="320" w:right="2159" w:hanging="312"/>
        <w:spacing w:after="0" w:line="219" w:lineRule="auto"/>
        <w:tabs>
          <w:tab w:leader="none" w:pos="320" w:val="left"/>
        </w:tabs>
        <w:numPr>
          <w:ilvl w:val="0"/>
          <w:numId w:val="26"/>
        </w:numPr>
        <w:rPr>
          <w:rFonts w:ascii="Arial" w:cs="Arial" w:eastAsia="Arial" w:hAnsi="Arial"/>
          <w:sz w:val="43"/>
          <w:szCs w:val="43"/>
          <w:b w:val="1"/>
          <w:bCs w:val="1"/>
          <w:color w:val="auto"/>
          <w:vertAlign w:val="subscript"/>
        </w:rPr>
      </w:pPr>
      <w:r>
        <w:rPr>
          <w:rFonts w:ascii="Arial" w:cs="Arial" w:eastAsia="Arial" w:hAnsi="Arial"/>
          <w:sz w:val="16"/>
          <w:szCs w:val="16"/>
          <w:color w:val="auto"/>
        </w:rPr>
        <w:t>Inadequate controls over the accounting for income taxes. Specifically, the Company lacked sufficient personnel with adequate technical skills related to accounting for income taxes. In addition, the Company’s policies and procedures did not provide for effective supervisory review of the analysis of income tax accounting amounts, including the review of the calculation of current income tax expense and the calculation of the appropriate deferred tax liability. These deficiencies resulted in a material misstatement of income tax expense and deferred tax liabilities in the Company’s preliminary 2005 consolidated financial statements.</w:t>
      </w:r>
    </w:p>
    <w:p>
      <w:pPr>
        <w:spacing w:after="0" w:line="216" w:lineRule="exact"/>
        <w:rPr>
          <w:sz w:val="20"/>
          <w:szCs w:val="20"/>
          <w:color w:val="auto"/>
        </w:rPr>
      </w:pPr>
    </w:p>
    <w:p>
      <w:pPr>
        <w:ind w:right="2179"/>
        <w:spacing w:after="0" w:line="290"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 of Shenandoah Telecommunications Company and subsidiaries, as of December 31, 2005 and the related consolidated statements of income, shareholders’ equity and comprehensive income, and cash flows for the year then ended. The aforementioned material weaknesses were considered in determining the nature, timing, and extent of audit tests applied in our audit of the 2005 consolidated financial statements, and this report does not affect our report dated March 15, 2006, which expressed an unqualified opinion on those consolidated financial statements.</w:t>
      </w:r>
    </w:p>
    <w:p>
      <w:pPr>
        <w:spacing w:after="0" w:line="172" w:lineRule="exact"/>
        <w:rPr>
          <w:sz w:val="20"/>
          <w:szCs w:val="20"/>
          <w:color w:val="auto"/>
        </w:rPr>
      </w:pPr>
    </w:p>
    <w:p>
      <w:pPr>
        <w:ind w:right="2179"/>
        <w:spacing w:after="0" w:line="291" w:lineRule="auto"/>
        <w:rPr>
          <w:sz w:val="20"/>
          <w:szCs w:val="20"/>
          <w:color w:val="auto"/>
        </w:rPr>
      </w:pPr>
      <w:r>
        <w:rPr>
          <w:rFonts w:ascii="Arial" w:cs="Arial" w:eastAsia="Arial" w:hAnsi="Arial"/>
          <w:sz w:val="16"/>
          <w:szCs w:val="16"/>
          <w:color w:val="auto"/>
        </w:rPr>
        <w:t xml:space="preserve">In our opinion, management’s assessment that the Company did not maintain effective internal control over financial reporting as of December 31, 2005, is fairly stated, in all material respects,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Also, in our opinion, because of the effect of the material weaknesses described above on the achievement of the objectives of the control criteria, the Company has not maintained effective internal control over financial reporting as of December 31, 2005, based on criteria established in </w:t>
      </w:r>
      <w:r>
        <w:rPr>
          <w:rFonts w:ascii="Arial" w:cs="Arial" w:eastAsia="Arial" w:hAnsi="Arial"/>
          <w:sz w:val="16"/>
          <w:szCs w:val="16"/>
          <w:i w:val="1"/>
          <w:iCs w:val="1"/>
          <w:color w:val="auto"/>
        </w:rPr>
        <w:t>Internal Control</w:t>
      </w:r>
    </w:p>
    <w:p>
      <w:pPr>
        <w:sectPr>
          <w:pgSz w:w="11900" w:h="16838" w:orient="portrait"/>
          <w:cols w:equalWidth="0" w:num="1">
            <w:col w:w="10219"/>
          </w:cols>
          <w:pgMar w:left="240" w:top="374" w:right="1440" w:bottom="0" w:gutter="0" w:footer="0" w:header="0"/>
        </w:sectPr>
      </w:pPr>
    </w:p>
    <w:bookmarkStart w:id="72" w:name="page73"/>
    <w:bookmarkEnd w:id="72"/>
    <w:p>
      <w:pPr>
        <w:ind w:right="2499"/>
        <w:spacing w:after="0" w:line="268" w:lineRule="auto"/>
        <w:rPr>
          <w:sz w:val="20"/>
          <w:szCs w:val="20"/>
          <w:color w:val="auto"/>
        </w:rPr>
      </w:pP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issued by the Committee of Sponsoring Organizations of the Treadway Commission</w:t>
      </w:r>
      <w:r>
        <w:rPr>
          <w:rFonts w:ascii="Arial" w:cs="Arial" w:eastAsia="Arial" w:hAnsi="Arial"/>
          <w:sz w:val="18"/>
          <w:szCs w:val="18"/>
          <w:i w:val="1"/>
          <w:iCs w:val="1"/>
          <w:color w:val="auto"/>
        </w:rPr>
        <w:t xml:space="preserve"> </w:t>
      </w:r>
      <w:r>
        <w:rPr>
          <w:rFonts w:ascii="Arial" w:cs="Arial" w:eastAsia="Arial" w:hAnsi="Arial"/>
          <w:sz w:val="18"/>
          <w:szCs w:val="18"/>
          <w:color w:val="auto"/>
        </w:rPr>
        <w:t>(COSO).</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Richmond, Virgnia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15, 2006</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3" w:name="page74"/>
    <w:bookmarkEnd w:id="73"/>
    <w:p>
      <w:pPr>
        <w:jc w:val="center"/>
        <w:ind w:right="2099"/>
        <w:spacing w:after="0"/>
        <w:rPr>
          <w:sz w:val="20"/>
          <w:szCs w:val="20"/>
          <w:color w:val="auto"/>
        </w:rPr>
      </w:pPr>
      <w:r>
        <w:rPr>
          <w:rFonts w:ascii="Arial" w:cs="Arial" w:eastAsia="Arial" w:hAnsi="Arial"/>
          <w:sz w:val="18"/>
          <w:szCs w:val="18"/>
          <w:u w:val="single" w:color="auto"/>
          <w:color w:val="auto"/>
        </w:rPr>
        <w:t>REPORT OF INDEPENDENT REGISTERED</w:t>
      </w:r>
    </w:p>
    <w:p>
      <w:pPr>
        <w:spacing w:after="0" w:line="15" w:lineRule="exact"/>
        <w:rPr>
          <w:sz w:val="20"/>
          <w:szCs w:val="20"/>
          <w:color w:val="auto"/>
        </w:rPr>
      </w:pPr>
    </w:p>
    <w:p>
      <w:pPr>
        <w:jc w:val="center"/>
        <w:ind w:right="2119"/>
        <w:spacing w:after="0"/>
        <w:rPr>
          <w:sz w:val="20"/>
          <w:szCs w:val="20"/>
          <w:color w:val="auto"/>
        </w:rPr>
      </w:pPr>
      <w:r>
        <w:rPr>
          <w:rFonts w:ascii="Arial" w:cs="Arial" w:eastAsia="Arial" w:hAnsi="Arial"/>
          <w:sz w:val="18"/>
          <w:szCs w:val="18"/>
          <w:u w:val="single" w:color="auto"/>
          <w:color w:val="auto"/>
        </w:rPr>
        <w:t>PUBLIC ACCOUNTING FIRM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Shenandoah Telecommunications Company:</w:t>
      </w:r>
    </w:p>
    <w:p>
      <w:pPr>
        <w:spacing w:after="0" w:line="219" w:lineRule="exact"/>
        <w:rPr>
          <w:sz w:val="20"/>
          <w:szCs w:val="20"/>
          <w:color w:val="auto"/>
        </w:rPr>
      </w:pPr>
    </w:p>
    <w:p>
      <w:pPr>
        <w:jc w:val="both"/>
        <w:ind w:right="2119"/>
        <w:spacing w:after="0" w:line="294" w:lineRule="auto"/>
        <w:rPr>
          <w:sz w:val="20"/>
          <w:szCs w:val="20"/>
          <w:color w:val="auto"/>
        </w:rPr>
      </w:pPr>
      <w:r>
        <w:rPr>
          <w:rFonts w:ascii="Arial" w:cs="Arial" w:eastAsia="Arial" w:hAnsi="Arial"/>
          <w:sz w:val="16"/>
          <w:szCs w:val="16"/>
          <w:color w:val="auto"/>
        </w:rPr>
        <w:t>We have audited the accompanying consolidated balance sheets of Shenandoah Telecommunications Company and subsidiaries (the Company), as of December 31, 2005, 2004 and 2003, and the related consolidated statements of income, shareholders’ equity and comprehensive income, and cash flows for the years then ended. These consolidated financial statements are the responsibility of the Company’s management. Our responsibility is to express an opinion on these consolidated financial statements based on our audits.</w:t>
      </w:r>
    </w:p>
    <w:p>
      <w:pPr>
        <w:spacing w:after="0" w:line="170"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4" w:lineRule="exact"/>
        <w:rPr>
          <w:sz w:val="20"/>
          <w:szCs w:val="20"/>
          <w:color w:val="auto"/>
        </w:rPr>
      </w:pPr>
    </w:p>
    <w:p>
      <w:pPr>
        <w:jc w:val="both"/>
        <w:ind w:right="2119"/>
        <w:spacing w:after="0" w:line="256"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Shenandoah Telecommunication Company and subsidiaries as of December 31, 2005, 2004 and 2003, and the results of their operations and their cash flows for the years then ended, in conformity with U.S. generally accepted accounting principles.</w:t>
      </w:r>
    </w:p>
    <w:p>
      <w:pPr>
        <w:spacing w:after="0" w:line="197"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As discussed in note 2 to the consolidated financial statements, the Company has restated its 2004 and 2003 consolidated financial statements.</w:t>
      </w:r>
    </w:p>
    <w:p>
      <w:pPr>
        <w:spacing w:after="0" w:line="186"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As discussed in note 1 to the consolidated financial statements, the Company changed its method of accounting for asset retirement obligations in 2003.</w:t>
      </w:r>
    </w:p>
    <w:p>
      <w:pPr>
        <w:spacing w:after="0" w:line="186" w:lineRule="exact"/>
        <w:rPr>
          <w:sz w:val="20"/>
          <w:szCs w:val="20"/>
          <w:color w:val="auto"/>
        </w:rPr>
      </w:pPr>
    </w:p>
    <w:p>
      <w:pPr>
        <w:jc w:val="both"/>
        <w:ind w:right="2119"/>
        <w:spacing w:after="0" w:line="254"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the effectiveness of the Company’s internal control over financial reporting as of December 31, 2005,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(COSO), and our report dated March 15, 2006 expressed an unqualified opinion on management’s assessment of, and an adverse opinion on the effective operation of,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Richmond,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15, 2006</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90" w:right="1440" w:bottom="1440" w:gutter="0" w:footer="0" w:header="0"/>
        </w:sectPr>
      </w:pPr>
    </w:p>
    <w:bookmarkStart w:id="74" w:name="page75"/>
    <w:bookmarkEnd w:id="74"/>
    <w:p>
      <w:pPr>
        <w:ind w:right="4079"/>
        <w:spacing w:after="0" w:line="257" w:lineRule="auto"/>
        <w:rPr>
          <w:sz w:val="20"/>
          <w:szCs w:val="20"/>
          <w:color w:val="auto"/>
        </w:rPr>
      </w:pPr>
      <w:r>
        <w:rPr>
          <w:rFonts w:ascii="Arial" w:cs="Arial" w:eastAsia="Arial" w:hAnsi="Arial"/>
          <w:sz w:val="18"/>
          <w:szCs w:val="18"/>
          <w:b w:val="1"/>
          <w:bCs w:val="1"/>
          <w:color w:val="auto"/>
        </w:rPr>
        <w:t>SHENANDOAH TELECOMMUNICATIONS COMPANY AND SUBSIDIARIES CONSOLIDATED BALANCE SHEETS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2005, 2004 (Restated) and 2003 (Restated)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2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34"/>
              <w:spacing w:after="0"/>
              <w:rPr>
                <w:sz w:val="20"/>
                <w:szCs w:val="20"/>
                <w:color w:val="auto"/>
              </w:rPr>
            </w:pPr>
            <w:r>
              <w:rPr>
                <w:rFonts w:ascii="Arial" w:cs="Arial" w:eastAsia="Arial" w:hAnsi="Arial"/>
                <w:sz w:val="14"/>
                <w:szCs w:val="14"/>
                <w:b w:val="1"/>
                <w:bCs w:val="1"/>
                <w:color w:val="auto"/>
              </w:rPr>
              <w:t>2005</w:t>
            </w:r>
          </w:p>
        </w:tc>
        <w:tc>
          <w:tcPr>
            <w:tcW w:w="1040" w:type="dxa"/>
            <w:vAlign w:val="bottom"/>
          </w:tcPr>
          <w:p>
            <w:pPr>
              <w:jc w:val="right"/>
              <w:ind w:right="36"/>
              <w:spacing w:after="0"/>
              <w:rPr>
                <w:sz w:val="20"/>
                <w:szCs w:val="20"/>
                <w:color w:val="auto"/>
              </w:rPr>
            </w:pPr>
            <w:r>
              <w:rPr>
                <w:rFonts w:ascii="Arial" w:cs="Arial" w:eastAsia="Arial" w:hAnsi="Arial"/>
                <w:sz w:val="14"/>
                <w:szCs w:val="14"/>
                <w:b w:val="1"/>
                <w:bCs w:val="1"/>
                <w:color w:val="auto"/>
              </w:rPr>
              <w:t>2004</w:t>
            </w:r>
          </w:p>
        </w:tc>
        <w:tc>
          <w:tcPr>
            <w:tcW w:w="1020" w:type="dxa"/>
            <w:vAlign w:val="bottom"/>
          </w:tcPr>
          <w:p>
            <w:pPr>
              <w:jc w:val="right"/>
              <w:ind w:right="16"/>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r>
      <w:tr>
        <w:trPr>
          <w:trHeight w:val="95"/>
        </w:trPr>
        <w:tc>
          <w:tcPr>
            <w:tcW w:w="362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250"/>
        </w:trPr>
        <w:tc>
          <w:tcPr>
            <w:tcW w:w="36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4"/>
                <w:szCs w:val="14"/>
                <w:b w:val="1"/>
                <w:bCs w:val="1"/>
                <w:color w:val="auto"/>
              </w:rPr>
              <w:t>(Restated)</w:t>
            </w:r>
          </w:p>
        </w:tc>
        <w:tc>
          <w:tcPr>
            <w:tcW w:w="1040" w:type="dxa"/>
            <w:vAlign w:val="bottom"/>
            <w:gridSpan w:val="2"/>
          </w:tcPr>
          <w:p>
            <w:pPr>
              <w:ind w:left="320"/>
              <w:spacing w:after="0"/>
              <w:rPr>
                <w:sz w:val="20"/>
                <w:szCs w:val="20"/>
                <w:color w:val="auto"/>
              </w:rPr>
            </w:pPr>
            <w:r>
              <w:rPr>
                <w:rFonts w:ascii="Arial" w:cs="Arial" w:eastAsia="Arial" w:hAnsi="Arial"/>
                <w:sz w:val="14"/>
                <w:szCs w:val="14"/>
                <w:b w:val="1"/>
                <w:bCs w:val="1"/>
                <w:color w:val="auto"/>
              </w:rPr>
              <w:t>(Restated)</w:t>
            </w:r>
          </w:p>
        </w:tc>
      </w:tr>
      <w:tr>
        <w:trPr>
          <w:trHeight w:val="216"/>
        </w:trPr>
        <w:tc>
          <w:tcPr>
            <w:tcW w:w="3620" w:type="dxa"/>
            <w:vAlign w:val="bottom"/>
            <w:shd w:val="clear" w:color="auto" w:fill="EAF9E8"/>
          </w:tcPr>
          <w:p>
            <w:pPr>
              <w:spacing w:after="0"/>
              <w:rPr>
                <w:sz w:val="20"/>
                <w:szCs w:val="20"/>
                <w:color w:val="auto"/>
              </w:rPr>
            </w:pPr>
            <w:r>
              <w:rPr>
                <w:rFonts w:ascii="Arial" w:cs="Arial" w:eastAsia="Arial" w:hAnsi="Arial"/>
                <w:sz w:val="18"/>
                <w:szCs w:val="18"/>
                <w:color w:val="auto"/>
              </w:rPr>
              <w:t>Current Assets</w:t>
            </w:r>
          </w:p>
        </w:tc>
        <w:tc>
          <w:tcPr>
            <w:tcW w:w="15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2,572</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   14,172</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   28,696</w:t>
            </w:r>
          </w:p>
        </w:tc>
        <w:tc>
          <w:tcPr>
            <w:tcW w:w="20" w:type="dxa"/>
            <w:vAlign w:val="bottom"/>
          </w:tcPr>
          <w:p>
            <w:pPr>
              <w:spacing w:after="0"/>
              <w:rPr>
                <w:sz w:val="18"/>
                <w:szCs w:val="18"/>
                <w:color w:val="auto"/>
              </w:rPr>
            </w:pPr>
          </w:p>
        </w:tc>
      </w:tr>
      <w:tr>
        <w:trPr>
          <w:trHeight w:val="216"/>
        </w:trPr>
        <w:tc>
          <w:tcPr>
            <w:tcW w:w="3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Accounts receivable, net</w:t>
            </w:r>
          </w:p>
        </w:tc>
        <w:tc>
          <w:tcPr>
            <w:tcW w:w="15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00" w:type="dxa"/>
            <w:vAlign w:val="bottom"/>
            <w:shd w:val="clear" w:color="auto" w:fill="EAF9E8"/>
          </w:tcPr>
          <w:p>
            <w:pPr>
              <w:jc w:val="right"/>
              <w:ind w:right="34"/>
              <w:spacing w:after="0"/>
              <w:rPr>
                <w:sz w:val="20"/>
                <w:szCs w:val="20"/>
                <w:color w:val="auto"/>
              </w:rPr>
            </w:pPr>
            <w:r>
              <w:rPr>
                <w:rFonts w:ascii="Arial" w:cs="Arial" w:eastAsia="Arial" w:hAnsi="Arial"/>
                <w:sz w:val="18"/>
                <w:szCs w:val="18"/>
                <w:color w:val="auto"/>
              </w:rPr>
              <w:t>11,864</w:t>
            </w:r>
          </w:p>
        </w:tc>
        <w:tc>
          <w:tcPr>
            <w:tcW w:w="1040" w:type="dxa"/>
            <w:vAlign w:val="bottom"/>
            <w:shd w:val="clear" w:color="auto" w:fill="EAF9E8"/>
          </w:tcPr>
          <w:p>
            <w:pPr>
              <w:jc w:val="right"/>
              <w:ind w:right="36"/>
              <w:spacing w:after="0"/>
              <w:rPr>
                <w:sz w:val="20"/>
                <w:szCs w:val="20"/>
                <w:color w:val="auto"/>
              </w:rPr>
            </w:pPr>
            <w:r>
              <w:rPr>
                <w:rFonts w:ascii="Arial" w:cs="Arial" w:eastAsia="Arial" w:hAnsi="Arial"/>
                <w:sz w:val="18"/>
                <w:szCs w:val="18"/>
                <w:color w:val="auto"/>
              </w:rPr>
              <w:t>9,019</w:t>
            </w:r>
          </w:p>
        </w:tc>
        <w:tc>
          <w:tcPr>
            <w:tcW w:w="1020" w:type="dxa"/>
            <w:vAlign w:val="bottom"/>
            <w:shd w:val="clear" w:color="auto" w:fill="EAF9E8"/>
          </w:tcPr>
          <w:p>
            <w:pPr>
              <w:jc w:val="right"/>
              <w:ind w:right="16"/>
              <w:spacing w:after="0"/>
              <w:rPr>
                <w:sz w:val="20"/>
                <w:szCs w:val="20"/>
                <w:color w:val="auto"/>
              </w:rPr>
            </w:pPr>
            <w:r>
              <w:rPr>
                <w:rFonts w:ascii="Arial" w:cs="Arial" w:eastAsia="Arial" w:hAnsi="Arial"/>
                <w:sz w:val="18"/>
                <w:szCs w:val="18"/>
                <w:color w:val="auto"/>
              </w:rPr>
              <w:t>6,488</w:t>
            </w:r>
          </w:p>
        </w:tc>
        <w:tc>
          <w:tcPr>
            <w:tcW w:w="20" w:type="dxa"/>
            <w:vAlign w:val="bottom"/>
          </w:tcPr>
          <w:p>
            <w:pPr>
              <w:spacing w:after="0"/>
              <w:rPr>
                <w:sz w:val="18"/>
                <w:szCs w:val="18"/>
                <w:color w:val="auto"/>
              </w:rPr>
            </w:pPr>
          </w:p>
        </w:tc>
      </w:tr>
      <w:tr>
        <w:trPr>
          <w:trHeight w:val="216"/>
        </w:trPr>
        <w:tc>
          <w:tcPr>
            <w:tcW w:w="3620" w:type="dxa"/>
            <w:vAlign w:val="bottom"/>
          </w:tcPr>
          <w:p>
            <w:pPr>
              <w:ind w:left="160"/>
              <w:spacing w:after="0"/>
              <w:rPr>
                <w:sz w:val="20"/>
                <w:szCs w:val="20"/>
                <w:color w:val="auto"/>
              </w:rPr>
            </w:pPr>
            <w:r>
              <w:rPr>
                <w:rFonts w:ascii="Arial" w:cs="Arial" w:eastAsia="Arial" w:hAnsi="Arial"/>
                <w:sz w:val="18"/>
                <w:szCs w:val="18"/>
                <w:color w:val="auto"/>
              </w:rPr>
              <w:t>Escrow receivable</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5,000</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Income taxes receivable</w:t>
            </w:r>
          </w:p>
        </w:tc>
        <w:tc>
          <w:tcPr>
            <w:tcW w:w="15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00" w:type="dxa"/>
            <w:vAlign w:val="bottom"/>
            <w:shd w:val="clear" w:color="auto" w:fill="EAF9E8"/>
          </w:tcPr>
          <w:p>
            <w:pPr>
              <w:jc w:val="right"/>
              <w:ind w:right="34"/>
              <w:spacing w:after="0"/>
              <w:rPr>
                <w:sz w:val="20"/>
                <w:szCs w:val="20"/>
                <w:color w:val="auto"/>
              </w:rPr>
            </w:pPr>
            <w:r>
              <w:rPr>
                <w:rFonts w:ascii="Arial" w:cs="Arial" w:eastAsia="Arial" w:hAnsi="Arial"/>
                <w:sz w:val="18"/>
                <w:szCs w:val="18"/>
                <w:color w:val="auto"/>
              </w:rPr>
              <w:t>795</w:t>
            </w:r>
          </w:p>
        </w:tc>
        <w:tc>
          <w:tcPr>
            <w:tcW w:w="1040" w:type="dxa"/>
            <w:vAlign w:val="bottom"/>
            <w:shd w:val="clear" w:color="auto" w:fill="EAF9E8"/>
          </w:tcPr>
          <w:p>
            <w:pPr>
              <w:jc w:val="right"/>
              <w:ind w:right="36"/>
              <w:spacing w:after="0"/>
              <w:rPr>
                <w:sz w:val="20"/>
                <w:szCs w:val="20"/>
                <w:color w:val="auto"/>
              </w:rPr>
            </w:pPr>
            <w:r>
              <w:rPr>
                <w:rFonts w:ascii="Arial" w:cs="Arial" w:eastAsia="Arial" w:hAnsi="Arial"/>
                <w:sz w:val="18"/>
                <w:szCs w:val="18"/>
                <w:color w:val="auto"/>
              </w:rPr>
              <w:t>2,341</w:t>
            </w:r>
          </w:p>
        </w:tc>
        <w:tc>
          <w:tcPr>
            <w:tcW w:w="1020" w:type="dxa"/>
            <w:vAlign w:val="bottom"/>
            <w:shd w:val="clear" w:color="auto" w:fill="EAF9E8"/>
          </w:tcPr>
          <w:p>
            <w:pPr>
              <w:jc w:val="right"/>
              <w:ind w:right="16"/>
              <w:spacing w:after="0"/>
              <w:rPr>
                <w:sz w:val="20"/>
                <w:szCs w:val="20"/>
                <w:color w:val="auto"/>
              </w:rPr>
            </w:pPr>
            <w:r>
              <w:rPr>
                <w:rFonts w:ascii="Arial" w:cs="Arial" w:eastAsia="Arial" w:hAnsi="Arial"/>
                <w:sz w:val="18"/>
                <w:szCs w:val="18"/>
                <w:color w:val="auto"/>
              </w:rPr>
              <w:t>1,526</w:t>
            </w:r>
          </w:p>
        </w:tc>
        <w:tc>
          <w:tcPr>
            <w:tcW w:w="20" w:type="dxa"/>
            <w:vAlign w:val="bottom"/>
          </w:tcPr>
          <w:p>
            <w:pPr>
              <w:spacing w:after="0"/>
              <w:rPr>
                <w:sz w:val="18"/>
                <w:szCs w:val="18"/>
                <w:color w:val="auto"/>
              </w:rPr>
            </w:pPr>
          </w:p>
        </w:tc>
      </w:tr>
      <w:tr>
        <w:trPr>
          <w:trHeight w:val="216"/>
        </w:trPr>
        <w:tc>
          <w:tcPr>
            <w:tcW w:w="3620" w:type="dxa"/>
            <w:vAlign w:val="bottom"/>
          </w:tcPr>
          <w:p>
            <w:pPr>
              <w:ind w:left="160"/>
              <w:spacing w:after="0"/>
              <w:rPr>
                <w:sz w:val="20"/>
                <w:szCs w:val="20"/>
                <w:color w:val="auto"/>
              </w:rPr>
            </w:pPr>
            <w:r>
              <w:rPr>
                <w:rFonts w:ascii="Arial" w:cs="Arial" w:eastAsia="Arial" w:hAnsi="Arial"/>
                <w:sz w:val="18"/>
                <w:szCs w:val="18"/>
                <w:color w:val="auto"/>
              </w:rPr>
              <w:t>Materials and supplies</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2,702</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2,108</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2,062</w:t>
            </w:r>
          </w:p>
        </w:tc>
        <w:tc>
          <w:tcPr>
            <w:tcW w:w="20" w:type="dxa"/>
            <w:vAlign w:val="bottom"/>
          </w:tcPr>
          <w:p>
            <w:pPr>
              <w:spacing w:after="0"/>
              <w:rPr>
                <w:sz w:val="18"/>
                <w:szCs w:val="18"/>
                <w:color w:val="auto"/>
              </w:rPr>
            </w:pPr>
          </w:p>
        </w:tc>
      </w:tr>
      <w:tr>
        <w:trPr>
          <w:trHeight w:val="216"/>
        </w:trPr>
        <w:tc>
          <w:tcPr>
            <w:tcW w:w="3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Prepaid expenses and other</w:t>
            </w:r>
          </w:p>
        </w:tc>
        <w:tc>
          <w:tcPr>
            <w:tcW w:w="15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00" w:type="dxa"/>
            <w:vAlign w:val="bottom"/>
            <w:shd w:val="clear" w:color="auto" w:fill="EAF9E8"/>
          </w:tcPr>
          <w:p>
            <w:pPr>
              <w:jc w:val="right"/>
              <w:ind w:right="34"/>
              <w:spacing w:after="0"/>
              <w:rPr>
                <w:sz w:val="20"/>
                <w:szCs w:val="20"/>
                <w:color w:val="auto"/>
              </w:rPr>
            </w:pPr>
            <w:r>
              <w:rPr>
                <w:rFonts w:ascii="Arial" w:cs="Arial" w:eastAsia="Arial" w:hAnsi="Arial"/>
                <w:sz w:val="18"/>
                <w:szCs w:val="18"/>
                <w:color w:val="auto"/>
              </w:rPr>
              <w:t>2,336</w:t>
            </w:r>
          </w:p>
        </w:tc>
        <w:tc>
          <w:tcPr>
            <w:tcW w:w="1040" w:type="dxa"/>
            <w:vAlign w:val="bottom"/>
            <w:shd w:val="clear" w:color="auto" w:fill="EAF9E8"/>
          </w:tcPr>
          <w:p>
            <w:pPr>
              <w:jc w:val="right"/>
              <w:ind w:right="36"/>
              <w:spacing w:after="0"/>
              <w:rPr>
                <w:sz w:val="20"/>
                <w:szCs w:val="20"/>
                <w:color w:val="auto"/>
              </w:rPr>
            </w:pPr>
            <w:r>
              <w:rPr>
                <w:rFonts w:ascii="Arial" w:cs="Arial" w:eastAsia="Arial" w:hAnsi="Arial"/>
                <w:sz w:val="18"/>
                <w:szCs w:val="18"/>
                <w:color w:val="auto"/>
              </w:rPr>
              <w:t>1,877</w:t>
            </w:r>
          </w:p>
        </w:tc>
        <w:tc>
          <w:tcPr>
            <w:tcW w:w="1020" w:type="dxa"/>
            <w:vAlign w:val="bottom"/>
            <w:shd w:val="clear" w:color="auto" w:fill="EAF9E8"/>
          </w:tcPr>
          <w:p>
            <w:pPr>
              <w:jc w:val="right"/>
              <w:ind w:right="16"/>
              <w:spacing w:after="0"/>
              <w:rPr>
                <w:sz w:val="20"/>
                <w:szCs w:val="20"/>
                <w:color w:val="auto"/>
              </w:rPr>
            </w:pPr>
            <w:r>
              <w:rPr>
                <w:rFonts w:ascii="Arial" w:cs="Arial" w:eastAsia="Arial" w:hAnsi="Arial"/>
                <w:sz w:val="18"/>
                <w:szCs w:val="18"/>
                <w:color w:val="auto"/>
              </w:rPr>
              <w:t>1,669</w:t>
            </w:r>
          </w:p>
        </w:tc>
        <w:tc>
          <w:tcPr>
            <w:tcW w:w="20" w:type="dxa"/>
            <w:vAlign w:val="bottom"/>
          </w:tcPr>
          <w:p>
            <w:pPr>
              <w:spacing w:after="0"/>
              <w:rPr>
                <w:sz w:val="18"/>
                <w:szCs w:val="18"/>
                <w:color w:val="auto"/>
              </w:rPr>
            </w:pPr>
          </w:p>
        </w:tc>
      </w:tr>
      <w:tr>
        <w:trPr>
          <w:trHeight w:val="222"/>
        </w:trPr>
        <w:tc>
          <w:tcPr>
            <w:tcW w:w="36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532</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522</w:t>
            </w:r>
          </w:p>
        </w:tc>
        <w:tc>
          <w:tcPr>
            <w:tcW w:w="20" w:type="dxa"/>
            <w:vAlign w:val="bottom"/>
          </w:tcPr>
          <w:p>
            <w:pPr>
              <w:spacing w:after="0"/>
              <w:rPr>
                <w:sz w:val="19"/>
                <w:szCs w:val="19"/>
                <w:color w:val="auto"/>
              </w:rPr>
            </w:pPr>
          </w:p>
        </w:tc>
      </w:tr>
      <w:tr>
        <w:trPr>
          <w:trHeight w:val="102"/>
        </w:trPr>
        <w:tc>
          <w:tcPr>
            <w:tcW w:w="36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102"/>
        </w:trPr>
        <w:tc>
          <w:tcPr>
            <w:tcW w:w="36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3620" w:type="dxa"/>
            <w:vAlign w:val="bottom"/>
            <w:shd w:val="clear" w:color="auto" w:fill="EAF9E8"/>
          </w:tcPr>
          <w:p>
            <w:pPr>
              <w:ind w:left="480"/>
              <w:spacing w:after="0"/>
              <w:rPr>
                <w:sz w:val="20"/>
                <w:szCs w:val="20"/>
                <w:color w:val="auto"/>
              </w:rPr>
            </w:pPr>
            <w:r>
              <w:rPr>
                <w:rFonts w:ascii="Arial" w:cs="Arial" w:eastAsia="Arial" w:hAnsi="Arial"/>
                <w:sz w:val="18"/>
                <w:szCs w:val="18"/>
                <w:b w:val="1"/>
                <w:bCs w:val="1"/>
                <w:color w:val="auto"/>
              </w:rPr>
              <w:t>Total current assets</w:t>
            </w:r>
          </w:p>
        </w:tc>
        <w:tc>
          <w:tcPr>
            <w:tcW w:w="15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00" w:type="dxa"/>
            <w:vAlign w:val="bottom"/>
            <w:shd w:val="clear" w:color="auto" w:fill="EAF9E8"/>
          </w:tcPr>
          <w:p>
            <w:pPr>
              <w:jc w:val="right"/>
              <w:ind w:right="34"/>
              <w:spacing w:after="0"/>
              <w:rPr>
                <w:sz w:val="20"/>
                <w:szCs w:val="20"/>
                <w:color w:val="auto"/>
              </w:rPr>
            </w:pPr>
            <w:r>
              <w:rPr>
                <w:rFonts w:ascii="Arial" w:cs="Arial" w:eastAsia="Arial" w:hAnsi="Arial"/>
                <w:sz w:val="18"/>
                <w:szCs w:val="18"/>
                <w:color w:val="auto"/>
              </w:rPr>
              <w:t>20,801</w:t>
            </w:r>
          </w:p>
        </w:tc>
        <w:tc>
          <w:tcPr>
            <w:tcW w:w="1040" w:type="dxa"/>
            <w:vAlign w:val="bottom"/>
            <w:shd w:val="clear" w:color="auto" w:fill="EAF9E8"/>
          </w:tcPr>
          <w:p>
            <w:pPr>
              <w:jc w:val="right"/>
              <w:ind w:right="36"/>
              <w:spacing w:after="0"/>
              <w:rPr>
                <w:sz w:val="20"/>
                <w:szCs w:val="20"/>
                <w:color w:val="auto"/>
              </w:rPr>
            </w:pPr>
            <w:r>
              <w:rPr>
                <w:rFonts w:ascii="Arial" w:cs="Arial" w:eastAsia="Arial" w:hAnsi="Arial"/>
                <w:sz w:val="18"/>
                <w:szCs w:val="18"/>
                <w:color w:val="auto"/>
              </w:rPr>
              <w:t>34,517</w:t>
            </w:r>
          </w:p>
        </w:tc>
        <w:tc>
          <w:tcPr>
            <w:tcW w:w="1020" w:type="dxa"/>
            <w:vAlign w:val="bottom"/>
            <w:shd w:val="clear" w:color="auto" w:fill="EAF9E8"/>
          </w:tcPr>
          <w:p>
            <w:pPr>
              <w:jc w:val="right"/>
              <w:ind w:right="16"/>
              <w:spacing w:after="0"/>
              <w:rPr>
                <w:sz w:val="20"/>
                <w:szCs w:val="20"/>
                <w:color w:val="auto"/>
              </w:rPr>
            </w:pPr>
            <w:r>
              <w:rPr>
                <w:rFonts w:ascii="Arial" w:cs="Arial" w:eastAsia="Arial" w:hAnsi="Arial"/>
                <w:sz w:val="18"/>
                <w:szCs w:val="18"/>
                <w:color w:val="auto"/>
              </w:rPr>
              <w:t>40,963</w:t>
            </w:r>
          </w:p>
        </w:tc>
        <w:tc>
          <w:tcPr>
            <w:tcW w:w="20" w:type="dxa"/>
            <w:vAlign w:val="bottom"/>
          </w:tcPr>
          <w:p>
            <w:pPr>
              <w:spacing w:after="0"/>
              <w:rPr>
                <w:sz w:val="18"/>
                <w:szCs w:val="18"/>
                <w:color w:val="auto"/>
              </w:rPr>
            </w:pPr>
          </w:p>
        </w:tc>
      </w:tr>
      <w:tr>
        <w:trPr>
          <w:trHeight w:val="108"/>
        </w:trPr>
        <w:tc>
          <w:tcPr>
            <w:tcW w:w="36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0" w:lineRule="exact"/>
        <w:rPr>
          <w:sz w:val="20"/>
          <w:szCs w:val="20"/>
          <w:color w:val="auto"/>
        </w:rPr>
      </w:pPr>
    </w:p>
    <w:p>
      <w:pPr>
        <w:sectPr>
          <w:pgSz w:w="11900" w:h="16838" w:orient="portrait"/>
          <w:cols w:equalWidth="0" w:num="1">
            <w:col w:w="10219"/>
          </w:cols>
          <w:pgMar w:left="240" w:top="584" w:right="1440" w:bottom="1440" w:gutter="0" w:footer="0" w:header="0"/>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Investments</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Available-for-sale securities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 investments</w:t>
      </w:r>
    </w:p>
    <w:p>
      <w:pPr>
        <w:spacing w:after="0" w:line="226" w:lineRule="exact"/>
        <w:rPr>
          <w:sz w:val="20"/>
          <w:szCs w:val="20"/>
          <w:color w:val="auto"/>
        </w:rPr>
      </w:pPr>
    </w:p>
    <w:p>
      <w:pPr>
        <w:jc w:val="right"/>
        <w:ind w:right="1580"/>
        <w:spacing w:after="0"/>
        <w:rPr>
          <w:sz w:val="20"/>
          <w:szCs w:val="20"/>
          <w:color w:val="auto"/>
        </w:rPr>
      </w:pPr>
      <w:r>
        <w:rPr>
          <w:rFonts w:ascii="Arial" w:cs="Arial" w:eastAsia="Arial" w:hAnsi="Arial"/>
          <w:sz w:val="18"/>
          <w:szCs w:val="18"/>
          <w:b w:val="1"/>
          <w:bCs w:val="1"/>
          <w:color w:val="auto"/>
        </w:rPr>
        <w:t>Total securities and investments</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232</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199</w:t>
            </w:r>
          </w:p>
        </w:tc>
      </w:tr>
      <w:tr>
        <w:trPr>
          <w:trHeight w:val="222"/>
        </w:trPr>
        <w:tc>
          <w:tcPr>
            <w:tcW w:w="1100" w:type="dxa"/>
            <w:vAlign w:val="bottom"/>
          </w:tcPr>
          <w:p>
            <w:pPr>
              <w:jc w:val="right"/>
              <w:ind w:right="232"/>
              <w:spacing w:after="0"/>
              <w:rPr>
                <w:sz w:val="20"/>
                <w:szCs w:val="20"/>
                <w:color w:val="auto"/>
              </w:rPr>
            </w:pPr>
            <w:r>
              <w:rPr>
                <w:rFonts w:ascii="Arial" w:cs="Arial" w:eastAsia="Arial" w:hAnsi="Arial"/>
                <w:sz w:val="18"/>
                <w:szCs w:val="18"/>
                <w:color w:val="auto"/>
              </w:rPr>
              <w:t>7,365</w:t>
            </w: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7,018</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7,268</w:t>
            </w:r>
          </w:p>
        </w:tc>
      </w:tr>
      <w:tr>
        <w:trPr>
          <w:trHeight w:val="110"/>
        </w:trPr>
        <w:tc>
          <w:tcPr>
            <w:tcW w:w="1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316"/>
        </w:trPr>
        <w:tc>
          <w:tcPr>
            <w:tcW w:w="1100" w:type="dxa"/>
            <w:vAlign w:val="bottom"/>
          </w:tcPr>
          <w:p>
            <w:pPr>
              <w:jc w:val="right"/>
              <w:ind w:right="232"/>
              <w:spacing w:after="0"/>
              <w:rPr>
                <w:sz w:val="20"/>
                <w:szCs w:val="20"/>
                <w:color w:val="auto"/>
              </w:rPr>
            </w:pPr>
            <w:r>
              <w:rPr>
                <w:rFonts w:ascii="Arial" w:cs="Arial" w:eastAsia="Arial" w:hAnsi="Arial"/>
                <w:sz w:val="18"/>
                <w:szCs w:val="18"/>
                <w:color w:val="auto"/>
              </w:rPr>
              <w:t>7,365</w:t>
            </w: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7,250</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7,467</w:t>
            </w:r>
          </w:p>
        </w:tc>
      </w:tr>
      <w:tr>
        <w:trPr>
          <w:trHeight w:val="110"/>
        </w:trPr>
        <w:tc>
          <w:tcPr>
            <w:tcW w:w="1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-633730</wp:posOffset>
            </wp:positionV>
            <wp:extent cx="5145405"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5405" cy="13716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-213995</wp:posOffset>
            </wp:positionV>
            <wp:extent cx="5145405"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540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40" w:space="720"/>
            <w:col w:w="5059"/>
          </w:cols>
          <w:pgMar w:left="240" w:top="584" w:right="1440" w:bottom="1440" w:gutter="0" w:footer="0" w:header="0"/>
          <w:type w:val="continuous"/>
        </w:sectPr>
      </w:pP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Plant in service</w:t>
            </w:r>
          </w:p>
        </w:tc>
        <w:tc>
          <w:tcPr>
            <w:tcW w:w="15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248,321</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227,004</w:t>
            </w:r>
          </w:p>
        </w:tc>
        <w:tc>
          <w:tcPr>
            <w:tcW w:w="114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197,431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40" w:type="dxa"/>
            <w:vAlign w:val="bottom"/>
          </w:tcPr>
          <w:p>
            <w:pPr>
              <w:ind w:left="160"/>
              <w:spacing w:after="0"/>
              <w:rPr>
                <w:sz w:val="20"/>
                <w:szCs w:val="20"/>
                <w:color w:val="auto"/>
              </w:rPr>
            </w:pPr>
            <w:r>
              <w:rPr>
                <w:rFonts w:ascii="Arial" w:cs="Arial" w:eastAsia="Arial" w:hAnsi="Arial"/>
                <w:sz w:val="18"/>
                <w:szCs w:val="18"/>
                <w:color w:val="auto"/>
              </w:rPr>
              <w:t>Plant under construction</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9,061</w:t>
            </w:r>
          </w:p>
        </w:tc>
        <w:tc>
          <w:tcPr>
            <w:tcW w:w="1020" w:type="dxa"/>
            <w:vAlign w:val="bottom"/>
          </w:tcPr>
          <w:p>
            <w:pPr>
              <w:jc w:val="right"/>
              <w:spacing w:after="0"/>
              <w:rPr>
                <w:sz w:val="20"/>
                <w:szCs w:val="20"/>
                <w:color w:val="auto"/>
              </w:rPr>
            </w:pPr>
            <w:r>
              <w:rPr>
                <w:rFonts w:ascii="Arial" w:cs="Arial" w:eastAsia="Arial" w:hAnsi="Arial"/>
                <w:sz w:val="18"/>
                <w:szCs w:val="18"/>
                <w:color w:val="auto"/>
              </w:rPr>
              <w:t>3,319</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2,261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257,382</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230,323</w:t>
            </w:r>
          </w:p>
        </w:tc>
        <w:tc>
          <w:tcPr>
            <w:tcW w:w="114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199,692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40" w:type="dxa"/>
            <w:vAlign w:val="bottom"/>
          </w:tcPr>
          <w:p>
            <w:pPr>
              <w:ind w:left="160"/>
              <w:spacing w:after="0"/>
              <w:rPr>
                <w:sz w:val="20"/>
                <w:szCs w:val="20"/>
                <w:color w:val="auto"/>
              </w:rPr>
            </w:pPr>
            <w:r>
              <w:rPr>
                <w:rFonts w:ascii="Arial" w:cs="Arial" w:eastAsia="Arial" w:hAnsi="Arial"/>
                <w:sz w:val="18"/>
                <w:szCs w:val="18"/>
                <w:color w:val="auto"/>
              </w:rPr>
              <w:t>Less accumulated amortization and depreciation</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95,144</w:t>
            </w:r>
          </w:p>
        </w:tc>
        <w:tc>
          <w:tcPr>
            <w:tcW w:w="1020" w:type="dxa"/>
            <w:vAlign w:val="bottom"/>
          </w:tcPr>
          <w:p>
            <w:pPr>
              <w:jc w:val="right"/>
              <w:spacing w:after="0"/>
              <w:rPr>
                <w:sz w:val="20"/>
                <w:szCs w:val="20"/>
                <w:color w:val="auto"/>
              </w:rPr>
            </w:pPr>
            <w:r>
              <w:rPr>
                <w:rFonts w:ascii="Arial" w:cs="Arial" w:eastAsia="Arial" w:hAnsi="Arial"/>
                <w:sz w:val="18"/>
                <w:szCs w:val="18"/>
                <w:color w:val="auto"/>
              </w:rPr>
              <w:t>74,071</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72,006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EAF9E8"/>
          </w:tcPr>
          <w:p>
            <w:pPr>
              <w:ind w:left="480"/>
              <w:spacing w:after="0"/>
              <w:rPr>
                <w:sz w:val="20"/>
                <w:szCs w:val="20"/>
                <w:color w:val="auto"/>
              </w:rPr>
            </w:pPr>
            <w:r>
              <w:rPr>
                <w:rFonts w:ascii="Arial" w:cs="Arial" w:eastAsia="Arial" w:hAnsi="Arial"/>
                <w:sz w:val="18"/>
                <w:szCs w:val="18"/>
                <w:b w:val="1"/>
                <w:bCs w:val="1"/>
                <w:color w:val="auto"/>
              </w:rPr>
              <w:t>Net property, plant and equipment</w:t>
            </w:r>
          </w:p>
        </w:tc>
        <w:tc>
          <w:tcPr>
            <w:tcW w:w="15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162,238</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156,252</w:t>
            </w:r>
          </w:p>
        </w:tc>
        <w:tc>
          <w:tcPr>
            <w:tcW w:w="114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127,686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440" w:type="dxa"/>
            <w:vAlign w:val="bottom"/>
            <w:vMerge w:val="restart"/>
          </w:tcPr>
          <w:p>
            <w:pPr>
              <w:spacing w:after="0"/>
              <w:rPr>
                <w:sz w:val="20"/>
                <w:szCs w:val="20"/>
                <w:color w:val="auto"/>
              </w:rPr>
            </w:pPr>
            <w:r>
              <w:rPr>
                <w:rFonts w:ascii="Arial" w:cs="Arial" w:eastAsia="Arial" w:hAnsi="Arial"/>
                <w:sz w:val="18"/>
                <w:szCs w:val="18"/>
                <w:color w:val="auto"/>
              </w:rPr>
              <w:t>Other Assets</w:t>
            </w:r>
          </w:p>
        </w:tc>
        <w:tc>
          <w:tcPr>
            <w:tcW w:w="7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465"/>
        </w:trPr>
        <w:tc>
          <w:tcPr>
            <w:tcW w:w="44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4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Intangible assets, net</w:t>
            </w:r>
          </w:p>
        </w:tc>
        <w:tc>
          <w:tcPr>
            <w:tcW w:w="15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3,346</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3,547</w:t>
            </w:r>
          </w:p>
        </w:tc>
        <w:tc>
          <w:tcPr>
            <w:tcW w:w="114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60"/>
              <w:spacing w:after="0"/>
              <w:rPr>
                <w:sz w:val="20"/>
                <w:szCs w:val="20"/>
                <w:color w:val="auto"/>
              </w:rPr>
            </w:pPr>
            <w:r>
              <w:rPr>
                <w:rFonts w:ascii="Arial" w:cs="Arial" w:eastAsia="Arial" w:hAnsi="Arial"/>
                <w:sz w:val="18"/>
                <w:szCs w:val="18"/>
                <w:color w:val="auto"/>
              </w:rPr>
              <w:t>Cost in excess of net assets of businesses acquired</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10,103</w:t>
            </w:r>
          </w:p>
        </w:tc>
        <w:tc>
          <w:tcPr>
            <w:tcW w:w="1020" w:type="dxa"/>
            <w:vAlign w:val="bottom"/>
          </w:tcPr>
          <w:p>
            <w:pPr>
              <w:jc w:val="right"/>
              <w:spacing w:after="0"/>
              <w:rPr>
                <w:sz w:val="20"/>
                <w:szCs w:val="20"/>
                <w:color w:val="auto"/>
              </w:rPr>
            </w:pPr>
            <w:r>
              <w:rPr>
                <w:rFonts w:ascii="Arial" w:cs="Arial" w:eastAsia="Arial" w:hAnsi="Arial"/>
                <w:sz w:val="18"/>
                <w:szCs w:val="18"/>
                <w:color w:val="auto"/>
              </w:rPr>
              <w:t>8,863</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Deferred charges and other assets, net</w:t>
            </w:r>
          </w:p>
        </w:tc>
        <w:tc>
          <w:tcPr>
            <w:tcW w:w="15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1,068</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992</w:t>
            </w:r>
          </w:p>
        </w:tc>
        <w:tc>
          <w:tcPr>
            <w:tcW w:w="114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6,089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44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Net other assets</w:t>
            </w:r>
          </w:p>
        </w:tc>
        <w:tc>
          <w:tcPr>
            <w:tcW w:w="7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40" w:type="dxa"/>
            <w:vAlign w:val="bottom"/>
            <w:vMerge w:val="continue"/>
          </w:tcPr>
          <w:p>
            <w:pPr>
              <w:spacing w:after="0"/>
              <w:rPr>
                <w:sz w:val="24"/>
                <w:szCs w:val="24"/>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14,517</w:t>
            </w:r>
          </w:p>
        </w:tc>
        <w:tc>
          <w:tcPr>
            <w:tcW w:w="1020" w:type="dxa"/>
            <w:vAlign w:val="bottom"/>
          </w:tcPr>
          <w:p>
            <w:pPr>
              <w:jc w:val="right"/>
              <w:spacing w:after="0"/>
              <w:rPr>
                <w:sz w:val="20"/>
                <w:szCs w:val="20"/>
                <w:color w:val="auto"/>
              </w:rPr>
            </w:pPr>
            <w:r>
              <w:rPr>
                <w:rFonts w:ascii="Arial" w:cs="Arial" w:eastAsia="Arial" w:hAnsi="Arial"/>
                <w:sz w:val="18"/>
                <w:szCs w:val="18"/>
                <w:color w:val="auto"/>
              </w:rPr>
              <w:t>13,402</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9,402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EAF9E8"/>
          </w:tcPr>
          <w:p>
            <w:pPr>
              <w:ind w:left="480"/>
              <w:spacing w:after="0"/>
              <w:rPr>
                <w:sz w:val="20"/>
                <w:szCs w:val="20"/>
                <w:color w:val="auto"/>
              </w:rPr>
            </w:pPr>
            <w:r>
              <w:rPr>
                <w:rFonts w:ascii="Arial" w:cs="Arial" w:eastAsia="Arial" w:hAnsi="Arial"/>
                <w:sz w:val="18"/>
                <w:szCs w:val="18"/>
                <w:b w:val="1"/>
                <w:bCs w:val="1"/>
                <w:color w:val="auto"/>
              </w:rPr>
              <w:t>Total assets</w:t>
            </w:r>
          </w:p>
        </w:tc>
        <w:tc>
          <w:tcPr>
            <w:tcW w:w="15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204,921</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  211,421</w:t>
            </w:r>
          </w:p>
        </w:tc>
        <w:tc>
          <w:tcPr>
            <w:tcW w:w="114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  185,518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3279140</wp:posOffset>
            </wp:positionH>
            <wp:positionV relativeFrom="paragraph">
              <wp:posOffset>-14605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-14605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-14605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-14605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-14605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-14605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-14605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-14605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-14605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type w:val="continuous"/>
        </w:sectPr>
      </w:pPr>
    </w:p>
    <w:bookmarkStart w:id="75" w:name="page76"/>
    <w:bookmarkEnd w:id="75"/>
    <w:p>
      <w:pPr>
        <w:ind w:right="4079"/>
        <w:spacing w:after="0" w:line="257" w:lineRule="auto"/>
        <w:rPr>
          <w:sz w:val="20"/>
          <w:szCs w:val="20"/>
          <w:color w:val="auto"/>
        </w:rPr>
      </w:pPr>
      <w:r>
        <w:rPr>
          <w:rFonts w:ascii="Arial" w:cs="Arial" w:eastAsia="Arial" w:hAnsi="Arial"/>
          <w:sz w:val="18"/>
          <w:szCs w:val="18"/>
          <w:b w:val="1"/>
          <w:bCs w:val="1"/>
          <w:color w:val="auto"/>
        </w:rPr>
        <w:t>SHENANDOAH TELECOMMUNICATIONS COMPANY AND SUBSIDIARIES CONSOLIDATED BALANCE SHEETS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2005, 2004 (Restated) and 2003 (Restated)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34"/>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760" w:type="dxa"/>
            <w:vAlign w:val="bottom"/>
          </w:tcPr>
          <w:p>
            <w:pPr>
              <w:jc w:val="right"/>
              <w:ind w:right="36"/>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740" w:type="dxa"/>
            <w:vAlign w:val="bottom"/>
          </w:tcPr>
          <w:p>
            <w:pPr>
              <w:jc w:val="right"/>
              <w:ind w:right="16"/>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6"/>
              <w:spacing w:after="0"/>
              <w:rPr>
                <w:sz w:val="20"/>
                <w:szCs w:val="20"/>
                <w:color w:val="auto"/>
              </w:rPr>
            </w:pPr>
            <w:r>
              <w:rPr>
                <w:rFonts w:ascii="Arial" w:cs="Arial" w:eastAsia="Arial" w:hAnsi="Arial"/>
                <w:sz w:val="14"/>
                <w:szCs w:val="14"/>
                <w:b w:val="1"/>
                <w:bCs w:val="1"/>
                <w:color w:val="auto"/>
                <w:w w:val="90"/>
              </w:rPr>
              <w:t>(Restated)</w:t>
            </w:r>
          </w:p>
        </w:tc>
        <w:tc>
          <w:tcPr>
            <w:tcW w:w="280" w:type="dxa"/>
            <w:vAlign w:val="bottom"/>
          </w:tcPr>
          <w:p>
            <w:pPr>
              <w:spacing w:after="0"/>
              <w:rPr>
                <w:sz w:val="21"/>
                <w:szCs w:val="21"/>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AF9E8"/>
          </w:tcPr>
          <w:p>
            <w:pPr>
              <w:spacing w:after="0"/>
              <w:rPr>
                <w:sz w:val="20"/>
                <w:szCs w:val="20"/>
                <w:color w:val="auto"/>
              </w:rPr>
            </w:pPr>
            <w:r>
              <w:rPr>
                <w:rFonts w:ascii="Arial" w:cs="Arial" w:eastAsia="Arial" w:hAnsi="Arial"/>
                <w:sz w:val="18"/>
                <w:szCs w:val="18"/>
                <w:color w:val="auto"/>
              </w:rPr>
              <w:t>Current Liabilities</w:t>
            </w:r>
          </w:p>
        </w:tc>
        <w:tc>
          <w:tcPr>
            <w:tcW w:w="10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40"/>
              <w:spacing w:after="0"/>
              <w:rPr>
                <w:sz w:val="20"/>
                <w:szCs w:val="20"/>
                <w:color w:val="auto"/>
              </w:rPr>
            </w:pPr>
            <w:r>
              <w:rPr>
                <w:rFonts w:ascii="Arial" w:cs="Arial" w:eastAsia="Arial" w:hAnsi="Arial"/>
                <w:sz w:val="18"/>
                <w:szCs w:val="18"/>
                <w:color w:val="auto"/>
              </w:rPr>
              <w:t>Current maturities of long-term debt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4,526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4,372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4,230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Accounts payable</w:t>
            </w:r>
          </w:p>
        </w:tc>
        <w:tc>
          <w:tcPr>
            <w:tcW w:w="10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00" w:type="dxa"/>
            <w:vAlign w:val="bottom"/>
            <w:shd w:val="clear" w:color="auto" w:fill="EAF9E8"/>
          </w:tcPr>
          <w:p>
            <w:pPr>
              <w:jc w:val="right"/>
              <w:ind w:right="34"/>
              <w:spacing w:after="0"/>
              <w:rPr>
                <w:sz w:val="20"/>
                <w:szCs w:val="20"/>
                <w:color w:val="auto"/>
              </w:rPr>
            </w:pPr>
            <w:r>
              <w:rPr>
                <w:rFonts w:ascii="Arial" w:cs="Arial" w:eastAsia="Arial" w:hAnsi="Arial"/>
                <w:sz w:val="18"/>
                <w:szCs w:val="18"/>
                <w:color w:val="auto"/>
              </w:rPr>
              <w:t>6,928</w:t>
            </w:r>
          </w:p>
        </w:tc>
        <w:tc>
          <w:tcPr>
            <w:tcW w:w="280" w:type="dxa"/>
            <w:vAlign w:val="bottom"/>
            <w:shd w:val="clear" w:color="auto" w:fill="EAF9E8"/>
          </w:tcPr>
          <w:p>
            <w:pPr>
              <w:spacing w:after="0"/>
              <w:rPr>
                <w:sz w:val="18"/>
                <w:szCs w:val="18"/>
                <w:color w:val="auto"/>
              </w:rPr>
            </w:pPr>
          </w:p>
        </w:tc>
        <w:tc>
          <w:tcPr>
            <w:tcW w:w="760" w:type="dxa"/>
            <w:vAlign w:val="bottom"/>
            <w:shd w:val="clear" w:color="auto" w:fill="EAF9E8"/>
          </w:tcPr>
          <w:p>
            <w:pPr>
              <w:jc w:val="right"/>
              <w:ind w:right="36"/>
              <w:spacing w:after="0"/>
              <w:rPr>
                <w:sz w:val="20"/>
                <w:szCs w:val="20"/>
                <w:color w:val="auto"/>
              </w:rPr>
            </w:pPr>
            <w:r>
              <w:rPr>
                <w:rFonts w:ascii="Arial" w:cs="Arial" w:eastAsia="Arial" w:hAnsi="Arial"/>
                <w:sz w:val="18"/>
                <w:szCs w:val="18"/>
                <w:color w:val="auto"/>
              </w:rPr>
              <w:t>6,003</w:t>
            </w:r>
          </w:p>
        </w:tc>
        <w:tc>
          <w:tcPr>
            <w:tcW w:w="28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16"/>
              <w:spacing w:after="0"/>
              <w:rPr>
                <w:sz w:val="20"/>
                <w:szCs w:val="20"/>
                <w:color w:val="auto"/>
              </w:rPr>
            </w:pPr>
            <w:r>
              <w:rPr>
                <w:rFonts w:ascii="Arial" w:cs="Arial" w:eastAsia="Arial" w:hAnsi="Arial"/>
                <w:sz w:val="18"/>
                <w:szCs w:val="18"/>
                <w:color w:val="auto"/>
              </w:rPr>
              <w:t>4,729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40"/>
              <w:spacing w:after="0"/>
              <w:rPr>
                <w:sz w:val="20"/>
                <w:szCs w:val="20"/>
                <w:color w:val="auto"/>
              </w:rPr>
            </w:pPr>
            <w:r>
              <w:rPr>
                <w:rFonts w:ascii="Arial" w:cs="Arial" w:eastAsia="Arial" w:hAnsi="Arial"/>
                <w:sz w:val="18"/>
                <w:szCs w:val="18"/>
                <w:color w:val="auto"/>
              </w:rPr>
              <w:t>Advanced billings and customer deposits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4,247</w:t>
            </w:r>
          </w:p>
        </w:tc>
        <w:tc>
          <w:tcPr>
            <w:tcW w:w="280" w:type="dxa"/>
            <w:vAlign w:val="bottom"/>
          </w:tcPr>
          <w:p>
            <w:pPr>
              <w:spacing w:after="0"/>
              <w:rPr>
                <w:sz w:val="18"/>
                <w:szCs w:val="18"/>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3,566</w:t>
            </w:r>
          </w:p>
        </w:tc>
        <w:tc>
          <w:tcPr>
            <w:tcW w:w="280" w:type="dxa"/>
            <w:vAlign w:val="bottom"/>
          </w:tcPr>
          <w:p>
            <w:pPr>
              <w:spacing w:after="0"/>
              <w:rPr>
                <w:sz w:val="18"/>
                <w:szCs w:val="18"/>
                <w:color w:val="auto"/>
              </w:rPr>
            </w:pP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3,326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Accrued compensation</w:t>
            </w:r>
          </w:p>
        </w:tc>
        <w:tc>
          <w:tcPr>
            <w:tcW w:w="10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00" w:type="dxa"/>
            <w:vAlign w:val="bottom"/>
            <w:shd w:val="clear" w:color="auto" w:fill="EAF9E8"/>
          </w:tcPr>
          <w:p>
            <w:pPr>
              <w:jc w:val="right"/>
              <w:ind w:right="34"/>
              <w:spacing w:after="0"/>
              <w:rPr>
                <w:sz w:val="20"/>
                <w:szCs w:val="20"/>
                <w:color w:val="auto"/>
              </w:rPr>
            </w:pPr>
            <w:r>
              <w:rPr>
                <w:rFonts w:ascii="Arial" w:cs="Arial" w:eastAsia="Arial" w:hAnsi="Arial"/>
                <w:sz w:val="18"/>
                <w:szCs w:val="18"/>
                <w:color w:val="auto"/>
              </w:rPr>
              <w:t>3,294</w:t>
            </w:r>
          </w:p>
        </w:tc>
        <w:tc>
          <w:tcPr>
            <w:tcW w:w="280" w:type="dxa"/>
            <w:vAlign w:val="bottom"/>
            <w:shd w:val="clear" w:color="auto" w:fill="EAF9E8"/>
          </w:tcPr>
          <w:p>
            <w:pPr>
              <w:spacing w:after="0"/>
              <w:rPr>
                <w:sz w:val="18"/>
                <w:szCs w:val="18"/>
                <w:color w:val="auto"/>
              </w:rPr>
            </w:pPr>
          </w:p>
        </w:tc>
        <w:tc>
          <w:tcPr>
            <w:tcW w:w="760" w:type="dxa"/>
            <w:vAlign w:val="bottom"/>
            <w:shd w:val="clear" w:color="auto" w:fill="EAF9E8"/>
          </w:tcPr>
          <w:p>
            <w:pPr>
              <w:jc w:val="right"/>
              <w:ind w:right="36"/>
              <w:spacing w:after="0"/>
              <w:rPr>
                <w:sz w:val="20"/>
                <w:szCs w:val="20"/>
                <w:color w:val="auto"/>
              </w:rPr>
            </w:pPr>
            <w:r>
              <w:rPr>
                <w:rFonts w:ascii="Arial" w:cs="Arial" w:eastAsia="Arial" w:hAnsi="Arial"/>
                <w:sz w:val="18"/>
                <w:szCs w:val="18"/>
                <w:color w:val="auto"/>
              </w:rPr>
              <w:t>1,785</w:t>
            </w:r>
          </w:p>
        </w:tc>
        <w:tc>
          <w:tcPr>
            <w:tcW w:w="28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16"/>
              <w:spacing w:after="0"/>
              <w:rPr>
                <w:sz w:val="20"/>
                <w:szCs w:val="20"/>
                <w:color w:val="auto"/>
              </w:rPr>
            </w:pPr>
            <w:r>
              <w:rPr>
                <w:rFonts w:ascii="Arial" w:cs="Arial" w:eastAsia="Arial" w:hAnsi="Arial"/>
                <w:sz w:val="18"/>
                <w:szCs w:val="18"/>
                <w:color w:val="auto"/>
              </w:rPr>
              <w:t>1,015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1,453</w:t>
            </w:r>
          </w:p>
        </w:tc>
        <w:tc>
          <w:tcPr>
            <w:tcW w:w="280" w:type="dxa"/>
            <w:vAlign w:val="bottom"/>
          </w:tcPr>
          <w:p>
            <w:pPr>
              <w:spacing w:after="0"/>
              <w:rPr>
                <w:sz w:val="18"/>
                <w:szCs w:val="18"/>
                <w:color w:val="auto"/>
              </w:rPr>
            </w:pP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Accrued liabilities and other</w:t>
            </w:r>
          </w:p>
        </w:tc>
        <w:tc>
          <w:tcPr>
            <w:tcW w:w="10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00" w:type="dxa"/>
            <w:vAlign w:val="bottom"/>
            <w:shd w:val="clear" w:color="auto" w:fill="EAF9E8"/>
          </w:tcPr>
          <w:p>
            <w:pPr>
              <w:jc w:val="right"/>
              <w:ind w:right="34"/>
              <w:spacing w:after="0"/>
              <w:rPr>
                <w:sz w:val="20"/>
                <w:szCs w:val="20"/>
                <w:color w:val="auto"/>
              </w:rPr>
            </w:pPr>
            <w:r>
              <w:rPr>
                <w:rFonts w:ascii="Arial" w:cs="Arial" w:eastAsia="Arial" w:hAnsi="Arial"/>
                <w:sz w:val="18"/>
                <w:szCs w:val="18"/>
                <w:color w:val="auto"/>
              </w:rPr>
              <w:t>3,746</w:t>
            </w:r>
          </w:p>
        </w:tc>
        <w:tc>
          <w:tcPr>
            <w:tcW w:w="280" w:type="dxa"/>
            <w:vAlign w:val="bottom"/>
            <w:shd w:val="clear" w:color="auto" w:fill="EAF9E8"/>
          </w:tcPr>
          <w:p>
            <w:pPr>
              <w:spacing w:after="0"/>
              <w:rPr>
                <w:sz w:val="18"/>
                <w:szCs w:val="18"/>
                <w:color w:val="auto"/>
              </w:rPr>
            </w:pPr>
          </w:p>
        </w:tc>
        <w:tc>
          <w:tcPr>
            <w:tcW w:w="760" w:type="dxa"/>
            <w:vAlign w:val="bottom"/>
            <w:shd w:val="clear" w:color="auto" w:fill="EAF9E8"/>
          </w:tcPr>
          <w:p>
            <w:pPr>
              <w:jc w:val="right"/>
              <w:ind w:right="36"/>
              <w:spacing w:after="0"/>
              <w:rPr>
                <w:sz w:val="20"/>
                <w:szCs w:val="20"/>
                <w:color w:val="auto"/>
              </w:rPr>
            </w:pPr>
            <w:r>
              <w:rPr>
                <w:rFonts w:ascii="Arial" w:cs="Arial" w:eastAsia="Arial" w:hAnsi="Arial"/>
                <w:sz w:val="18"/>
                <w:szCs w:val="18"/>
                <w:color w:val="auto"/>
              </w:rPr>
              <w:t>4,667</w:t>
            </w:r>
          </w:p>
        </w:tc>
        <w:tc>
          <w:tcPr>
            <w:tcW w:w="28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16"/>
              <w:spacing w:after="0"/>
              <w:rPr>
                <w:sz w:val="20"/>
                <w:szCs w:val="20"/>
                <w:color w:val="auto"/>
              </w:rPr>
            </w:pPr>
            <w:r>
              <w:rPr>
                <w:rFonts w:ascii="Arial" w:cs="Arial" w:eastAsia="Arial" w:hAnsi="Arial"/>
                <w:sz w:val="18"/>
                <w:szCs w:val="18"/>
                <w:color w:val="auto"/>
              </w:rPr>
              <w:t>2,496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8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Total current liabilities</w:t>
            </w:r>
          </w:p>
        </w:tc>
        <w:tc>
          <w:tcPr>
            <w:tcW w:w="10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22,741</w:t>
            </w:r>
          </w:p>
        </w:tc>
        <w:tc>
          <w:tcPr>
            <w:tcW w:w="280" w:type="dxa"/>
            <w:vAlign w:val="bottom"/>
          </w:tcPr>
          <w:p>
            <w:pPr>
              <w:spacing w:after="0"/>
              <w:rPr>
                <w:sz w:val="24"/>
                <w:szCs w:val="24"/>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21,846</w:t>
            </w:r>
          </w:p>
        </w:tc>
        <w:tc>
          <w:tcPr>
            <w:tcW w:w="280" w:type="dxa"/>
            <w:vAlign w:val="bottom"/>
          </w:tcPr>
          <w:p>
            <w:pPr>
              <w:spacing w:after="0"/>
              <w:rPr>
                <w:sz w:val="24"/>
                <w:szCs w:val="24"/>
                <w:color w:val="auto"/>
              </w:rPr>
            </w:pP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15,796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100" w:type="dxa"/>
            <w:vAlign w:val="bottom"/>
            <w:gridSpan w:val="2"/>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40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EAF9E8"/>
          </w:tcPr>
          <w:p>
            <w:pPr>
              <w:spacing w:after="0"/>
              <w:rPr>
                <w:sz w:val="20"/>
                <w:szCs w:val="20"/>
                <w:color w:val="auto"/>
              </w:rPr>
            </w:pPr>
            <w:r>
              <w:rPr>
                <w:rFonts w:ascii="Arial" w:cs="Arial" w:eastAsia="Arial" w:hAnsi="Arial"/>
                <w:sz w:val="18"/>
                <w:szCs w:val="18"/>
                <w:color w:val="auto"/>
              </w:rPr>
              <w:t>Long-term debt, less current maturities</w:t>
            </w:r>
          </w:p>
        </w:tc>
        <w:tc>
          <w:tcPr>
            <w:tcW w:w="10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00" w:type="dxa"/>
            <w:vAlign w:val="bottom"/>
            <w:shd w:val="clear" w:color="auto" w:fill="EAF9E8"/>
          </w:tcPr>
          <w:p>
            <w:pPr>
              <w:jc w:val="right"/>
              <w:ind w:right="34"/>
              <w:spacing w:after="0"/>
              <w:rPr>
                <w:sz w:val="20"/>
                <w:szCs w:val="20"/>
                <w:color w:val="auto"/>
              </w:rPr>
            </w:pPr>
            <w:r>
              <w:rPr>
                <w:rFonts w:ascii="Arial" w:cs="Arial" w:eastAsia="Arial" w:hAnsi="Arial"/>
                <w:sz w:val="18"/>
                <w:szCs w:val="18"/>
                <w:color w:val="auto"/>
              </w:rPr>
              <w:t>31,392</w:t>
            </w:r>
          </w:p>
        </w:tc>
        <w:tc>
          <w:tcPr>
            <w:tcW w:w="280" w:type="dxa"/>
            <w:vAlign w:val="bottom"/>
            <w:shd w:val="clear" w:color="auto" w:fill="EAF9E8"/>
          </w:tcPr>
          <w:p>
            <w:pPr>
              <w:spacing w:after="0"/>
              <w:rPr>
                <w:sz w:val="18"/>
                <w:szCs w:val="18"/>
                <w:color w:val="auto"/>
              </w:rPr>
            </w:pPr>
          </w:p>
        </w:tc>
        <w:tc>
          <w:tcPr>
            <w:tcW w:w="760" w:type="dxa"/>
            <w:vAlign w:val="bottom"/>
            <w:shd w:val="clear" w:color="auto" w:fill="EAF9E8"/>
          </w:tcPr>
          <w:p>
            <w:pPr>
              <w:jc w:val="right"/>
              <w:ind w:right="36"/>
              <w:spacing w:after="0"/>
              <w:rPr>
                <w:sz w:val="20"/>
                <w:szCs w:val="20"/>
                <w:color w:val="auto"/>
              </w:rPr>
            </w:pPr>
            <w:r>
              <w:rPr>
                <w:rFonts w:ascii="Arial" w:cs="Arial" w:eastAsia="Arial" w:hAnsi="Arial"/>
                <w:sz w:val="18"/>
                <w:szCs w:val="18"/>
                <w:color w:val="auto"/>
              </w:rPr>
              <w:t>47,919</w:t>
            </w:r>
          </w:p>
        </w:tc>
        <w:tc>
          <w:tcPr>
            <w:tcW w:w="28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16"/>
              <w:spacing w:after="0"/>
              <w:rPr>
                <w:sz w:val="20"/>
                <w:szCs w:val="20"/>
                <w:color w:val="auto"/>
              </w:rPr>
            </w:pPr>
            <w:r>
              <w:rPr>
                <w:rFonts w:ascii="Arial" w:cs="Arial" w:eastAsia="Arial" w:hAnsi="Arial"/>
                <w:sz w:val="18"/>
                <w:szCs w:val="18"/>
                <w:color w:val="auto"/>
              </w:rPr>
              <w:t>39,116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584" w:right="1440" w:bottom="1440" w:gutter="0" w:footer="0" w:header="0"/>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5145405"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5405"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Pension and other</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Deferred lease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5145405"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5405" cy="137160"/>
                    </a:xfrm>
                    <a:prstGeom prst="rect">
                      <a:avLst/>
                    </a:prstGeom>
                    <a:noFill/>
                  </pic:spPr>
                </pic:pic>
              </a:graphicData>
            </a:graphic>
          </wp:anchor>
        </w:drawing>
      </w:r>
    </w:p>
    <w:p>
      <w:pPr>
        <w:spacing w:after="0" w:line="206"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Total other liabilities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145405"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5405" cy="13716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Shareholders’ Equity</w:t>
      </w:r>
    </w:p>
    <w:p>
      <w:pPr>
        <w:spacing w:after="0" w:line="15" w:lineRule="exact"/>
        <w:rPr>
          <w:sz w:val="20"/>
          <w:szCs w:val="20"/>
          <w:color w:val="auto"/>
        </w:rPr>
      </w:pPr>
    </w:p>
    <w:p>
      <w:pPr>
        <w:ind w:left="320" w:hanging="155"/>
        <w:spacing w:after="0" w:line="250" w:lineRule="auto"/>
        <w:rPr>
          <w:sz w:val="20"/>
          <w:szCs w:val="20"/>
          <w:color w:val="auto"/>
        </w:rPr>
      </w:pPr>
      <w:r>
        <w:rPr>
          <w:rFonts w:ascii="Arial" w:cs="Arial" w:eastAsia="Arial" w:hAnsi="Arial"/>
          <w:sz w:val="18"/>
          <w:szCs w:val="18"/>
          <w:color w:val="auto"/>
        </w:rPr>
        <w:t>Common stock, no par value, authorized 16,000 shares; issued and outstanding 7,687 shares in 2005, 7,630 shares in 2004, and 7,593 shares in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5145405" cy="4114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5405" cy="41148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Retained earnings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5145405"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5405" cy="137160"/>
                    </a:xfrm>
                    <a:prstGeom prst="rect">
                      <a:avLst/>
                    </a:prstGeom>
                    <a:noFill/>
                  </pic:spPr>
                </pic:pic>
              </a:graphicData>
            </a:graphic>
          </wp:anchor>
        </w:drawing>
      </w:r>
    </w:p>
    <w:p>
      <w:pPr>
        <w:spacing w:after="0" w:line="206"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Total shareholders’ equity</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jc w:val="right"/>
              <w:ind w:right="192"/>
              <w:spacing w:after="0"/>
              <w:rPr>
                <w:sz w:val="20"/>
                <w:szCs w:val="20"/>
                <w:color w:val="auto"/>
              </w:rPr>
            </w:pPr>
            <w:r>
              <w:rPr>
                <w:rFonts w:ascii="Arial" w:cs="Arial" w:eastAsia="Arial" w:hAnsi="Arial"/>
                <w:sz w:val="18"/>
                <w:szCs w:val="18"/>
                <w:color w:val="auto"/>
              </w:rPr>
              <w:t>24,599</w:t>
            </w: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24,162</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20,312</w:t>
            </w:r>
          </w:p>
        </w:tc>
      </w:tr>
      <w:tr>
        <w:trPr>
          <w:trHeight w:val="216"/>
        </w:trPr>
        <w:tc>
          <w:tcPr>
            <w:tcW w:w="1060" w:type="dxa"/>
            <w:vAlign w:val="bottom"/>
          </w:tcPr>
          <w:p>
            <w:pPr>
              <w:jc w:val="right"/>
              <w:ind w:right="192"/>
              <w:spacing w:after="0"/>
              <w:rPr>
                <w:sz w:val="20"/>
                <w:szCs w:val="20"/>
                <w:color w:val="auto"/>
              </w:rPr>
            </w:pPr>
            <w:r>
              <w:rPr>
                <w:rFonts w:ascii="Arial" w:cs="Arial" w:eastAsia="Arial" w:hAnsi="Arial"/>
                <w:sz w:val="18"/>
                <w:szCs w:val="18"/>
                <w:color w:val="auto"/>
              </w:rPr>
              <w:t>2,359</w:t>
            </w: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2,859</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3,425</w:t>
            </w:r>
          </w:p>
        </w:tc>
      </w:tr>
      <w:tr>
        <w:trPr>
          <w:trHeight w:val="222"/>
        </w:trPr>
        <w:tc>
          <w:tcPr>
            <w:tcW w:w="1060" w:type="dxa"/>
            <w:vAlign w:val="bottom"/>
          </w:tcPr>
          <w:p>
            <w:pPr>
              <w:jc w:val="right"/>
              <w:ind w:right="192"/>
              <w:spacing w:after="0"/>
              <w:rPr>
                <w:sz w:val="20"/>
                <w:szCs w:val="20"/>
                <w:color w:val="auto"/>
              </w:rPr>
            </w:pPr>
            <w:r>
              <w:rPr>
                <w:rFonts w:ascii="Arial" w:cs="Arial" w:eastAsia="Arial" w:hAnsi="Arial"/>
                <w:sz w:val="18"/>
                <w:szCs w:val="18"/>
                <w:color w:val="auto"/>
              </w:rPr>
              <w:t>2,230</w:t>
            </w: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1,878</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1,496</w:t>
            </w:r>
          </w:p>
        </w:tc>
      </w:tr>
      <w:tr>
        <w:trPr>
          <w:trHeight w:val="110"/>
        </w:trPr>
        <w:tc>
          <w:tcPr>
            <w:tcW w:w="10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316"/>
        </w:trPr>
        <w:tc>
          <w:tcPr>
            <w:tcW w:w="1060" w:type="dxa"/>
            <w:vAlign w:val="bottom"/>
          </w:tcPr>
          <w:p>
            <w:pPr>
              <w:jc w:val="right"/>
              <w:ind w:right="192"/>
              <w:spacing w:after="0"/>
              <w:rPr>
                <w:sz w:val="20"/>
                <w:szCs w:val="20"/>
                <w:color w:val="auto"/>
              </w:rPr>
            </w:pPr>
            <w:r>
              <w:rPr>
                <w:rFonts w:ascii="Arial" w:cs="Arial" w:eastAsia="Arial" w:hAnsi="Arial"/>
                <w:sz w:val="18"/>
                <w:szCs w:val="18"/>
                <w:color w:val="auto"/>
              </w:rPr>
              <w:t>29,188</w:t>
            </w: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28,899</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25,233</w:t>
            </w:r>
          </w:p>
        </w:tc>
      </w:tr>
      <w:tr>
        <w:trPr>
          <w:trHeight w:val="110"/>
        </w:trPr>
        <w:tc>
          <w:tcPr>
            <w:tcW w:w="10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jc w:val="right"/>
              <w:ind w:right="172"/>
              <w:spacing w:after="0"/>
              <w:rPr>
                <w:sz w:val="20"/>
                <w:szCs w:val="20"/>
                <w:color w:val="auto"/>
              </w:rPr>
            </w:pPr>
            <w:r>
              <w:rPr>
                <w:rFonts w:ascii="Arial" w:cs="Arial" w:eastAsia="Arial" w:hAnsi="Arial"/>
                <w:sz w:val="18"/>
                <w:szCs w:val="18"/>
                <w:color w:val="auto"/>
              </w:rPr>
              <w:t>8,128</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6,319</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5,733</w:t>
            </w:r>
          </w:p>
        </w:tc>
      </w:tr>
      <w:tr>
        <w:trPr>
          <w:trHeight w:val="216"/>
        </w:trPr>
        <w:tc>
          <w:tcPr>
            <w:tcW w:w="1040" w:type="dxa"/>
            <w:vAlign w:val="bottom"/>
          </w:tcPr>
          <w:p>
            <w:pPr>
              <w:jc w:val="right"/>
              <w:ind w:right="172"/>
              <w:spacing w:after="0"/>
              <w:rPr>
                <w:sz w:val="20"/>
                <w:szCs w:val="20"/>
                <w:color w:val="auto"/>
              </w:rPr>
            </w:pPr>
            <w:r>
              <w:rPr>
                <w:rFonts w:ascii="Arial" w:cs="Arial" w:eastAsia="Arial" w:hAnsi="Arial"/>
                <w:sz w:val="18"/>
                <w:szCs w:val="18"/>
                <w:color w:val="auto"/>
              </w:rPr>
              <w:t>113,576</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106,373</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99,614</w:t>
            </w:r>
          </w:p>
        </w:tc>
      </w:tr>
      <w:tr>
        <w:trPr>
          <w:trHeight w:val="222"/>
        </w:trPr>
        <w:tc>
          <w:tcPr>
            <w:tcW w:w="1040" w:type="dxa"/>
            <w:vAlign w:val="bottom"/>
          </w:tcPr>
          <w:p>
            <w:pPr>
              <w:jc w:val="right"/>
              <w:ind w:right="112"/>
              <w:spacing w:after="0"/>
              <w:rPr>
                <w:sz w:val="20"/>
                <w:szCs w:val="20"/>
                <w:color w:val="auto"/>
              </w:rPr>
            </w:pPr>
            <w:r>
              <w:rPr>
                <w:rFonts w:ascii="Arial" w:cs="Arial" w:eastAsia="Arial" w:hAnsi="Arial"/>
                <w:sz w:val="18"/>
                <w:szCs w:val="18"/>
                <w:color w:val="auto"/>
              </w:rPr>
              <w:t>(104)</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65</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26</w:t>
            </w:r>
          </w:p>
        </w:tc>
      </w:tr>
      <w:tr>
        <w:trPr>
          <w:trHeight w:val="110"/>
        </w:trPr>
        <w:tc>
          <w:tcPr>
            <w:tcW w:w="10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r>
      <w:tr>
        <w:trPr>
          <w:trHeight w:val="316"/>
        </w:trPr>
        <w:tc>
          <w:tcPr>
            <w:tcW w:w="1040" w:type="dxa"/>
            <w:vAlign w:val="bottom"/>
          </w:tcPr>
          <w:p>
            <w:pPr>
              <w:jc w:val="right"/>
              <w:ind w:right="172"/>
              <w:spacing w:after="0"/>
              <w:rPr>
                <w:sz w:val="20"/>
                <w:szCs w:val="20"/>
                <w:color w:val="auto"/>
              </w:rPr>
            </w:pPr>
            <w:r>
              <w:rPr>
                <w:rFonts w:ascii="Arial" w:cs="Arial" w:eastAsia="Arial" w:hAnsi="Arial"/>
                <w:sz w:val="18"/>
                <w:szCs w:val="18"/>
                <w:color w:val="auto"/>
              </w:rPr>
              <w:t>121,600</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112,757</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105,373</w:t>
            </w:r>
          </w:p>
        </w:tc>
      </w:tr>
      <w:tr>
        <w:trPr>
          <w:trHeight w:val="110"/>
        </w:trPr>
        <w:tc>
          <w:tcPr>
            <w:tcW w:w="10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r>
    </w:tbl>
    <w:p>
      <w:pPr>
        <w:spacing w:after="0" w:line="200" w:lineRule="exact"/>
        <w:rPr>
          <w:sz w:val="20"/>
          <w:szCs w:val="20"/>
          <w:color w:val="auto"/>
        </w:rPr>
      </w:pPr>
    </w:p>
    <w:p>
      <w:pPr>
        <w:sectPr>
          <w:pgSz w:w="11900" w:h="16838" w:orient="portrait"/>
          <w:cols w:equalWidth="0" w:num="2">
            <w:col w:w="4860" w:space="300"/>
            <w:col w:w="5059"/>
          </w:cols>
          <w:pgMar w:left="240" w:top="584" w:right="1440" w:bottom="1440" w:gutter="0" w:footer="0" w:header="0"/>
          <w:type w:val="continuous"/>
        </w:sectPr>
      </w:pP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shd w:val="clear" w:color="auto" w:fill="EAF9E8"/>
          </w:tcPr>
          <w:p>
            <w:pPr>
              <w:ind w:left="480"/>
              <w:spacing w:after="0"/>
              <w:rPr>
                <w:sz w:val="20"/>
                <w:szCs w:val="20"/>
                <w:color w:val="auto"/>
              </w:rPr>
            </w:pPr>
            <w:r>
              <w:rPr>
                <w:rFonts w:ascii="Arial" w:cs="Arial" w:eastAsia="Arial" w:hAnsi="Arial"/>
                <w:sz w:val="18"/>
                <w:szCs w:val="18"/>
                <w:b w:val="1"/>
                <w:bCs w:val="1"/>
                <w:color w:val="auto"/>
              </w:rPr>
              <w:t>Total liabilities and shareholders’ equity</w:t>
            </w:r>
          </w:p>
        </w:tc>
        <w:tc>
          <w:tcPr>
            <w:tcW w:w="1620" w:type="dxa"/>
            <w:vAlign w:val="bottom"/>
            <w:gridSpan w:val="2"/>
            <w:shd w:val="clear" w:color="auto" w:fill="EAF9E8"/>
          </w:tcPr>
          <w:p>
            <w:pPr>
              <w:jc w:val="right"/>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204,921</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  211,421</w:t>
            </w:r>
          </w:p>
        </w:tc>
        <w:tc>
          <w:tcPr>
            <w:tcW w:w="114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  185,518</w:t>
            </w:r>
          </w:p>
        </w:tc>
        <w:tc>
          <w:tcPr>
            <w:tcW w:w="20" w:type="dxa"/>
            <w:vAlign w:val="bottom"/>
          </w:tcPr>
          <w:p>
            <w:pPr>
              <w:spacing w:after="0"/>
              <w:rPr>
                <w:sz w:val="18"/>
                <w:szCs w:val="18"/>
                <w:color w:val="auto"/>
              </w:rPr>
            </w:pPr>
          </w:p>
        </w:tc>
      </w:tr>
      <w:tr>
        <w:trPr>
          <w:trHeight w:val="118"/>
        </w:trPr>
        <w:tc>
          <w:tcPr>
            <w:tcW w:w="4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3279140</wp:posOffset>
            </wp:positionH>
            <wp:positionV relativeFrom="paragraph">
              <wp:posOffset>-14605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-14605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-14605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-14605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-14605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-14605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-14605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-14605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-14605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type w:val="continuous"/>
        </w:sectPr>
      </w:pPr>
    </w:p>
    <w:bookmarkStart w:id="76" w:name="page77"/>
    <w:bookmarkEnd w:id="76"/>
    <w:p>
      <w:pPr>
        <w:ind w:right="4079"/>
        <w:spacing w:after="0" w:line="257" w:lineRule="auto"/>
        <w:rPr>
          <w:sz w:val="20"/>
          <w:szCs w:val="20"/>
          <w:color w:val="auto"/>
        </w:rPr>
      </w:pPr>
      <w:r>
        <w:rPr>
          <w:rFonts w:ascii="Arial" w:cs="Arial" w:eastAsia="Arial" w:hAnsi="Arial"/>
          <w:sz w:val="18"/>
          <w:szCs w:val="18"/>
          <w:b w:val="1"/>
          <w:bCs w:val="1"/>
          <w:color w:val="auto"/>
        </w:rPr>
        <w:t>SHENANDOAH TELECOMMUNICATIONS COMPANY AND SUBSIDIARIES CONSOLIDATED STATEMENTS OF INCOME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2005, 2004 (Restated) and 2003 (Restated)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2005</w:t>
            </w:r>
          </w:p>
        </w:tc>
        <w:tc>
          <w:tcPr>
            <w:tcW w:w="1040" w:type="dxa"/>
            <w:vAlign w:val="bottom"/>
          </w:tcPr>
          <w:p>
            <w:pPr>
              <w:jc w:val="right"/>
              <w:ind w:right="37"/>
              <w:spacing w:after="0"/>
              <w:rPr>
                <w:sz w:val="20"/>
                <w:szCs w:val="20"/>
                <w:color w:val="auto"/>
              </w:rPr>
            </w:pPr>
            <w:r>
              <w:rPr>
                <w:rFonts w:ascii="Arial" w:cs="Arial" w:eastAsia="Arial" w:hAnsi="Arial"/>
                <w:sz w:val="14"/>
                <w:szCs w:val="14"/>
                <w:b w:val="1"/>
                <w:bCs w:val="1"/>
                <w:color w:val="auto"/>
              </w:rPr>
              <w:t>2004</w:t>
            </w:r>
          </w:p>
        </w:tc>
        <w:tc>
          <w:tcPr>
            <w:tcW w:w="1020" w:type="dxa"/>
            <w:vAlign w:val="bottom"/>
          </w:tcPr>
          <w:p>
            <w:pPr>
              <w:jc w:val="right"/>
              <w:ind w:right="17"/>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4"/>
                <w:szCs w:val="14"/>
                <w:b w:val="1"/>
                <w:bCs w:val="1"/>
                <w:color w:val="auto"/>
              </w:rPr>
              <w:t>(Restated)</w:t>
            </w:r>
          </w:p>
        </w:tc>
        <w:tc>
          <w:tcPr>
            <w:tcW w:w="1040" w:type="dxa"/>
            <w:vAlign w:val="bottom"/>
            <w:gridSpan w:val="2"/>
          </w:tcPr>
          <w:p>
            <w:pPr>
              <w:ind w:left="32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4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EAF9E8"/>
          </w:tcPr>
          <w:p>
            <w:pPr>
              <w:spacing w:after="0"/>
              <w:rPr>
                <w:sz w:val="20"/>
                <w:szCs w:val="20"/>
                <w:color w:val="auto"/>
              </w:rPr>
            </w:pPr>
            <w:r>
              <w:rPr>
                <w:rFonts w:ascii="Arial" w:cs="Arial" w:eastAsia="Arial" w:hAnsi="Arial"/>
                <w:sz w:val="18"/>
                <w:szCs w:val="18"/>
                <w:color w:val="auto"/>
              </w:rPr>
              <w:t>Operating revenues</w:t>
            </w:r>
          </w:p>
        </w:tc>
        <w:tc>
          <w:tcPr>
            <w:tcW w:w="11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146,391</w:t>
            </w:r>
          </w:p>
        </w:tc>
        <w:tc>
          <w:tcPr>
            <w:tcW w:w="1040" w:type="dxa"/>
            <w:vAlign w:val="bottom"/>
            <w:shd w:val="clear" w:color="auto" w:fill="EAF9E8"/>
          </w:tcPr>
          <w:p>
            <w:pPr>
              <w:jc w:val="right"/>
              <w:ind w:right="37"/>
              <w:spacing w:after="0"/>
              <w:rPr>
                <w:sz w:val="20"/>
                <w:szCs w:val="20"/>
                <w:color w:val="auto"/>
              </w:rPr>
            </w:pPr>
            <w:r>
              <w:rPr>
                <w:rFonts w:ascii="Arial" w:cs="Arial" w:eastAsia="Arial" w:hAnsi="Arial"/>
                <w:sz w:val="18"/>
                <w:szCs w:val="18"/>
                <w:color w:val="auto"/>
              </w:rPr>
              <w:t>$  120,994</w:t>
            </w:r>
          </w:p>
        </w:tc>
        <w:tc>
          <w:tcPr>
            <w:tcW w:w="1020" w:type="dxa"/>
            <w:vAlign w:val="bottom"/>
            <w:shd w:val="clear" w:color="auto" w:fill="EAF9E8"/>
          </w:tcPr>
          <w:p>
            <w:pPr>
              <w:jc w:val="right"/>
              <w:ind w:right="17"/>
              <w:spacing w:after="0"/>
              <w:rPr>
                <w:sz w:val="20"/>
                <w:szCs w:val="20"/>
                <w:color w:val="auto"/>
              </w:rPr>
            </w:pPr>
            <w:r>
              <w:rPr>
                <w:rFonts w:ascii="Arial" w:cs="Arial" w:eastAsia="Arial" w:hAnsi="Arial"/>
                <w:sz w:val="18"/>
                <w:szCs w:val="18"/>
                <w:color w:val="auto"/>
              </w:rPr>
              <w:t>$  105,661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465"/>
        </w:trPr>
        <w:tc>
          <w:tcPr>
            <w:tcW w:w="49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Cost of goods and services, exclusive of depreciation and</w:t>
            </w:r>
          </w:p>
        </w:tc>
        <w:tc>
          <w:tcPr>
            <w:tcW w:w="20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40" w:type="dxa"/>
            <w:vAlign w:val="bottom"/>
            <w:shd w:val="clear" w:color="auto" w:fill="EAF9E8"/>
          </w:tcPr>
          <w:p>
            <w:pPr>
              <w:ind w:left="300"/>
              <w:spacing w:after="0"/>
              <w:rPr>
                <w:sz w:val="20"/>
                <w:szCs w:val="20"/>
                <w:color w:val="auto"/>
              </w:rPr>
            </w:pPr>
            <w:r>
              <w:rPr>
                <w:rFonts w:ascii="Arial" w:cs="Arial" w:eastAsia="Arial" w:hAnsi="Arial"/>
                <w:sz w:val="18"/>
                <w:szCs w:val="18"/>
                <w:color w:val="auto"/>
              </w:rPr>
              <w:t>amortization shown separately below</w:t>
            </w:r>
          </w:p>
        </w:tc>
        <w:tc>
          <w:tcPr>
            <w:tcW w:w="11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60,299</w:t>
            </w:r>
          </w:p>
        </w:tc>
        <w:tc>
          <w:tcPr>
            <w:tcW w:w="1040" w:type="dxa"/>
            <w:vAlign w:val="bottom"/>
            <w:shd w:val="clear" w:color="auto" w:fill="EAF9E8"/>
          </w:tcPr>
          <w:p>
            <w:pPr>
              <w:jc w:val="right"/>
              <w:ind w:right="37"/>
              <w:spacing w:after="0"/>
              <w:rPr>
                <w:sz w:val="20"/>
                <w:szCs w:val="20"/>
                <w:color w:val="auto"/>
              </w:rPr>
            </w:pPr>
            <w:r>
              <w:rPr>
                <w:rFonts w:ascii="Arial" w:cs="Arial" w:eastAsia="Arial" w:hAnsi="Arial"/>
                <w:sz w:val="18"/>
                <w:szCs w:val="18"/>
                <w:color w:val="auto"/>
              </w:rPr>
              <w:t>45,847</w:t>
            </w:r>
          </w:p>
        </w:tc>
        <w:tc>
          <w:tcPr>
            <w:tcW w:w="1020" w:type="dxa"/>
            <w:vAlign w:val="bottom"/>
            <w:shd w:val="clear" w:color="auto" w:fill="EAF9E8"/>
          </w:tcPr>
          <w:p>
            <w:pPr>
              <w:jc w:val="right"/>
              <w:ind w:right="17"/>
              <w:spacing w:after="0"/>
              <w:rPr>
                <w:sz w:val="20"/>
                <w:szCs w:val="20"/>
                <w:color w:val="auto"/>
              </w:rPr>
            </w:pPr>
            <w:r>
              <w:rPr>
                <w:rFonts w:ascii="Arial" w:cs="Arial" w:eastAsia="Arial" w:hAnsi="Arial"/>
                <w:sz w:val="18"/>
                <w:szCs w:val="18"/>
                <w:color w:val="auto"/>
              </w:rPr>
              <w:t>39,769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w w:val="92"/>
              </w:rPr>
              <w:t>Selling, general and administrative, exclusive of depreciation and</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300"/>
              <w:spacing w:after="0"/>
              <w:rPr>
                <w:sz w:val="20"/>
                <w:szCs w:val="20"/>
                <w:color w:val="auto"/>
              </w:rPr>
            </w:pPr>
            <w:r>
              <w:rPr>
                <w:rFonts w:ascii="Arial" w:cs="Arial" w:eastAsia="Arial" w:hAnsi="Arial"/>
                <w:sz w:val="18"/>
                <w:szCs w:val="18"/>
                <w:color w:val="auto"/>
              </w:rPr>
              <w:t>amortization shown separately below</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44,334</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38,116</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31,340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Depreciation and amortization</w:t>
            </w:r>
          </w:p>
        </w:tc>
        <w:tc>
          <w:tcPr>
            <w:tcW w:w="11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22,382</w:t>
            </w:r>
          </w:p>
        </w:tc>
        <w:tc>
          <w:tcPr>
            <w:tcW w:w="1040" w:type="dxa"/>
            <w:vAlign w:val="bottom"/>
            <w:shd w:val="clear" w:color="auto" w:fill="EAF9E8"/>
          </w:tcPr>
          <w:p>
            <w:pPr>
              <w:jc w:val="right"/>
              <w:ind w:right="37"/>
              <w:spacing w:after="0"/>
              <w:rPr>
                <w:sz w:val="20"/>
                <w:szCs w:val="20"/>
                <w:color w:val="auto"/>
              </w:rPr>
            </w:pPr>
            <w:r>
              <w:rPr>
                <w:rFonts w:ascii="Arial" w:cs="Arial" w:eastAsia="Arial" w:hAnsi="Arial"/>
                <w:sz w:val="18"/>
                <w:szCs w:val="18"/>
                <w:color w:val="auto"/>
              </w:rPr>
              <w:t>19,020</w:t>
            </w:r>
          </w:p>
        </w:tc>
        <w:tc>
          <w:tcPr>
            <w:tcW w:w="1020" w:type="dxa"/>
            <w:vAlign w:val="bottom"/>
            <w:shd w:val="clear" w:color="auto" w:fill="EAF9E8"/>
          </w:tcPr>
          <w:p>
            <w:pPr>
              <w:jc w:val="right"/>
              <w:ind w:right="17"/>
              <w:spacing w:after="0"/>
              <w:rPr>
                <w:sz w:val="20"/>
                <w:szCs w:val="20"/>
                <w:color w:val="auto"/>
              </w:rPr>
            </w:pPr>
            <w:r>
              <w:rPr>
                <w:rFonts w:ascii="Arial" w:cs="Arial" w:eastAsia="Arial" w:hAnsi="Arial"/>
                <w:sz w:val="18"/>
                <w:szCs w:val="18"/>
                <w:color w:val="auto"/>
              </w:rPr>
              <w:t>16,631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vMerge w:val="restart"/>
          </w:tcPr>
          <w:p>
            <w:pPr>
              <w:ind w:left="620"/>
              <w:spacing w:after="0"/>
              <w:rPr>
                <w:sz w:val="20"/>
                <w:szCs w:val="20"/>
                <w:color w:val="auto"/>
              </w:rPr>
            </w:pPr>
            <w:r>
              <w:rPr>
                <w:rFonts w:ascii="Arial" w:cs="Arial" w:eastAsia="Arial" w:hAnsi="Arial"/>
                <w:sz w:val="18"/>
                <w:szCs w:val="18"/>
                <w:b w:val="1"/>
                <w:bCs w:val="1"/>
                <w:color w:val="auto"/>
              </w:rPr>
              <w:t>Total operating expenses</w:t>
            </w:r>
          </w:p>
        </w:tc>
        <w:tc>
          <w:tcPr>
            <w:tcW w:w="20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127,015</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102,983</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87,740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100" w:type="dxa"/>
            <w:vAlign w:val="bottom"/>
            <w:gridSpan w:val="2"/>
          </w:tcPr>
          <w:p>
            <w:pPr>
              <w:spacing w:after="0"/>
              <w:rPr>
                <w:sz w:val="8"/>
                <w:szCs w:val="8"/>
                <w:color w:val="auto"/>
              </w:rPr>
            </w:pPr>
          </w:p>
        </w:tc>
        <w:tc>
          <w:tcPr>
            <w:tcW w:w="10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AF9E8"/>
          </w:tcPr>
          <w:p>
            <w:pPr>
              <w:ind w:left="620"/>
              <w:spacing w:after="0"/>
              <w:rPr>
                <w:sz w:val="20"/>
                <w:szCs w:val="20"/>
                <w:color w:val="auto"/>
              </w:rPr>
            </w:pPr>
            <w:r>
              <w:rPr>
                <w:rFonts w:ascii="Arial" w:cs="Arial" w:eastAsia="Arial" w:hAnsi="Arial"/>
                <w:sz w:val="18"/>
                <w:szCs w:val="18"/>
                <w:b w:val="1"/>
                <w:bCs w:val="1"/>
                <w:color w:val="auto"/>
              </w:rPr>
              <w:t>Operating income</w:t>
            </w:r>
          </w:p>
        </w:tc>
        <w:tc>
          <w:tcPr>
            <w:tcW w:w="11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19,376</w:t>
            </w:r>
          </w:p>
        </w:tc>
        <w:tc>
          <w:tcPr>
            <w:tcW w:w="1040" w:type="dxa"/>
            <w:vAlign w:val="bottom"/>
            <w:shd w:val="clear" w:color="auto" w:fill="EAF9E8"/>
          </w:tcPr>
          <w:p>
            <w:pPr>
              <w:jc w:val="right"/>
              <w:ind w:right="37"/>
              <w:spacing w:after="0"/>
              <w:rPr>
                <w:sz w:val="20"/>
                <w:szCs w:val="20"/>
                <w:color w:val="auto"/>
              </w:rPr>
            </w:pPr>
            <w:r>
              <w:rPr>
                <w:rFonts w:ascii="Arial" w:cs="Arial" w:eastAsia="Arial" w:hAnsi="Arial"/>
                <w:sz w:val="18"/>
                <w:szCs w:val="18"/>
                <w:color w:val="auto"/>
              </w:rPr>
              <w:t>18,011</w:t>
            </w:r>
          </w:p>
        </w:tc>
        <w:tc>
          <w:tcPr>
            <w:tcW w:w="1020" w:type="dxa"/>
            <w:vAlign w:val="bottom"/>
            <w:shd w:val="clear" w:color="auto" w:fill="EAF9E8"/>
          </w:tcPr>
          <w:p>
            <w:pPr>
              <w:jc w:val="right"/>
              <w:ind w:right="17"/>
              <w:spacing w:after="0"/>
              <w:rPr>
                <w:sz w:val="20"/>
                <w:szCs w:val="20"/>
                <w:color w:val="auto"/>
              </w:rPr>
            </w:pPr>
            <w:r>
              <w:rPr>
                <w:rFonts w:ascii="Arial" w:cs="Arial" w:eastAsia="Arial" w:hAnsi="Arial"/>
                <w:sz w:val="18"/>
                <w:szCs w:val="18"/>
                <w:color w:val="auto"/>
              </w:rPr>
              <w:t>17,921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584" w:right="1440" w:bottom="1154" w:gutter="0" w:footer="0" w:header="0"/>
        </w:sectPr>
      </w:pPr>
    </w:p>
    <w:p>
      <w:pPr>
        <w:spacing w:after="0" w:line="48" w:lineRule="exact"/>
        <w:rPr>
          <w:sz w:val="20"/>
          <w:szCs w:val="20"/>
          <w:color w:val="auto"/>
        </w:rPr>
      </w:pPr>
    </w:p>
    <w:p>
      <w:pPr>
        <w:jc w:val="center"/>
        <w:ind w:right="2840"/>
        <w:spacing w:after="0"/>
        <w:rPr>
          <w:sz w:val="20"/>
          <w:szCs w:val="20"/>
          <w:color w:val="auto"/>
        </w:rPr>
      </w:pPr>
      <w:r>
        <w:rPr>
          <w:rFonts w:ascii="Arial" w:cs="Arial" w:eastAsia="Arial" w:hAnsi="Arial"/>
          <w:sz w:val="15"/>
          <w:szCs w:val="15"/>
          <w:color w:val="auto"/>
        </w:rPr>
        <w:t>Other income (expense):</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5145405"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5405"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Loss on investments, net</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Non-operating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5145405"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5405" cy="137160"/>
                    </a:xfrm>
                    <a:prstGeom prst="rect">
                      <a:avLst/>
                    </a:prstGeom>
                    <a:noFill/>
                  </pic:spPr>
                </pic:pic>
              </a:graphicData>
            </a:graphic>
          </wp:anchor>
        </w:drawing>
      </w:r>
    </w:p>
    <w:p>
      <w:pPr>
        <w:spacing w:after="0" w:line="212" w:lineRule="exact"/>
        <w:rPr>
          <w:sz w:val="20"/>
          <w:szCs w:val="20"/>
          <w:color w:val="auto"/>
        </w:rPr>
      </w:pPr>
    </w:p>
    <w:p>
      <w:pPr>
        <w:ind w:left="160" w:right="200" w:hanging="155"/>
        <w:spacing w:after="0" w:line="268" w:lineRule="auto"/>
        <w:rPr>
          <w:sz w:val="20"/>
          <w:szCs w:val="20"/>
          <w:color w:val="auto"/>
        </w:rPr>
      </w:pPr>
      <w:r>
        <w:rPr>
          <w:rFonts w:ascii="Arial" w:cs="Arial" w:eastAsia="Arial" w:hAnsi="Arial"/>
          <w:sz w:val="18"/>
          <w:szCs w:val="18"/>
          <w:color w:val="auto"/>
        </w:rPr>
        <w:t>Income before income taxes, cumulative effect of a Change in accounting and discontinued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145405"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5405" cy="137160"/>
                    </a:xfrm>
                    <a:prstGeom prst="rect">
                      <a:avLst/>
                    </a:prstGeom>
                    <a:noFill/>
                  </pic:spPr>
                </pic:pic>
              </a:graphicData>
            </a:graphic>
          </wp:anchor>
        </w:drawing>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Income from continuing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Discontinued operations, net of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145405"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5405" cy="13716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Cumulative effect of a change in accounting, net of income taxes</w:t>
      </w:r>
    </w:p>
    <w:p>
      <w:pPr>
        <w:spacing w:after="0" w:line="26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145405" cy="1371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540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jc w:val="right"/>
              <w:ind w:right="12"/>
              <w:spacing w:after="0"/>
              <w:rPr>
                <w:sz w:val="20"/>
                <w:szCs w:val="20"/>
                <w:color w:val="auto"/>
              </w:rPr>
            </w:pPr>
            <w:r>
              <w:rPr>
                <w:rFonts w:ascii="Arial" w:cs="Arial" w:eastAsia="Arial" w:hAnsi="Arial"/>
                <w:sz w:val="18"/>
                <w:szCs w:val="18"/>
                <w:color w:val="auto"/>
              </w:rPr>
              <w:t>(3,076)</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(3,129)</w:t>
            </w:r>
          </w:p>
        </w:tc>
        <w:tc>
          <w:tcPr>
            <w:tcW w:w="900" w:type="dxa"/>
            <w:vAlign w:val="bottom"/>
          </w:tcPr>
          <w:p>
            <w:pPr>
              <w:jc w:val="right"/>
              <w:spacing w:after="0"/>
              <w:rPr>
                <w:sz w:val="20"/>
                <w:szCs w:val="20"/>
                <w:color w:val="auto"/>
              </w:rPr>
            </w:pPr>
            <w:r>
              <w:rPr>
                <w:rFonts w:ascii="Arial" w:cs="Arial" w:eastAsia="Arial" w:hAnsi="Arial"/>
                <w:sz w:val="18"/>
                <w:szCs w:val="18"/>
                <w:color w:val="auto"/>
              </w:rPr>
              <w:t>(3,510)</w:t>
            </w:r>
          </w:p>
        </w:tc>
      </w:tr>
      <w:tr>
        <w:trPr>
          <w:trHeight w:val="216"/>
        </w:trPr>
        <w:tc>
          <w:tcPr>
            <w:tcW w:w="940" w:type="dxa"/>
            <w:vAlign w:val="bottom"/>
          </w:tcPr>
          <w:p>
            <w:pPr>
              <w:jc w:val="right"/>
              <w:ind w:right="12"/>
              <w:spacing w:after="0"/>
              <w:rPr>
                <w:sz w:val="20"/>
                <w:szCs w:val="20"/>
                <w:color w:val="auto"/>
              </w:rPr>
            </w:pPr>
            <w:r>
              <w:rPr>
                <w:rFonts w:ascii="Arial" w:cs="Arial" w:eastAsia="Arial" w:hAnsi="Arial"/>
                <w:sz w:val="18"/>
                <w:szCs w:val="18"/>
                <w:color w:val="auto"/>
              </w:rPr>
              <w:t>(152)</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(57)</w:t>
            </w: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2"/>
        </w:trPr>
        <w:tc>
          <w:tcPr>
            <w:tcW w:w="940" w:type="dxa"/>
            <w:vAlign w:val="bottom"/>
          </w:tcPr>
          <w:p>
            <w:pPr>
              <w:jc w:val="right"/>
              <w:ind w:right="72"/>
              <w:spacing w:after="0"/>
              <w:rPr>
                <w:sz w:val="20"/>
                <w:szCs w:val="20"/>
                <w:color w:val="auto"/>
              </w:rPr>
            </w:pPr>
            <w:r>
              <w:rPr>
                <w:rFonts w:ascii="Arial" w:cs="Arial" w:eastAsia="Arial" w:hAnsi="Arial"/>
                <w:sz w:val="18"/>
                <w:szCs w:val="18"/>
                <w:color w:val="auto"/>
              </w:rPr>
              <w:t>1,303</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1,134</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358</w:t>
            </w:r>
          </w:p>
        </w:tc>
      </w:tr>
      <w:tr>
        <w:trPr>
          <w:trHeight w:val="110"/>
        </w:trPr>
        <w:tc>
          <w:tcPr>
            <w:tcW w:w="9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532"/>
        </w:trPr>
        <w:tc>
          <w:tcPr>
            <w:tcW w:w="940" w:type="dxa"/>
            <w:vAlign w:val="bottom"/>
          </w:tcPr>
          <w:p>
            <w:pPr>
              <w:jc w:val="right"/>
              <w:ind w:right="72"/>
              <w:spacing w:after="0"/>
              <w:rPr>
                <w:sz w:val="20"/>
                <w:szCs w:val="20"/>
                <w:color w:val="auto"/>
              </w:rPr>
            </w:pPr>
            <w:r>
              <w:rPr>
                <w:rFonts w:ascii="Arial" w:cs="Arial" w:eastAsia="Arial" w:hAnsi="Arial"/>
                <w:sz w:val="18"/>
                <w:szCs w:val="18"/>
                <w:color w:val="auto"/>
              </w:rPr>
              <w:t>17,451</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15,959</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14,705</w:t>
            </w:r>
          </w:p>
        </w:tc>
      </w:tr>
      <w:tr>
        <w:trPr>
          <w:trHeight w:val="365"/>
        </w:trPr>
        <w:tc>
          <w:tcPr>
            <w:tcW w:w="940" w:type="dxa"/>
            <w:vAlign w:val="bottom"/>
          </w:tcPr>
          <w:p>
            <w:pPr>
              <w:jc w:val="right"/>
              <w:ind w:right="72"/>
              <w:spacing w:after="0"/>
              <w:rPr>
                <w:sz w:val="20"/>
                <w:szCs w:val="20"/>
                <w:color w:val="auto"/>
              </w:rPr>
            </w:pPr>
            <w:r>
              <w:rPr>
                <w:rFonts w:ascii="Arial" w:cs="Arial" w:eastAsia="Arial" w:hAnsi="Arial"/>
                <w:sz w:val="18"/>
                <w:szCs w:val="18"/>
                <w:color w:val="auto"/>
              </w:rPr>
              <w:t>6,716</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5,921</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5,166</w:t>
            </w:r>
          </w:p>
        </w:tc>
      </w:tr>
      <w:tr>
        <w:trPr>
          <w:trHeight w:val="110"/>
        </w:trPr>
        <w:tc>
          <w:tcPr>
            <w:tcW w:w="9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316"/>
        </w:trPr>
        <w:tc>
          <w:tcPr>
            <w:tcW w:w="940" w:type="dxa"/>
            <w:vAlign w:val="bottom"/>
          </w:tcPr>
          <w:p>
            <w:pPr>
              <w:jc w:val="right"/>
              <w:ind w:right="72"/>
              <w:spacing w:after="0"/>
              <w:rPr>
                <w:sz w:val="20"/>
                <w:szCs w:val="20"/>
                <w:color w:val="auto"/>
              </w:rPr>
            </w:pPr>
            <w:r>
              <w:rPr>
                <w:rFonts w:ascii="Arial" w:cs="Arial" w:eastAsia="Arial" w:hAnsi="Arial"/>
                <w:sz w:val="18"/>
                <w:szCs w:val="18"/>
                <w:color w:val="auto"/>
              </w:rPr>
              <w:t>10,735</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10,038</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9,539</w:t>
            </w:r>
          </w:p>
        </w:tc>
      </w:tr>
      <w:tr>
        <w:trPr>
          <w:trHeight w:val="358"/>
        </w:trPr>
        <w:tc>
          <w:tcPr>
            <w:tcW w:w="9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22,389</w:t>
            </w:r>
          </w:p>
        </w:tc>
      </w:tr>
      <w:tr>
        <w:trPr>
          <w:trHeight w:val="222"/>
        </w:trPr>
        <w:tc>
          <w:tcPr>
            <w:tcW w:w="9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110"/>
        </w:trPr>
        <w:tc>
          <w:tcPr>
            <w:tcW w:w="9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316"/>
        </w:trPr>
        <w:tc>
          <w:tcPr>
            <w:tcW w:w="940" w:type="dxa"/>
            <w:vAlign w:val="bottom"/>
          </w:tcPr>
          <w:p>
            <w:pPr>
              <w:jc w:val="right"/>
              <w:ind w:right="72"/>
              <w:spacing w:after="0"/>
              <w:rPr>
                <w:sz w:val="20"/>
                <w:szCs w:val="20"/>
                <w:color w:val="auto"/>
              </w:rPr>
            </w:pPr>
            <w:r>
              <w:rPr>
                <w:rFonts w:ascii="Arial" w:cs="Arial" w:eastAsia="Arial" w:hAnsi="Arial"/>
                <w:sz w:val="18"/>
                <w:szCs w:val="18"/>
                <w:color w:val="auto"/>
                <w:w w:val="94"/>
              </w:rPr>
              <w:t>$   10,735</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   10,038</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w w:val="94"/>
              </w:rPr>
              <w:t>$   31,852</w:t>
            </w:r>
          </w:p>
        </w:tc>
      </w:tr>
      <w:tr>
        <w:trPr>
          <w:trHeight w:val="120"/>
        </w:trPr>
        <w:tc>
          <w:tcPr>
            <w:tcW w:w="9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62230</wp:posOffset>
            </wp:positionH>
            <wp:positionV relativeFrom="paragraph">
              <wp:posOffset>-14605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491490</wp:posOffset>
            </wp:positionH>
            <wp:positionV relativeFrom="paragraph">
              <wp:posOffset>-14605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-14605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714375</wp:posOffset>
            </wp:positionH>
            <wp:positionV relativeFrom="paragraph">
              <wp:posOffset>-14605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1151255</wp:posOffset>
            </wp:positionH>
            <wp:positionV relativeFrom="paragraph">
              <wp:posOffset>-14605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1314450</wp:posOffset>
            </wp:positionH>
            <wp:positionV relativeFrom="paragraph">
              <wp:posOffset>-14605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1374775</wp:posOffset>
            </wp:positionH>
            <wp:positionV relativeFrom="paragraph">
              <wp:posOffset>-14605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1880235</wp:posOffset>
            </wp:positionH>
            <wp:positionV relativeFrom="paragraph">
              <wp:posOffset>-14605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1811655</wp:posOffset>
            </wp:positionH>
            <wp:positionV relativeFrom="paragraph">
              <wp:posOffset>-14605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80" w:space="580"/>
            <w:col w:w="5059"/>
          </w:cols>
          <w:pgMar w:left="240" w:top="584" w:right="1440" w:bottom="1154" w:gutter="0" w:footer="0" w:header="0"/>
          <w:type w:val="continuous"/>
        </w:sectPr>
      </w:pP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Income (loss) per share: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Basic net income (loss) per share:</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00"/>
              <w:spacing w:after="0"/>
              <w:rPr>
                <w:sz w:val="20"/>
                <w:szCs w:val="20"/>
                <w:color w:val="auto"/>
              </w:rPr>
            </w:pPr>
            <w:r>
              <w:rPr>
                <w:rFonts w:ascii="Arial" w:cs="Arial" w:eastAsia="Arial" w:hAnsi="Arial"/>
                <w:sz w:val="18"/>
                <w:szCs w:val="18"/>
                <w:color w:val="auto"/>
              </w:rPr>
              <w:t>Continuing operations</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AF9E8"/>
          </w:tcPr>
          <w:p>
            <w:pPr>
              <w:ind w:left="300"/>
              <w:spacing w:after="0"/>
              <w:rPr>
                <w:sz w:val="20"/>
                <w:szCs w:val="20"/>
                <w:color w:val="auto"/>
              </w:rPr>
            </w:pPr>
            <w:r>
              <w:rPr>
                <w:rFonts w:ascii="Arial" w:cs="Arial" w:eastAsia="Arial" w:hAnsi="Arial"/>
                <w:sz w:val="18"/>
                <w:szCs w:val="18"/>
                <w:color w:val="auto"/>
              </w:rPr>
              <w:t>Discontinued operations</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18"/>
                <w:szCs w:val="18"/>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300"/>
              <w:spacing w:after="0"/>
              <w:rPr>
                <w:sz w:val="20"/>
                <w:szCs w:val="20"/>
                <w:color w:val="auto"/>
              </w:rPr>
            </w:pPr>
            <w:r>
              <w:rPr>
                <w:rFonts w:ascii="Arial" w:cs="Arial" w:eastAsia="Arial" w:hAnsi="Arial"/>
                <w:sz w:val="18"/>
                <w:szCs w:val="18"/>
                <w:color w:val="auto"/>
                <w:w w:val="90"/>
              </w:rPr>
              <w:t>Cumulative effect of a change in accounting, net of income taxes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AF9E8"/>
          </w:tcPr>
          <w:p>
            <w:pPr>
              <w:spacing w:after="0"/>
              <w:rPr>
                <w:sz w:val="18"/>
                <w:szCs w:val="18"/>
                <w:color w:val="auto"/>
              </w:rPr>
            </w:pPr>
          </w:p>
        </w:tc>
        <w:tc>
          <w:tcPr>
            <w:tcW w:w="240" w:type="dxa"/>
            <w:vAlign w:val="bottom"/>
            <w:gridSpan w:val="2"/>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1.40</w:t>
            </w:r>
          </w:p>
        </w:tc>
        <w:tc>
          <w:tcPr>
            <w:tcW w:w="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1.32</w:t>
            </w:r>
          </w:p>
        </w:tc>
        <w:tc>
          <w:tcPr>
            <w:tcW w:w="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00" w:type="dxa"/>
            <w:vAlign w:val="bottom"/>
          </w:tcPr>
          <w:p>
            <w:pPr>
              <w:ind w:left="300"/>
              <w:spacing w:after="0"/>
              <w:rPr>
                <w:sz w:val="20"/>
                <w:szCs w:val="20"/>
                <w:color w:val="auto"/>
              </w:rPr>
            </w:pPr>
            <w:r>
              <w:rPr>
                <w:rFonts w:ascii="Arial" w:cs="Arial" w:eastAsia="Arial" w:hAnsi="Arial"/>
                <w:sz w:val="18"/>
                <w:szCs w:val="18"/>
                <w:color w:val="auto"/>
              </w:rPr>
              <w:t>Weighted average shares outstanding, basic</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7,659</w:t>
            </w: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7,611</w:t>
            </w:r>
          </w:p>
        </w:tc>
        <w:tc>
          <w:tcPr>
            <w:tcW w:w="34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7,577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vMerge w:val="restart"/>
          </w:tcPr>
          <w:p>
            <w:pPr>
              <w:spacing w:after="0"/>
              <w:rPr>
                <w:sz w:val="22"/>
                <w:szCs w:val="22"/>
                <w:color w:val="auto"/>
              </w:rPr>
            </w:pPr>
          </w:p>
        </w:tc>
        <w:tc>
          <w:tcPr>
            <w:tcW w:w="5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EAF9E8"/>
          </w:tcPr>
          <w:p>
            <w:pPr>
              <w:spacing w:after="0"/>
              <w:rPr>
                <w:sz w:val="20"/>
                <w:szCs w:val="20"/>
                <w:color w:val="auto"/>
              </w:rPr>
            </w:pPr>
            <w:r>
              <w:rPr>
                <w:rFonts w:ascii="Arial" w:cs="Arial" w:eastAsia="Arial" w:hAnsi="Arial"/>
                <w:sz w:val="18"/>
                <w:szCs w:val="18"/>
                <w:color w:val="auto"/>
              </w:rPr>
              <w:t>Diluted net income (loss) per share:</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00"/>
              <w:spacing w:after="0"/>
              <w:rPr>
                <w:sz w:val="20"/>
                <w:szCs w:val="20"/>
                <w:color w:val="auto"/>
              </w:rPr>
            </w:pPr>
            <w:r>
              <w:rPr>
                <w:rFonts w:ascii="Arial" w:cs="Arial" w:eastAsia="Arial" w:hAnsi="Arial"/>
                <w:sz w:val="18"/>
                <w:szCs w:val="18"/>
                <w:color w:val="auto"/>
              </w:rPr>
              <w:t>Continuing operations</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AF9E8"/>
          </w:tcPr>
          <w:p>
            <w:pPr>
              <w:ind w:left="300"/>
              <w:spacing w:after="0"/>
              <w:rPr>
                <w:sz w:val="20"/>
                <w:szCs w:val="20"/>
                <w:color w:val="auto"/>
              </w:rPr>
            </w:pPr>
            <w:r>
              <w:rPr>
                <w:rFonts w:ascii="Arial" w:cs="Arial" w:eastAsia="Arial" w:hAnsi="Arial"/>
                <w:sz w:val="18"/>
                <w:szCs w:val="18"/>
                <w:color w:val="auto"/>
              </w:rPr>
              <w:t>Discontinued operations</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18"/>
                <w:szCs w:val="18"/>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300"/>
              <w:spacing w:after="0"/>
              <w:rPr>
                <w:sz w:val="20"/>
                <w:szCs w:val="20"/>
                <w:color w:val="auto"/>
              </w:rPr>
            </w:pPr>
            <w:r>
              <w:rPr>
                <w:rFonts w:ascii="Arial" w:cs="Arial" w:eastAsia="Arial" w:hAnsi="Arial"/>
                <w:sz w:val="18"/>
                <w:szCs w:val="18"/>
                <w:color w:val="auto"/>
              </w:rPr>
              <w:t>Cumulative effect of a change in accounting, net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240" w:type="dxa"/>
            <w:vAlign w:val="bottom"/>
            <w:gridSpan w:val="2"/>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AF9E8"/>
          </w:tcPr>
          <w:p>
            <w:pPr>
              <w:spacing w:after="0"/>
              <w:rPr>
                <w:sz w:val="18"/>
                <w:szCs w:val="18"/>
                <w:color w:val="auto"/>
              </w:rPr>
            </w:pPr>
          </w:p>
        </w:tc>
        <w:tc>
          <w:tcPr>
            <w:tcW w:w="240" w:type="dxa"/>
            <w:vAlign w:val="bottom"/>
            <w:gridSpan w:val="2"/>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1.39</w:t>
            </w:r>
          </w:p>
        </w:tc>
        <w:tc>
          <w:tcPr>
            <w:tcW w:w="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1.31</w:t>
            </w:r>
          </w:p>
        </w:tc>
        <w:tc>
          <w:tcPr>
            <w:tcW w:w="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00" w:type="dxa"/>
            <w:vAlign w:val="bottom"/>
          </w:tcPr>
          <w:p>
            <w:pPr>
              <w:ind w:left="300"/>
              <w:spacing w:after="0"/>
              <w:rPr>
                <w:sz w:val="20"/>
                <w:szCs w:val="20"/>
                <w:color w:val="auto"/>
              </w:rPr>
            </w:pPr>
            <w:r>
              <w:rPr>
                <w:rFonts w:ascii="Arial" w:cs="Arial" w:eastAsia="Arial" w:hAnsi="Arial"/>
                <w:sz w:val="18"/>
                <w:szCs w:val="18"/>
                <w:color w:val="auto"/>
              </w:rPr>
              <w:t>Weighted average shares, diluted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7,703</w:t>
            </w: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7,657</w:t>
            </w:r>
          </w:p>
        </w:tc>
        <w:tc>
          <w:tcPr>
            <w:tcW w:w="34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7,608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50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0" w:type="dxa"/>
            <w:vAlign w:val="bottom"/>
          </w:tcPr>
          <w:p>
            <w:pPr>
              <w:ind w:left="3920"/>
              <w:spacing w:after="0"/>
              <w:rPr>
                <w:sz w:val="20"/>
                <w:szCs w:val="20"/>
                <w:color w:val="auto"/>
              </w:rPr>
            </w:pPr>
            <w:r>
              <w:rPr>
                <w:rFonts w:ascii="Arial" w:cs="Arial" w:eastAsia="Arial" w:hAnsi="Arial"/>
                <w:sz w:val="18"/>
                <w:szCs w:val="18"/>
                <w:color w:val="auto"/>
              </w:rPr>
              <w:t>F-6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20" w:type="dxa"/>
            <w:vAlign w:val="bottom"/>
            <w:shd w:val="clear" w:color="auto" w:fill="808080"/>
          </w:tcPr>
          <w:p>
            <w:pPr>
              <w:spacing w:after="0"/>
              <w:rPr>
                <w:sz w:val="6"/>
                <w:szCs w:val="6"/>
                <w:color w:val="auto"/>
              </w:rPr>
            </w:pPr>
          </w:p>
        </w:tc>
        <w:tc>
          <w:tcPr>
            <w:tcW w:w="5000" w:type="dxa"/>
            <w:vAlign w:val="bottom"/>
            <w:shd w:val="clear" w:color="auto" w:fill="808080"/>
          </w:tcPr>
          <w:p>
            <w:pPr>
              <w:spacing w:after="0"/>
              <w:rPr>
                <w:sz w:val="6"/>
                <w:szCs w:val="6"/>
                <w:color w:val="auto"/>
              </w:rPr>
            </w:pPr>
          </w:p>
        </w:tc>
        <w:tc>
          <w:tcPr>
            <w:tcW w:w="140" w:type="dxa"/>
            <w:vAlign w:val="bottom"/>
            <w:shd w:val="clear" w:color="auto" w:fill="808080"/>
          </w:tcPr>
          <w:p>
            <w:pPr>
              <w:spacing w:after="0"/>
              <w:rPr>
                <w:sz w:val="6"/>
                <w:szCs w:val="6"/>
                <w:color w:val="auto"/>
              </w:rPr>
            </w:pPr>
          </w:p>
        </w:tc>
        <w:tc>
          <w:tcPr>
            <w:tcW w:w="100" w:type="dxa"/>
            <w:vAlign w:val="bottom"/>
            <w:shd w:val="clear" w:color="auto" w:fill="808080"/>
          </w:tcPr>
          <w:p>
            <w:pPr>
              <w:spacing w:after="0"/>
              <w:rPr>
                <w:sz w:val="6"/>
                <w:szCs w:val="6"/>
                <w:color w:val="auto"/>
              </w:rPr>
            </w:pPr>
          </w:p>
        </w:tc>
        <w:tc>
          <w:tcPr>
            <w:tcW w:w="680" w:type="dxa"/>
            <w:vAlign w:val="bottom"/>
            <w:shd w:val="clear" w:color="auto" w:fill="808080"/>
          </w:tcPr>
          <w:p>
            <w:pPr>
              <w:spacing w:after="0"/>
              <w:rPr>
                <w:sz w:val="6"/>
                <w:szCs w:val="6"/>
                <w:color w:val="auto"/>
              </w:rPr>
            </w:pPr>
          </w:p>
        </w:tc>
        <w:tc>
          <w:tcPr>
            <w:tcW w:w="340" w:type="dxa"/>
            <w:vAlign w:val="bottom"/>
            <w:shd w:val="clear" w:color="auto" w:fill="808080"/>
          </w:tcPr>
          <w:p>
            <w:pPr>
              <w:spacing w:after="0"/>
              <w:rPr>
                <w:sz w:val="6"/>
                <w:szCs w:val="6"/>
                <w:color w:val="auto"/>
              </w:rPr>
            </w:pPr>
          </w:p>
        </w:tc>
        <w:tc>
          <w:tcPr>
            <w:tcW w:w="700" w:type="dxa"/>
            <w:vAlign w:val="bottom"/>
            <w:shd w:val="clear" w:color="auto" w:fill="808080"/>
          </w:tcPr>
          <w:p>
            <w:pPr>
              <w:spacing w:after="0"/>
              <w:rPr>
                <w:sz w:val="6"/>
                <w:szCs w:val="6"/>
                <w:color w:val="auto"/>
              </w:rPr>
            </w:pPr>
          </w:p>
        </w:tc>
        <w:tc>
          <w:tcPr>
            <w:tcW w:w="340" w:type="dxa"/>
            <w:vAlign w:val="bottom"/>
            <w:shd w:val="clear" w:color="auto" w:fill="808080"/>
          </w:tcPr>
          <w:p>
            <w:pPr>
              <w:spacing w:after="0"/>
              <w:rPr>
                <w:sz w:val="6"/>
                <w:szCs w:val="6"/>
                <w:color w:val="auto"/>
              </w:rPr>
            </w:pPr>
          </w:p>
        </w:tc>
        <w:tc>
          <w:tcPr>
            <w:tcW w:w="80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3279140</wp:posOffset>
            </wp:positionH>
            <wp:positionV relativeFrom="paragraph">
              <wp:posOffset>-2664460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-2664460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-2664460</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-2664460</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-2664460</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-2664460</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-2664460</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-2664460</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-2664460</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-2664460</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-2278380</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-2278380</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-2278380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-2278380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-2278380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-2278380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-2278380</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-2278380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-2278380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-2278380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-1197610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-1197610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-1197610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-1197610</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-1197610</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-1197610</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-1197610</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-1197610</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-1197610</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-1197610</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-811530</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-811530</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-811530</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-811530</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-811530</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-811530</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-811530</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-811530</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-811530</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-811530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584" w:right="1440" w:bottom="1154" w:gutter="0" w:footer="0" w:header="0"/>
          <w:type w:val="continuous"/>
        </w:sectPr>
      </w:pPr>
    </w:p>
    <w:bookmarkStart w:id="77" w:name="page78"/>
    <w:bookmarkEnd w:id="77"/>
    <w:p>
      <w:pPr>
        <w:ind w:right="4079"/>
        <w:spacing w:after="0" w:line="255" w:lineRule="auto"/>
        <w:rPr>
          <w:sz w:val="20"/>
          <w:szCs w:val="20"/>
          <w:color w:val="auto"/>
        </w:rPr>
      </w:pPr>
      <w:r>
        <w:rPr>
          <w:rFonts w:ascii="Arial" w:cs="Arial" w:eastAsia="Arial" w:hAnsi="Arial"/>
          <w:sz w:val="18"/>
          <w:szCs w:val="18"/>
          <w:b w:val="1"/>
          <w:bCs w:val="1"/>
          <w:color w:val="auto"/>
        </w:rPr>
        <w:t>SHENANDOAH TELECOMMUNICATIONS COMPANY AND SUBSIDIARIES CONSOLIDATED STATEMENTS OF SHAREHOLDERS’ EQUITY AND COMPREHENSIVE INCOME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2005, 2004 (Restated) and 2003 (Restated)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ind w:right="175"/>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174"/>
              <w:spacing w:after="0" w:line="149" w:lineRule="exact"/>
              <w:rPr>
                <w:sz w:val="20"/>
                <w:szCs w:val="20"/>
                <w:color w:val="auto"/>
              </w:rPr>
            </w:pPr>
            <w:r>
              <w:rPr>
                <w:rFonts w:ascii="Arial" w:cs="Arial" w:eastAsia="Arial" w:hAnsi="Arial"/>
                <w:sz w:val="14"/>
                <w:szCs w:val="14"/>
                <w:b w:val="1"/>
                <w:bCs w:val="1"/>
                <w:color w:val="auto"/>
                <w:w w:val="85"/>
              </w:rPr>
              <w:t>Common</w:t>
            </w:r>
          </w:p>
        </w:tc>
        <w:tc>
          <w:tcPr>
            <w:tcW w:w="240" w:type="dxa"/>
            <w:vAlign w:val="bottom"/>
          </w:tcPr>
          <w:p>
            <w:pPr>
              <w:spacing w:after="0"/>
              <w:rPr>
                <w:sz w:val="12"/>
                <w:szCs w:val="12"/>
                <w:color w:val="auto"/>
              </w:rPr>
            </w:pPr>
          </w:p>
        </w:tc>
        <w:tc>
          <w:tcPr>
            <w:tcW w:w="820" w:type="dxa"/>
            <w:vAlign w:val="bottom"/>
          </w:tcPr>
          <w:p>
            <w:pPr>
              <w:jc w:val="right"/>
              <w:ind w:right="194"/>
              <w:spacing w:after="0" w:line="149" w:lineRule="exact"/>
              <w:rPr>
                <w:sz w:val="20"/>
                <w:szCs w:val="20"/>
                <w:color w:val="auto"/>
              </w:rPr>
            </w:pPr>
            <w:r>
              <w:rPr>
                <w:rFonts w:ascii="Arial" w:cs="Arial" w:eastAsia="Arial" w:hAnsi="Arial"/>
                <w:sz w:val="14"/>
                <w:szCs w:val="14"/>
                <w:b w:val="1"/>
                <w:bCs w:val="1"/>
                <w:color w:val="auto"/>
                <w:w w:val="87"/>
              </w:rPr>
              <w:t>Retained</w:t>
            </w: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880" w:type="dxa"/>
            <w:vAlign w:val="bottom"/>
          </w:tcPr>
          <w:p>
            <w:pPr>
              <w:jc w:val="right"/>
              <w:ind w:right="233"/>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5"/>
                <w:szCs w:val="15"/>
                <w:color w:val="auto"/>
              </w:rPr>
            </w:pPr>
          </w:p>
        </w:tc>
        <w:tc>
          <w:tcPr>
            <w:tcW w:w="800" w:type="dxa"/>
            <w:vAlign w:val="bottom"/>
          </w:tcPr>
          <w:p>
            <w:pPr>
              <w:jc w:val="right"/>
              <w:ind w:right="274"/>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5"/>
                <w:szCs w:val="15"/>
                <w:color w:val="auto"/>
              </w:rPr>
            </w:pP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w w:val="86"/>
              </w:rPr>
              <w:t>Earnings</w:t>
            </w:r>
          </w:p>
        </w:tc>
        <w:tc>
          <w:tcPr>
            <w:tcW w:w="200" w:type="dxa"/>
            <w:vAlign w:val="bottom"/>
          </w:tcPr>
          <w:p>
            <w:pPr>
              <w:spacing w:after="0"/>
              <w:rPr>
                <w:sz w:val="15"/>
                <w:szCs w:val="15"/>
                <w:color w:val="auto"/>
              </w:rPr>
            </w:pPr>
          </w:p>
        </w:tc>
        <w:tc>
          <w:tcPr>
            <w:tcW w:w="1020" w:type="dxa"/>
            <w:vAlign w:val="bottom"/>
          </w:tcPr>
          <w:p>
            <w:pPr>
              <w:jc w:val="center"/>
              <w:ind w:right="175"/>
              <w:spacing w:after="0"/>
              <w:rPr>
                <w:sz w:val="20"/>
                <w:szCs w:val="20"/>
                <w:color w:val="auto"/>
              </w:rPr>
            </w:pPr>
            <w:r>
              <w:rPr>
                <w:rFonts w:ascii="Arial" w:cs="Arial" w:eastAsia="Arial" w:hAnsi="Arial"/>
                <w:sz w:val="14"/>
                <w:szCs w:val="14"/>
                <w:b w:val="1"/>
                <w:bCs w:val="1"/>
                <w:color w:val="auto"/>
                <w:w w:val="84"/>
              </w:rPr>
              <w:t>Income (loss)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920" w:type="dxa"/>
            <w:vAlign w:val="bottom"/>
            <w:gridSpan w:val="2"/>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2900" w:type="dxa"/>
            <w:vAlign w:val="bottom"/>
            <w:tcBorders>
              <w:top w:val="single" w:sz="8" w:color="808080"/>
            </w:tcBorders>
          </w:tcPr>
          <w:p>
            <w:pPr>
              <w:spacing w:after="0"/>
              <w:rPr>
                <w:sz w:val="21"/>
                <w:szCs w:val="21"/>
                <w:color w:val="auto"/>
              </w:rPr>
            </w:pPr>
          </w:p>
        </w:tc>
        <w:tc>
          <w:tcPr>
            <w:tcW w:w="880" w:type="dxa"/>
            <w:vAlign w:val="bottom"/>
            <w:tcBorders>
              <w:top w:val="single" w:sz="8" w:color="808080"/>
            </w:tcBorders>
          </w:tcPr>
          <w:p>
            <w:pPr>
              <w:spacing w:after="0"/>
              <w:rPr>
                <w:sz w:val="21"/>
                <w:szCs w:val="21"/>
                <w:color w:val="auto"/>
              </w:rPr>
            </w:pPr>
          </w:p>
        </w:tc>
        <w:tc>
          <w:tcPr>
            <w:tcW w:w="240" w:type="dxa"/>
            <w:vAlign w:val="bottom"/>
            <w:tcBorders>
              <w:top w:val="single" w:sz="8" w:color="808080"/>
            </w:tcBorders>
          </w:tcPr>
          <w:p>
            <w:pPr>
              <w:spacing w:after="0"/>
              <w:rPr>
                <w:sz w:val="21"/>
                <w:szCs w:val="21"/>
                <w:color w:val="auto"/>
              </w:rPr>
            </w:pPr>
          </w:p>
        </w:tc>
        <w:tc>
          <w:tcPr>
            <w:tcW w:w="800" w:type="dxa"/>
            <w:vAlign w:val="bottom"/>
            <w:tcBorders>
              <w:top w:val="single" w:sz="8" w:color="808080"/>
            </w:tcBorders>
          </w:tcPr>
          <w:p>
            <w:pPr>
              <w:spacing w:after="0"/>
              <w:rPr>
                <w:sz w:val="21"/>
                <w:szCs w:val="21"/>
                <w:color w:val="auto"/>
              </w:rPr>
            </w:pPr>
          </w:p>
        </w:tc>
        <w:tc>
          <w:tcPr>
            <w:tcW w:w="240" w:type="dxa"/>
            <w:vAlign w:val="bottom"/>
            <w:tcBorders>
              <w:top w:val="single" w:sz="8" w:color="808080"/>
            </w:tcBorders>
          </w:tcPr>
          <w:p>
            <w:pPr>
              <w:spacing w:after="0"/>
              <w:rPr>
                <w:sz w:val="21"/>
                <w:szCs w:val="21"/>
                <w:color w:val="auto"/>
              </w:rPr>
            </w:pPr>
          </w:p>
        </w:tc>
        <w:tc>
          <w:tcPr>
            <w:tcW w:w="820" w:type="dxa"/>
            <w:vAlign w:val="bottom"/>
            <w:tcBorders>
              <w:top w:val="single" w:sz="8" w:color="808080"/>
            </w:tcBorders>
          </w:tcPr>
          <w:p>
            <w:pPr>
              <w:spacing w:after="0"/>
              <w:rPr>
                <w:sz w:val="21"/>
                <w:szCs w:val="21"/>
                <w:color w:val="auto"/>
              </w:rPr>
            </w:pPr>
          </w:p>
        </w:tc>
        <w:tc>
          <w:tcPr>
            <w:tcW w:w="200" w:type="dxa"/>
            <w:vAlign w:val="bottom"/>
            <w:tcBorders>
              <w:top w:val="single" w:sz="8" w:color="808080"/>
            </w:tcBorders>
          </w:tcPr>
          <w:p>
            <w:pPr>
              <w:spacing w:after="0"/>
              <w:rPr>
                <w:sz w:val="21"/>
                <w:szCs w:val="21"/>
                <w:color w:val="auto"/>
              </w:rPr>
            </w:pPr>
          </w:p>
        </w:tc>
        <w:tc>
          <w:tcPr>
            <w:tcW w:w="1020" w:type="dxa"/>
            <w:vAlign w:val="bottom"/>
            <w:tcBorders>
              <w:top w:val="single" w:sz="8" w:color="808080"/>
            </w:tcBorders>
          </w:tcPr>
          <w:p>
            <w:pPr>
              <w:spacing w:after="0"/>
              <w:rPr>
                <w:sz w:val="21"/>
                <w:szCs w:val="21"/>
                <w:color w:val="auto"/>
              </w:rPr>
            </w:pPr>
          </w:p>
        </w:tc>
        <w:tc>
          <w:tcPr>
            <w:tcW w:w="100" w:type="dxa"/>
            <w:vAlign w:val="bottom"/>
            <w:tcBorders>
              <w:top w:val="single" w:sz="8" w:color="808080"/>
            </w:tcBorders>
          </w:tcPr>
          <w:p>
            <w:pPr>
              <w:spacing w:after="0"/>
              <w:rPr>
                <w:sz w:val="21"/>
                <w:szCs w:val="21"/>
                <w:color w:val="auto"/>
              </w:rPr>
            </w:pPr>
          </w:p>
        </w:tc>
        <w:tc>
          <w:tcPr>
            <w:tcW w:w="160" w:type="dxa"/>
            <w:vAlign w:val="bottom"/>
            <w:tcBorders>
              <w:top w:val="single" w:sz="8" w:color="808080"/>
            </w:tcBorders>
          </w:tcPr>
          <w:p>
            <w:pPr>
              <w:spacing w:after="0"/>
              <w:rPr>
                <w:sz w:val="21"/>
                <w:szCs w:val="21"/>
                <w:color w:val="auto"/>
              </w:rPr>
            </w:pPr>
          </w:p>
        </w:tc>
        <w:tc>
          <w:tcPr>
            <w:tcW w:w="740" w:type="dxa"/>
            <w:vAlign w:val="bottom"/>
            <w:tcBorders>
              <w:top w:val="single" w:sz="8" w:color="808080"/>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EAF9E8"/>
          </w:tcPr>
          <w:p>
            <w:pPr>
              <w:spacing w:after="0"/>
              <w:rPr>
                <w:sz w:val="20"/>
                <w:szCs w:val="20"/>
                <w:color w:val="auto"/>
              </w:rPr>
            </w:pPr>
            <w:r>
              <w:rPr>
                <w:rFonts w:ascii="Arial" w:cs="Arial" w:eastAsia="Arial" w:hAnsi="Arial"/>
                <w:sz w:val="18"/>
                <w:szCs w:val="18"/>
                <w:color w:val="auto"/>
              </w:rPr>
              <w:t>Balance as originally reported</w:t>
            </w:r>
          </w:p>
        </w:tc>
        <w:tc>
          <w:tcPr>
            <w:tcW w:w="88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7,552</w:t>
            </w:r>
          </w:p>
        </w:tc>
        <w:tc>
          <w:tcPr>
            <w:tcW w:w="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AF9E8"/>
          </w:tcPr>
          <w:p>
            <w:pPr>
              <w:jc w:val="right"/>
              <w:ind w:right="54"/>
              <w:spacing w:after="0"/>
              <w:rPr>
                <w:sz w:val="20"/>
                <w:szCs w:val="20"/>
                <w:color w:val="auto"/>
              </w:rPr>
            </w:pPr>
            <w:r>
              <w:rPr>
                <w:rFonts w:ascii="Arial" w:cs="Arial" w:eastAsia="Arial" w:hAnsi="Arial"/>
                <w:sz w:val="18"/>
                <w:szCs w:val="18"/>
                <w:color w:val="auto"/>
              </w:rPr>
              <w:t>5,246</w:t>
            </w:r>
          </w:p>
        </w:tc>
        <w:tc>
          <w:tcPr>
            <w:tcW w:w="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71,335</w:t>
            </w:r>
          </w:p>
        </w:tc>
        <w:tc>
          <w:tcPr>
            <w:tcW w:w="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ind w:right="15"/>
              <w:spacing w:after="0"/>
              <w:rPr>
                <w:sz w:val="20"/>
                <w:szCs w:val="20"/>
                <w:color w:val="auto"/>
              </w:rPr>
            </w:pPr>
            <w:r>
              <w:rPr>
                <w:rFonts w:ascii="Arial" w:cs="Arial" w:eastAsia="Arial" w:hAnsi="Arial"/>
                <w:sz w:val="18"/>
                <w:szCs w:val="18"/>
                <w:color w:val="auto"/>
              </w:rPr>
              <w:t>(4)</w:t>
            </w:r>
          </w:p>
        </w:tc>
        <w:tc>
          <w:tcPr>
            <w:tcW w:w="2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76,577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00" w:type="dxa"/>
            <w:vAlign w:val="bottom"/>
          </w:tcPr>
          <w:p>
            <w:pPr>
              <w:ind w:left="140"/>
              <w:spacing w:after="0"/>
              <w:rPr>
                <w:sz w:val="20"/>
                <w:szCs w:val="20"/>
                <w:color w:val="auto"/>
              </w:rPr>
            </w:pPr>
            <w:r>
              <w:rPr>
                <w:rFonts w:ascii="Arial" w:cs="Arial" w:eastAsia="Arial" w:hAnsi="Arial"/>
                <w:sz w:val="18"/>
                <w:szCs w:val="18"/>
                <w:color w:val="auto"/>
              </w:rPr>
              <w:t>Effect of restatement on periods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300"/>
              <w:spacing w:after="0"/>
              <w:rPr>
                <w:sz w:val="20"/>
                <w:szCs w:val="20"/>
                <w:color w:val="auto"/>
              </w:rPr>
            </w:pPr>
            <w:r>
              <w:rPr>
                <w:rFonts w:ascii="Arial" w:cs="Arial" w:eastAsia="Arial" w:hAnsi="Arial"/>
                <w:sz w:val="18"/>
                <w:szCs w:val="18"/>
                <w:color w:val="auto"/>
              </w:rPr>
              <w:t>ending on or prior to December</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20" w:type="dxa"/>
            <w:vAlign w:val="bottom"/>
            <w:gridSpan w:val="2"/>
          </w:tcPr>
          <w:p>
            <w:pPr>
              <w:ind w:left="320"/>
              <w:spacing w:after="0"/>
              <w:rPr>
                <w:sz w:val="20"/>
                <w:szCs w:val="20"/>
                <w:color w:val="auto"/>
              </w:rPr>
            </w:pPr>
            <w:r>
              <w:rPr>
                <w:rFonts w:ascii="Arial" w:cs="Arial" w:eastAsia="Arial" w:hAnsi="Arial"/>
                <w:sz w:val="18"/>
                <w:szCs w:val="18"/>
                <w:color w:val="auto"/>
              </w:rPr>
              <w:t>31, 2002</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(613)</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920" w:type="dxa"/>
            <w:vAlign w:val="bottom"/>
            <w:gridSpan w:val="2"/>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29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900" w:type="dxa"/>
            <w:vAlign w:val="bottom"/>
            <w:shd w:val="clear" w:color="auto" w:fill="EAF9E8"/>
          </w:tcPr>
          <w:p>
            <w:pPr>
              <w:spacing w:after="0"/>
              <w:rPr>
                <w:sz w:val="20"/>
                <w:szCs w:val="20"/>
                <w:color w:val="auto"/>
              </w:rPr>
            </w:pPr>
            <w:r>
              <w:rPr>
                <w:rFonts w:ascii="Arial" w:cs="Arial" w:eastAsia="Arial" w:hAnsi="Arial"/>
                <w:sz w:val="18"/>
                <w:szCs w:val="18"/>
                <w:color w:val="auto"/>
              </w:rPr>
              <w:t>Balance, December 31, 2002, as</w:t>
            </w:r>
          </w:p>
        </w:tc>
        <w:tc>
          <w:tcPr>
            <w:tcW w:w="8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restated</w:t>
            </w:r>
          </w:p>
        </w:tc>
        <w:tc>
          <w:tcPr>
            <w:tcW w:w="88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7,552</w:t>
            </w:r>
          </w:p>
        </w:tc>
        <w:tc>
          <w:tcPr>
            <w:tcW w:w="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AF9E8"/>
          </w:tcPr>
          <w:p>
            <w:pPr>
              <w:jc w:val="right"/>
              <w:ind w:right="54"/>
              <w:spacing w:after="0"/>
              <w:rPr>
                <w:sz w:val="20"/>
                <w:szCs w:val="20"/>
                <w:color w:val="auto"/>
              </w:rPr>
            </w:pPr>
            <w:r>
              <w:rPr>
                <w:rFonts w:ascii="Arial" w:cs="Arial" w:eastAsia="Arial" w:hAnsi="Arial"/>
                <w:sz w:val="18"/>
                <w:szCs w:val="18"/>
                <w:color w:val="auto"/>
              </w:rPr>
              <w:t>5,246</w:t>
            </w:r>
          </w:p>
        </w:tc>
        <w:tc>
          <w:tcPr>
            <w:tcW w:w="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70,722</w:t>
            </w:r>
          </w:p>
        </w:tc>
        <w:tc>
          <w:tcPr>
            <w:tcW w:w="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ind w:right="15"/>
              <w:spacing w:after="0"/>
              <w:rPr>
                <w:sz w:val="20"/>
                <w:szCs w:val="20"/>
                <w:color w:val="auto"/>
              </w:rPr>
            </w:pPr>
            <w:r>
              <w:rPr>
                <w:rFonts w:ascii="Arial" w:cs="Arial" w:eastAsia="Arial" w:hAnsi="Arial"/>
                <w:sz w:val="18"/>
                <w:szCs w:val="18"/>
                <w:color w:val="auto"/>
              </w:rPr>
              <w:t>(4)</w:t>
            </w:r>
          </w:p>
        </w:tc>
        <w:tc>
          <w:tcPr>
            <w:tcW w:w="2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75,964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140"/>
              <w:spacing w:after="0"/>
              <w:rPr>
                <w:sz w:val="20"/>
                <w:szCs w:val="20"/>
                <w:color w:val="auto"/>
              </w:rPr>
            </w:pPr>
            <w:r>
              <w:rPr>
                <w:rFonts w:ascii="Arial" w:cs="Arial" w:eastAsia="Arial" w:hAnsi="Arial"/>
                <w:sz w:val="18"/>
                <w:szCs w:val="18"/>
                <w:color w:val="auto"/>
              </w:rPr>
              <w:t>Comprehensive income:</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EAF9E8"/>
          </w:tcPr>
          <w:p>
            <w:pPr>
              <w:ind w:left="300"/>
              <w:spacing w:after="0"/>
              <w:rPr>
                <w:sz w:val="20"/>
                <w:szCs w:val="20"/>
                <w:color w:val="auto"/>
              </w:rPr>
            </w:pPr>
            <w:r>
              <w:rPr>
                <w:rFonts w:ascii="Arial" w:cs="Arial" w:eastAsia="Arial" w:hAnsi="Arial"/>
                <w:sz w:val="18"/>
                <w:szCs w:val="18"/>
                <w:color w:val="auto"/>
              </w:rPr>
              <w:t>Net income, as restated</w:t>
            </w:r>
          </w:p>
        </w:tc>
        <w:tc>
          <w:tcPr>
            <w:tcW w:w="88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18"/>
                <w:szCs w:val="18"/>
                <w:color w:val="auto"/>
              </w:rPr>
            </w:pPr>
          </w:p>
        </w:tc>
        <w:tc>
          <w:tcPr>
            <w:tcW w:w="82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31,852</w:t>
            </w:r>
          </w:p>
        </w:tc>
        <w:tc>
          <w:tcPr>
            <w:tcW w:w="200" w:type="dxa"/>
            <w:vAlign w:val="bottom"/>
            <w:shd w:val="clear" w:color="auto" w:fill="EAF9E8"/>
          </w:tcPr>
          <w:p>
            <w:pPr>
              <w:spacing w:after="0"/>
              <w:rPr>
                <w:sz w:val="18"/>
                <w:szCs w:val="18"/>
                <w:color w:val="auto"/>
              </w:rPr>
            </w:pPr>
          </w:p>
        </w:tc>
        <w:tc>
          <w:tcPr>
            <w:tcW w:w="1020" w:type="dxa"/>
            <w:vAlign w:val="bottom"/>
            <w:shd w:val="clear" w:color="auto" w:fill="EAF9E8"/>
          </w:tcPr>
          <w:p>
            <w:pPr>
              <w:jc w:val="right"/>
              <w:ind w:right="75"/>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31,852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00" w:type="dxa"/>
            <w:vAlign w:val="bottom"/>
          </w:tcPr>
          <w:p>
            <w:pPr>
              <w:ind w:left="300"/>
              <w:spacing w:after="0"/>
              <w:rPr>
                <w:sz w:val="20"/>
                <w:szCs w:val="20"/>
                <w:color w:val="auto"/>
              </w:rPr>
            </w:pPr>
            <w:r>
              <w:rPr>
                <w:rFonts w:ascii="Arial" w:cs="Arial" w:eastAsia="Arial" w:hAnsi="Arial"/>
                <w:sz w:val="18"/>
                <w:szCs w:val="18"/>
                <w:color w:val="auto"/>
              </w:rPr>
              <w:t>Net unrealized change in</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460"/>
              <w:spacing w:after="0"/>
              <w:rPr>
                <w:sz w:val="20"/>
                <w:szCs w:val="20"/>
                <w:color w:val="auto"/>
              </w:rPr>
            </w:pPr>
            <w:r>
              <w:rPr>
                <w:rFonts w:ascii="Arial" w:cs="Arial" w:eastAsia="Arial" w:hAnsi="Arial"/>
                <w:sz w:val="18"/>
                <w:szCs w:val="18"/>
                <w:color w:val="auto"/>
              </w:rPr>
              <w:t>securities available-for-sale,</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00" w:type="dxa"/>
            <w:vAlign w:val="bottom"/>
          </w:tcPr>
          <w:p>
            <w:pPr>
              <w:ind w:left="460"/>
              <w:spacing w:after="0"/>
              <w:rPr>
                <w:sz w:val="20"/>
                <w:szCs w:val="20"/>
                <w:color w:val="auto"/>
              </w:rPr>
            </w:pPr>
            <w:r>
              <w:rPr>
                <w:rFonts w:ascii="Arial" w:cs="Arial" w:eastAsia="Arial" w:hAnsi="Arial"/>
                <w:sz w:val="18"/>
                <w:szCs w:val="18"/>
                <w:color w:val="auto"/>
              </w:rPr>
              <w:t>net of tax of $(18)</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EAF9E8"/>
          </w:tcPr>
          <w:p>
            <w:pPr>
              <w:ind w:left="620"/>
              <w:spacing w:after="0" w:line="201" w:lineRule="exact"/>
              <w:rPr>
                <w:sz w:val="20"/>
                <w:szCs w:val="20"/>
                <w:color w:val="auto"/>
              </w:rPr>
            </w:pPr>
            <w:r>
              <w:rPr>
                <w:rFonts w:ascii="Arial" w:cs="Arial" w:eastAsia="Arial" w:hAnsi="Arial"/>
                <w:sz w:val="18"/>
                <w:szCs w:val="18"/>
                <w:b w:val="1"/>
                <w:bCs w:val="1"/>
                <w:color w:val="auto"/>
              </w:rPr>
              <w:t>Total comprehensive</w:t>
            </w:r>
          </w:p>
        </w:tc>
        <w:tc>
          <w:tcPr>
            <w:tcW w:w="88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740" w:type="dxa"/>
            <w:vAlign w:val="bottom"/>
            <w:shd w:val="clear" w:color="auto" w:fill="EAF9E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EAF9E8"/>
          </w:tcPr>
          <w:p>
            <w:pPr>
              <w:ind w:left="760"/>
              <w:spacing w:after="0"/>
              <w:rPr>
                <w:sz w:val="20"/>
                <w:szCs w:val="20"/>
                <w:color w:val="auto"/>
              </w:rPr>
            </w:pPr>
            <w:r>
              <w:rPr>
                <w:rFonts w:ascii="Arial" w:cs="Arial" w:eastAsia="Arial" w:hAnsi="Arial"/>
                <w:sz w:val="18"/>
                <w:szCs w:val="18"/>
                <w:b w:val="1"/>
                <w:bCs w:val="1"/>
                <w:color w:val="auto"/>
              </w:rPr>
              <w:t>income, as restated</w:t>
            </w:r>
          </w:p>
        </w:tc>
        <w:tc>
          <w:tcPr>
            <w:tcW w:w="88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80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82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0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74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31,882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00" w:type="dxa"/>
            <w:vAlign w:val="bottom"/>
            <w:vMerge w:val="restart"/>
          </w:tcPr>
          <w:p>
            <w:pPr>
              <w:ind w:left="140"/>
              <w:spacing w:after="0"/>
              <w:rPr>
                <w:sz w:val="20"/>
                <w:szCs w:val="20"/>
                <w:color w:val="auto"/>
              </w:rPr>
            </w:pPr>
            <w:r>
              <w:rPr>
                <w:rFonts w:ascii="Arial" w:cs="Arial" w:eastAsia="Arial" w:hAnsi="Arial"/>
                <w:sz w:val="18"/>
                <w:szCs w:val="18"/>
                <w:color w:val="auto"/>
              </w:rPr>
              <w:t>Dividends declared</w:t>
            </w: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tcPr>
          <w:p>
            <w:pPr>
              <w:ind w:left="300"/>
              <w:spacing w:after="0"/>
              <w:rPr>
                <w:sz w:val="20"/>
                <w:szCs w:val="20"/>
                <w:color w:val="auto"/>
              </w:rPr>
            </w:pPr>
            <w:r>
              <w:rPr>
                <w:rFonts w:ascii="Arial" w:cs="Arial" w:eastAsia="Arial" w:hAnsi="Arial"/>
                <w:sz w:val="18"/>
                <w:szCs w:val="18"/>
                <w:color w:val="auto"/>
              </w:rPr>
              <w:t>($0.39 per share)</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(2,960)</w:t>
            </w:r>
          </w:p>
        </w:tc>
        <w:tc>
          <w:tcPr>
            <w:tcW w:w="20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Common stock issued through</w:t>
            </w:r>
          </w:p>
        </w:tc>
        <w:tc>
          <w:tcPr>
            <w:tcW w:w="8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EAF9E8"/>
          </w:tcPr>
          <w:p>
            <w:pPr>
              <w:ind w:left="300"/>
              <w:spacing w:after="0"/>
              <w:rPr>
                <w:sz w:val="20"/>
                <w:szCs w:val="20"/>
                <w:color w:val="auto"/>
              </w:rPr>
            </w:pPr>
            <w:r>
              <w:rPr>
                <w:rFonts w:ascii="Arial" w:cs="Arial" w:eastAsia="Arial" w:hAnsi="Arial"/>
                <w:sz w:val="18"/>
                <w:szCs w:val="18"/>
                <w:color w:val="auto"/>
              </w:rPr>
              <w:t>exercise of incentive stock</w:t>
            </w:r>
          </w:p>
        </w:tc>
        <w:tc>
          <w:tcPr>
            <w:tcW w:w="8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00" w:type="dxa"/>
            <w:vAlign w:val="bottom"/>
            <w:shd w:val="clear" w:color="auto" w:fill="EAF9E8"/>
          </w:tcPr>
          <w:p>
            <w:pPr>
              <w:ind w:left="300"/>
              <w:spacing w:after="0"/>
              <w:rPr>
                <w:sz w:val="20"/>
                <w:szCs w:val="20"/>
                <w:color w:val="auto"/>
              </w:rPr>
            </w:pPr>
            <w:r>
              <w:rPr>
                <w:rFonts w:ascii="Arial" w:cs="Arial" w:eastAsia="Arial" w:hAnsi="Arial"/>
                <w:sz w:val="18"/>
                <w:szCs w:val="18"/>
                <w:color w:val="auto"/>
              </w:rPr>
              <w:t>options and stock grants</w:t>
            </w:r>
          </w:p>
        </w:tc>
        <w:tc>
          <w:tcPr>
            <w:tcW w:w="88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41</w:t>
            </w:r>
          </w:p>
        </w:tc>
        <w:tc>
          <w:tcPr>
            <w:tcW w:w="240" w:type="dxa"/>
            <w:vAlign w:val="bottom"/>
            <w:shd w:val="clear" w:color="auto" w:fill="EAF9E8"/>
          </w:tcPr>
          <w:p>
            <w:pPr>
              <w:spacing w:after="0"/>
              <w:rPr>
                <w:sz w:val="19"/>
                <w:szCs w:val="19"/>
                <w:color w:val="auto"/>
              </w:rPr>
            </w:pPr>
          </w:p>
        </w:tc>
        <w:tc>
          <w:tcPr>
            <w:tcW w:w="800" w:type="dxa"/>
            <w:vAlign w:val="bottom"/>
            <w:shd w:val="clear" w:color="auto" w:fill="EAF9E8"/>
          </w:tcPr>
          <w:p>
            <w:pPr>
              <w:jc w:val="right"/>
              <w:ind w:right="54"/>
              <w:spacing w:after="0"/>
              <w:rPr>
                <w:sz w:val="20"/>
                <w:szCs w:val="20"/>
                <w:color w:val="auto"/>
              </w:rPr>
            </w:pPr>
            <w:r>
              <w:rPr>
                <w:rFonts w:ascii="Arial" w:cs="Arial" w:eastAsia="Arial" w:hAnsi="Arial"/>
                <w:sz w:val="18"/>
                <w:szCs w:val="18"/>
                <w:color w:val="auto"/>
              </w:rPr>
              <w:t>487</w:t>
            </w:r>
          </w:p>
        </w:tc>
        <w:tc>
          <w:tcPr>
            <w:tcW w:w="240" w:type="dxa"/>
            <w:vAlign w:val="bottom"/>
            <w:shd w:val="clear" w:color="auto" w:fill="EAF9E8"/>
          </w:tcPr>
          <w:p>
            <w:pPr>
              <w:spacing w:after="0"/>
              <w:rPr>
                <w:sz w:val="19"/>
                <w:szCs w:val="19"/>
                <w:color w:val="auto"/>
              </w:rPr>
            </w:pPr>
          </w:p>
        </w:tc>
        <w:tc>
          <w:tcPr>
            <w:tcW w:w="82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9"/>
                <w:szCs w:val="19"/>
                <w:color w:val="auto"/>
              </w:rPr>
            </w:pPr>
          </w:p>
        </w:tc>
        <w:tc>
          <w:tcPr>
            <w:tcW w:w="1020" w:type="dxa"/>
            <w:vAlign w:val="bottom"/>
            <w:shd w:val="clear" w:color="auto" w:fill="EAF9E8"/>
          </w:tcPr>
          <w:p>
            <w:pPr>
              <w:jc w:val="right"/>
              <w:ind w:right="75"/>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74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487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920" w:type="dxa"/>
            <w:vAlign w:val="bottom"/>
            <w:gridSpan w:val="2"/>
            <w:vMerge w:val="restart"/>
          </w:tcPr>
          <w:p>
            <w:pPr>
              <w:spacing w:after="0"/>
              <w:rPr>
                <w:sz w:val="20"/>
                <w:szCs w:val="20"/>
                <w:color w:val="auto"/>
              </w:rPr>
            </w:pPr>
            <w:r>
              <w:rPr>
                <w:rFonts w:ascii="Arial" w:cs="Arial" w:eastAsia="Arial" w:hAnsi="Arial"/>
                <w:sz w:val="18"/>
                <w:szCs w:val="18"/>
                <w:color w:val="auto"/>
              </w:rPr>
              <w:t>Balance, December 31, 2003, as</w:t>
            </w:r>
          </w:p>
        </w:tc>
        <w:tc>
          <w:tcPr>
            <w:tcW w:w="8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458"/>
        </w:trPr>
        <w:tc>
          <w:tcPr>
            <w:tcW w:w="292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tcPr>
          <w:p>
            <w:pPr>
              <w:ind w:left="140"/>
              <w:spacing w:after="0"/>
              <w:rPr>
                <w:sz w:val="20"/>
                <w:szCs w:val="20"/>
                <w:color w:val="auto"/>
              </w:rPr>
            </w:pPr>
            <w:r>
              <w:rPr>
                <w:rFonts w:ascii="Arial" w:cs="Arial" w:eastAsia="Arial" w:hAnsi="Arial"/>
                <w:sz w:val="18"/>
                <w:szCs w:val="18"/>
                <w:color w:val="auto"/>
              </w:rPr>
              <w:t>restated</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7,593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5,733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4"/>
              <w:spacing w:after="0"/>
              <w:rPr>
                <w:sz w:val="20"/>
                <w:szCs w:val="20"/>
                <w:color w:val="auto"/>
              </w:rPr>
            </w:pPr>
            <w:r>
              <w:rPr>
                <w:rFonts w:ascii="Arial" w:cs="Arial" w:eastAsia="Arial" w:hAnsi="Arial"/>
                <w:sz w:val="18"/>
                <w:szCs w:val="18"/>
                <w:color w:val="auto"/>
              </w:rPr>
              <w:t>99,614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26</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w w:val="95"/>
              </w:rPr>
              <w:t>105,373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Comprehensive income:</w:t>
            </w:r>
          </w:p>
        </w:tc>
        <w:tc>
          <w:tcPr>
            <w:tcW w:w="8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300"/>
              <w:spacing w:after="0"/>
              <w:rPr>
                <w:sz w:val="20"/>
                <w:szCs w:val="20"/>
                <w:color w:val="auto"/>
              </w:rPr>
            </w:pPr>
            <w:r>
              <w:rPr>
                <w:rFonts w:ascii="Arial" w:cs="Arial" w:eastAsia="Arial" w:hAnsi="Arial"/>
                <w:sz w:val="18"/>
                <w:szCs w:val="18"/>
                <w:color w:val="auto"/>
              </w:rPr>
              <w:t>Net income, as restated</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ind w:right="74"/>
              <w:spacing w:after="0"/>
              <w:rPr>
                <w:sz w:val="20"/>
                <w:szCs w:val="20"/>
                <w:color w:val="auto"/>
              </w:rPr>
            </w:pPr>
            <w:r>
              <w:rPr>
                <w:rFonts w:ascii="Arial" w:cs="Arial" w:eastAsia="Arial" w:hAnsi="Arial"/>
                <w:sz w:val="18"/>
                <w:szCs w:val="18"/>
                <w:color w:val="auto"/>
              </w:rPr>
              <w:t>10,038</w:t>
            </w:r>
          </w:p>
        </w:tc>
        <w:tc>
          <w:tcPr>
            <w:tcW w:w="200" w:type="dxa"/>
            <w:vAlign w:val="bottom"/>
          </w:tcPr>
          <w:p>
            <w:pPr>
              <w:spacing w:after="0"/>
              <w:rPr>
                <w:sz w:val="18"/>
                <w:szCs w:val="18"/>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10,038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00" w:type="dxa"/>
            <w:vAlign w:val="bottom"/>
            <w:shd w:val="clear" w:color="auto" w:fill="EAF9E8"/>
          </w:tcPr>
          <w:p>
            <w:pPr>
              <w:ind w:left="300"/>
              <w:spacing w:after="0"/>
              <w:rPr>
                <w:sz w:val="20"/>
                <w:szCs w:val="20"/>
                <w:color w:val="auto"/>
              </w:rPr>
            </w:pPr>
            <w:r>
              <w:rPr>
                <w:rFonts w:ascii="Arial" w:cs="Arial" w:eastAsia="Arial" w:hAnsi="Arial"/>
                <w:sz w:val="18"/>
                <w:szCs w:val="18"/>
                <w:color w:val="auto"/>
              </w:rPr>
              <w:t>Net unrealized change in</w:t>
            </w:r>
          </w:p>
        </w:tc>
        <w:tc>
          <w:tcPr>
            <w:tcW w:w="8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EAF9E8"/>
          </w:tcPr>
          <w:p>
            <w:pPr>
              <w:ind w:left="460"/>
              <w:spacing w:after="0"/>
              <w:rPr>
                <w:sz w:val="20"/>
                <w:szCs w:val="20"/>
                <w:color w:val="auto"/>
              </w:rPr>
            </w:pPr>
            <w:r>
              <w:rPr>
                <w:rFonts w:ascii="Arial" w:cs="Arial" w:eastAsia="Arial" w:hAnsi="Arial"/>
                <w:sz w:val="18"/>
                <w:szCs w:val="18"/>
                <w:color w:val="auto"/>
              </w:rPr>
              <w:t>securities available-for-sale,</w:t>
            </w:r>
          </w:p>
        </w:tc>
        <w:tc>
          <w:tcPr>
            <w:tcW w:w="8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00" w:type="dxa"/>
            <w:vAlign w:val="bottom"/>
            <w:shd w:val="clear" w:color="auto" w:fill="EAF9E8"/>
          </w:tcPr>
          <w:p>
            <w:pPr>
              <w:ind w:left="460"/>
              <w:spacing w:after="0"/>
              <w:rPr>
                <w:sz w:val="20"/>
                <w:szCs w:val="20"/>
                <w:color w:val="auto"/>
              </w:rPr>
            </w:pPr>
            <w:r>
              <w:rPr>
                <w:rFonts w:ascii="Arial" w:cs="Arial" w:eastAsia="Arial" w:hAnsi="Arial"/>
                <w:sz w:val="18"/>
                <w:szCs w:val="18"/>
                <w:color w:val="auto"/>
              </w:rPr>
              <w:t>net of tax of $(21)</w:t>
            </w:r>
          </w:p>
        </w:tc>
        <w:tc>
          <w:tcPr>
            <w:tcW w:w="88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19"/>
                <w:szCs w:val="19"/>
                <w:color w:val="auto"/>
              </w:rPr>
            </w:pPr>
          </w:p>
        </w:tc>
        <w:tc>
          <w:tcPr>
            <w:tcW w:w="800" w:type="dxa"/>
            <w:vAlign w:val="bottom"/>
            <w:shd w:val="clear" w:color="auto" w:fill="EAF9E8"/>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19"/>
                <w:szCs w:val="19"/>
                <w:color w:val="auto"/>
              </w:rPr>
            </w:pPr>
          </w:p>
        </w:tc>
        <w:tc>
          <w:tcPr>
            <w:tcW w:w="82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9"/>
                <w:szCs w:val="19"/>
                <w:color w:val="auto"/>
              </w:rPr>
            </w:pPr>
          </w:p>
        </w:tc>
        <w:tc>
          <w:tcPr>
            <w:tcW w:w="1020" w:type="dxa"/>
            <w:vAlign w:val="bottom"/>
            <w:shd w:val="clear" w:color="auto" w:fill="EAF9E8"/>
          </w:tcPr>
          <w:p>
            <w:pPr>
              <w:jc w:val="right"/>
              <w:ind w:right="75"/>
              <w:spacing w:after="0"/>
              <w:rPr>
                <w:sz w:val="20"/>
                <w:szCs w:val="20"/>
                <w:color w:val="auto"/>
              </w:rPr>
            </w:pPr>
            <w:r>
              <w:rPr>
                <w:rFonts w:ascii="Arial" w:cs="Arial" w:eastAsia="Arial" w:hAnsi="Arial"/>
                <w:sz w:val="18"/>
                <w:szCs w:val="18"/>
                <w:color w:val="auto"/>
              </w:rPr>
              <w:t>39</w:t>
            </w: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74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00" w:type="dxa"/>
            <w:vAlign w:val="bottom"/>
            <w:vMerge w:val="restart"/>
          </w:tcPr>
          <w:p>
            <w:pPr>
              <w:ind w:left="620"/>
              <w:spacing w:after="0"/>
              <w:rPr>
                <w:sz w:val="20"/>
                <w:szCs w:val="20"/>
                <w:color w:val="auto"/>
              </w:rPr>
            </w:pPr>
            <w:r>
              <w:rPr>
                <w:rFonts w:ascii="Arial" w:cs="Arial" w:eastAsia="Arial" w:hAnsi="Arial"/>
                <w:sz w:val="18"/>
                <w:szCs w:val="18"/>
                <w:b w:val="1"/>
                <w:bCs w:val="1"/>
                <w:color w:val="auto"/>
              </w:rPr>
              <w:t>Total comprehensive</w:t>
            </w: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00" w:type="dxa"/>
            <w:vAlign w:val="bottom"/>
          </w:tcPr>
          <w:p>
            <w:pPr>
              <w:ind w:left="760"/>
              <w:spacing w:after="0"/>
              <w:rPr>
                <w:sz w:val="20"/>
                <w:szCs w:val="20"/>
                <w:color w:val="auto"/>
              </w:rPr>
            </w:pPr>
            <w:r>
              <w:rPr>
                <w:rFonts w:ascii="Arial" w:cs="Arial" w:eastAsia="Arial" w:hAnsi="Arial"/>
                <w:sz w:val="18"/>
                <w:szCs w:val="18"/>
                <w:b w:val="1"/>
                <w:bCs w:val="1"/>
                <w:color w:val="auto"/>
              </w:rPr>
              <w:t>income, as restated</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10,077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Dividends declared</w:t>
            </w:r>
          </w:p>
        </w:tc>
        <w:tc>
          <w:tcPr>
            <w:tcW w:w="8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00" w:type="dxa"/>
            <w:vAlign w:val="bottom"/>
            <w:shd w:val="clear" w:color="auto" w:fill="EAF9E8"/>
          </w:tcPr>
          <w:p>
            <w:pPr>
              <w:ind w:left="300"/>
              <w:spacing w:after="0"/>
              <w:rPr>
                <w:sz w:val="20"/>
                <w:szCs w:val="20"/>
                <w:color w:val="auto"/>
              </w:rPr>
            </w:pPr>
            <w:r>
              <w:rPr>
                <w:rFonts w:ascii="Arial" w:cs="Arial" w:eastAsia="Arial" w:hAnsi="Arial"/>
                <w:sz w:val="18"/>
                <w:szCs w:val="18"/>
                <w:color w:val="auto"/>
              </w:rPr>
              <w:t>($0.43 per share)</w:t>
            </w:r>
          </w:p>
        </w:tc>
        <w:tc>
          <w:tcPr>
            <w:tcW w:w="88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19"/>
                <w:szCs w:val="19"/>
                <w:color w:val="auto"/>
              </w:rPr>
            </w:pPr>
          </w:p>
        </w:tc>
        <w:tc>
          <w:tcPr>
            <w:tcW w:w="800" w:type="dxa"/>
            <w:vAlign w:val="bottom"/>
            <w:shd w:val="clear" w:color="auto" w:fill="EAF9E8"/>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19"/>
                <w:szCs w:val="19"/>
                <w:color w:val="auto"/>
              </w:rPr>
            </w:pPr>
          </w:p>
        </w:tc>
        <w:tc>
          <w:tcPr>
            <w:tcW w:w="82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(3,279)</w:t>
            </w:r>
          </w:p>
        </w:tc>
        <w:tc>
          <w:tcPr>
            <w:tcW w:w="200" w:type="dxa"/>
            <w:vAlign w:val="bottom"/>
            <w:shd w:val="clear" w:color="auto" w:fill="EAF9E8"/>
          </w:tcPr>
          <w:p>
            <w:pPr>
              <w:spacing w:after="0"/>
              <w:rPr>
                <w:sz w:val="19"/>
                <w:szCs w:val="19"/>
                <w:color w:val="auto"/>
              </w:rPr>
            </w:pPr>
          </w:p>
        </w:tc>
        <w:tc>
          <w:tcPr>
            <w:tcW w:w="1020" w:type="dxa"/>
            <w:vAlign w:val="bottom"/>
            <w:shd w:val="clear" w:color="auto" w:fill="EAF9E8"/>
          </w:tcPr>
          <w:p>
            <w:pPr>
              <w:jc w:val="right"/>
              <w:ind w:right="75"/>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00" w:type="dxa"/>
            <w:vAlign w:val="bottom"/>
          </w:tcPr>
          <w:p>
            <w:pPr>
              <w:ind w:left="140"/>
              <w:spacing w:after="0"/>
              <w:rPr>
                <w:sz w:val="20"/>
                <w:szCs w:val="20"/>
                <w:color w:val="auto"/>
              </w:rPr>
            </w:pPr>
            <w:r>
              <w:rPr>
                <w:rFonts w:ascii="Arial" w:cs="Arial" w:eastAsia="Arial" w:hAnsi="Arial"/>
                <w:sz w:val="18"/>
                <w:szCs w:val="18"/>
                <w:color w:val="auto"/>
              </w:rPr>
              <w:t>Common stock issued through</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300"/>
              <w:spacing w:after="0"/>
              <w:rPr>
                <w:sz w:val="20"/>
                <w:szCs w:val="20"/>
                <w:color w:val="auto"/>
              </w:rPr>
            </w:pPr>
            <w:r>
              <w:rPr>
                <w:rFonts w:ascii="Arial" w:cs="Arial" w:eastAsia="Arial" w:hAnsi="Arial"/>
                <w:sz w:val="18"/>
                <w:szCs w:val="18"/>
                <w:color w:val="auto"/>
              </w:rPr>
              <w:t>exercise of incentive stock</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00" w:type="dxa"/>
            <w:vAlign w:val="bottom"/>
          </w:tcPr>
          <w:p>
            <w:pPr>
              <w:ind w:left="300"/>
              <w:spacing w:after="0"/>
              <w:rPr>
                <w:sz w:val="20"/>
                <w:szCs w:val="20"/>
                <w:color w:val="auto"/>
              </w:rPr>
            </w:pPr>
            <w:r>
              <w:rPr>
                <w:rFonts w:ascii="Arial" w:cs="Arial" w:eastAsia="Arial" w:hAnsi="Arial"/>
                <w:sz w:val="18"/>
                <w:szCs w:val="18"/>
                <w:color w:val="auto"/>
              </w:rPr>
              <w:t>options</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9"/>
                <w:szCs w:val="19"/>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586</w:t>
            </w:r>
          </w:p>
        </w:tc>
        <w:tc>
          <w:tcPr>
            <w:tcW w:w="240" w:type="dxa"/>
            <w:vAlign w:val="bottom"/>
          </w:tcPr>
          <w:p>
            <w:pPr>
              <w:spacing w:after="0"/>
              <w:rPr>
                <w:sz w:val="19"/>
                <w:szCs w:val="19"/>
                <w:color w:val="auto"/>
              </w:rPr>
            </w:pPr>
          </w:p>
        </w:tc>
        <w:tc>
          <w:tcPr>
            <w:tcW w:w="8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29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900" w:type="dxa"/>
            <w:vAlign w:val="bottom"/>
            <w:shd w:val="clear" w:color="auto" w:fill="EAF9E8"/>
          </w:tcPr>
          <w:p>
            <w:pPr>
              <w:spacing w:after="0"/>
              <w:rPr>
                <w:sz w:val="20"/>
                <w:szCs w:val="20"/>
                <w:color w:val="auto"/>
              </w:rPr>
            </w:pPr>
            <w:r>
              <w:rPr>
                <w:rFonts w:ascii="Arial" w:cs="Arial" w:eastAsia="Arial" w:hAnsi="Arial"/>
                <w:sz w:val="18"/>
                <w:szCs w:val="18"/>
                <w:color w:val="auto"/>
              </w:rPr>
              <w:t>Balance, December 31, 2004, as</w:t>
            </w:r>
          </w:p>
        </w:tc>
        <w:tc>
          <w:tcPr>
            <w:tcW w:w="8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restated</w:t>
            </w:r>
          </w:p>
        </w:tc>
        <w:tc>
          <w:tcPr>
            <w:tcW w:w="88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7,630</w:t>
            </w:r>
          </w:p>
        </w:tc>
        <w:tc>
          <w:tcPr>
            <w:tcW w:w="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AF9E8"/>
          </w:tcPr>
          <w:p>
            <w:pPr>
              <w:jc w:val="right"/>
              <w:ind w:right="54"/>
              <w:spacing w:after="0"/>
              <w:rPr>
                <w:sz w:val="20"/>
                <w:szCs w:val="20"/>
                <w:color w:val="auto"/>
              </w:rPr>
            </w:pPr>
            <w:r>
              <w:rPr>
                <w:rFonts w:ascii="Arial" w:cs="Arial" w:eastAsia="Arial" w:hAnsi="Arial"/>
                <w:sz w:val="18"/>
                <w:szCs w:val="18"/>
                <w:color w:val="auto"/>
              </w:rPr>
              <w:t>6,319</w:t>
            </w:r>
          </w:p>
        </w:tc>
        <w:tc>
          <w:tcPr>
            <w:tcW w:w="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w w:val="98"/>
              </w:rPr>
              <w:t>106,373</w:t>
            </w:r>
          </w:p>
        </w:tc>
        <w:tc>
          <w:tcPr>
            <w:tcW w:w="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ind w:right="75"/>
              <w:spacing w:after="0"/>
              <w:rPr>
                <w:sz w:val="20"/>
                <w:szCs w:val="20"/>
                <w:color w:val="auto"/>
              </w:rPr>
            </w:pPr>
            <w:r>
              <w:rPr>
                <w:rFonts w:ascii="Arial" w:cs="Arial" w:eastAsia="Arial" w:hAnsi="Arial"/>
                <w:sz w:val="18"/>
                <w:szCs w:val="18"/>
                <w:color w:val="auto"/>
              </w:rPr>
              <w:t>65</w:t>
            </w:r>
          </w:p>
        </w:tc>
        <w:tc>
          <w:tcPr>
            <w:tcW w:w="2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w w:val="95"/>
              </w:rPr>
              <w:t>112,757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140"/>
              <w:spacing w:after="0"/>
              <w:rPr>
                <w:sz w:val="20"/>
                <w:szCs w:val="20"/>
                <w:color w:val="auto"/>
              </w:rPr>
            </w:pPr>
            <w:r>
              <w:rPr>
                <w:rFonts w:ascii="Arial" w:cs="Arial" w:eastAsia="Arial" w:hAnsi="Arial"/>
                <w:sz w:val="18"/>
                <w:szCs w:val="18"/>
                <w:color w:val="auto"/>
              </w:rPr>
              <w:t>Comprehensive income</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EAF9E8"/>
          </w:tcPr>
          <w:p>
            <w:pPr>
              <w:ind w:left="300"/>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18"/>
                <w:szCs w:val="18"/>
                <w:color w:val="auto"/>
              </w:rPr>
            </w:pPr>
          </w:p>
        </w:tc>
        <w:tc>
          <w:tcPr>
            <w:tcW w:w="82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10,735</w:t>
            </w:r>
          </w:p>
        </w:tc>
        <w:tc>
          <w:tcPr>
            <w:tcW w:w="200" w:type="dxa"/>
            <w:vAlign w:val="bottom"/>
            <w:shd w:val="clear" w:color="auto" w:fill="EAF9E8"/>
          </w:tcPr>
          <w:p>
            <w:pPr>
              <w:spacing w:after="0"/>
              <w:rPr>
                <w:sz w:val="18"/>
                <w:szCs w:val="18"/>
                <w:color w:val="auto"/>
              </w:rPr>
            </w:pPr>
          </w:p>
        </w:tc>
        <w:tc>
          <w:tcPr>
            <w:tcW w:w="1020" w:type="dxa"/>
            <w:vAlign w:val="bottom"/>
            <w:shd w:val="clear" w:color="auto" w:fill="EAF9E8"/>
          </w:tcPr>
          <w:p>
            <w:pPr>
              <w:jc w:val="right"/>
              <w:ind w:right="75"/>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10,735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00" w:type="dxa"/>
            <w:vAlign w:val="bottom"/>
          </w:tcPr>
          <w:p>
            <w:pPr>
              <w:ind w:left="300"/>
              <w:spacing w:after="0"/>
              <w:rPr>
                <w:sz w:val="20"/>
                <w:szCs w:val="20"/>
                <w:color w:val="auto"/>
              </w:rPr>
            </w:pPr>
            <w:r>
              <w:rPr>
                <w:rFonts w:ascii="Arial" w:cs="Arial" w:eastAsia="Arial" w:hAnsi="Arial"/>
                <w:sz w:val="18"/>
                <w:szCs w:val="18"/>
                <w:color w:val="auto"/>
              </w:rPr>
              <w:t>SERP additional minimum</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tcPr>
          <w:p>
            <w:pPr>
              <w:ind w:left="460"/>
              <w:spacing w:after="0"/>
              <w:rPr>
                <w:sz w:val="20"/>
                <w:szCs w:val="20"/>
                <w:color w:val="auto"/>
              </w:rPr>
            </w:pPr>
            <w:r>
              <w:rPr>
                <w:rFonts w:ascii="Arial" w:cs="Arial" w:eastAsia="Arial" w:hAnsi="Arial"/>
                <w:sz w:val="18"/>
                <w:szCs w:val="18"/>
                <w:color w:val="auto"/>
              </w:rPr>
              <w:t>pension liability</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00" w:type="dxa"/>
            <w:vAlign w:val="bottom"/>
            <w:shd w:val="clear" w:color="auto" w:fill="EAF9E8"/>
          </w:tcPr>
          <w:p>
            <w:pPr>
              <w:ind w:left="300"/>
              <w:spacing w:after="0"/>
              <w:rPr>
                <w:sz w:val="20"/>
                <w:szCs w:val="20"/>
                <w:color w:val="auto"/>
              </w:rPr>
            </w:pPr>
            <w:r>
              <w:rPr>
                <w:rFonts w:ascii="Arial" w:cs="Arial" w:eastAsia="Arial" w:hAnsi="Arial"/>
                <w:sz w:val="18"/>
                <w:szCs w:val="18"/>
                <w:color w:val="auto"/>
              </w:rPr>
              <w:t>Net unrealized change in</w:t>
            </w:r>
          </w:p>
        </w:tc>
        <w:tc>
          <w:tcPr>
            <w:tcW w:w="8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EAF9E8"/>
          </w:tcPr>
          <w:p>
            <w:pPr>
              <w:ind w:left="460"/>
              <w:spacing w:after="0"/>
              <w:rPr>
                <w:sz w:val="20"/>
                <w:szCs w:val="20"/>
                <w:color w:val="auto"/>
              </w:rPr>
            </w:pPr>
            <w:r>
              <w:rPr>
                <w:rFonts w:ascii="Arial" w:cs="Arial" w:eastAsia="Arial" w:hAnsi="Arial"/>
                <w:sz w:val="18"/>
                <w:szCs w:val="18"/>
                <w:color w:val="auto"/>
              </w:rPr>
              <w:t>securities available-for-sale,</w:t>
            </w:r>
          </w:p>
        </w:tc>
        <w:tc>
          <w:tcPr>
            <w:tcW w:w="8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00" w:type="dxa"/>
            <w:vAlign w:val="bottom"/>
            <w:shd w:val="clear" w:color="auto" w:fill="EAF9E8"/>
          </w:tcPr>
          <w:p>
            <w:pPr>
              <w:ind w:left="460"/>
              <w:spacing w:after="0"/>
              <w:rPr>
                <w:sz w:val="20"/>
                <w:szCs w:val="20"/>
                <w:color w:val="auto"/>
              </w:rPr>
            </w:pPr>
            <w:r>
              <w:rPr>
                <w:rFonts w:ascii="Arial" w:cs="Arial" w:eastAsia="Arial" w:hAnsi="Arial"/>
                <w:sz w:val="18"/>
                <w:szCs w:val="18"/>
                <w:color w:val="auto"/>
              </w:rPr>
              <w:t>net of tax of $(40)</w:t>
            </w:r>
          </w:p>
        </w:tc>
        <w:tc>
          <w:tcPr>
            <w:tcW w:w="88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19"/>
                <w:szCs w:val="19"/>
                <w:color w:val="auto"/>
              </w:rPr>
            </w:pPr>
          </w:p>
        </w:tc>
        <w:tc>
          <w:tcPr>
            <w:tcW w:w="800" w:type="dxa"/>
            <w:vAlign w:val="bottom"/>
            <w:shd w:val="clear" w:color="auto" w:fill="EAF9E8"/>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19"/>
                <w:szCs w:val="19"/>
                <w:color w:val="auto"/>
              </w:rPr>
            </w:pPr>
          </w:p>
        </w:tc>
        <w:tc>
          <w:tcPr>
            <w:tcW w:w="82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9"/>
                <w:szCs w:val="19"/>
                <w:color w:val="auto"/>
              </w:rPr>
            </w:pPr>
          </w:p>
        </w:tc>
        <w:tc>
          <w:tcPr>
            <w:tcW w:w="1020" w:type="dxa"/>
            <w:vAlign w:val="bottom"/>
            <w:shd w:val="clear" w:color="auto" w:fill="EAF9E8"/>
          </w:tcPr>
          <w:p>
            <w:pPr>
              <w:jc w:val="right"/>
              <w:ind w:right="15"/>
              <w:spacing w:after="0"/>
              <w:rPr>
                <w:sz w:val="20"/>
                <w:szCs w:val="20"/>
                <w:color w:val="auto"/>
              </w:rPr>
            </w:pPr>
            <w:r>
              <w:rPr>
                <w:rFonts w:ascii="Arial" w:cs="Arial" w:eastAsia="Arial" w:hAnsi="Arial"/>
                <w:sz w:val="18"/>
                <w:szCs w:val="18"/>
                <w:color w:val="auto"/>
              </w:rPr>
              <w:t>(65)</w:t>
            </w: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00" w:type="dxa"/>
            <w:vAlign w:val="bottom"/>
            <w:vMerge w:val="restart"/>
          </w:tcPr>
          <w:p>
            <w:pPr>
              <w:ind w:left="620"/>
              <w:spacing w:after="0"/>
              <w:rPr>
                <w:sz w:val="20"/>
                <w:szCs w:val="20"/>
                <w:color w:val="auto"/>
              </w:rPr>
            </w:pPr>
            <w:r>
              <w:rPr>
                <w:rFonts w:ascii="Arial" w:cs="Arial" w:eastAsia="Arial" w:hAnsi="Arial"/>
                <w:sz w:val="18"/>
                <w:szCs w:val="18"/>
                <w:b w:val="1"/>
                <w:bCs w:val="1"/>
                <w:color w:val="auto"/>
              </w:rPr>
              <w:t>Total comprehensive</w:t>
            </w: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00" w:type="dxa"/>
            <w:vAlign w:val="bottom"/>
          </w:tcPr>
          <w:p>
            <w:pPr>
              <w:ind w:left="760"/>
              <w:spacing w:after="0"/>
              <w:rPr>
                <w:sz w:val="20"/>
                <w:szCs w:val="20"/>
                <w:color w:val="auto"/>
              </w:rPr>
            </w:pPr>
            <w:r>
              <w:rPr>
                <w:rFonts w:ascii="Arial" w:cs="Arial" w:eastAsia="Arial" w:hAnsi="Arial"/>
                <w:sz w:val="18"/>
                <w:szCs w:val="18"/>
                <w:b w:val="1"/>
                <w:bCs w:val="1"/>
                <w:color w:val="auto"/>
              </w:rPr>
              <w:t>income</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10,566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Dividends declared</w:t>
            </w:r>
          </w:p>
        </w:tc>
        <w:tc>
          <w:tcPr>
            <w:tcW w:w="8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00" w:type="dxa"/>
            <w:vAlign w:val="bottom"/>
            <w:shd w:val="clear" w:color="auto" w:fill="EAF9E8"/>
          </w:tcPr>
          <w:p>
            <w:pPr>
              <w:ind w:left="300"/>
              <w:spacing w:after="0"/>
              <w:rPr>
                <w:sz w:val="20"/>
                <w:szCs w:val="20"/>
                <w:color w:val="auto"/>
              </w:rPr>
            </w:pPr>
            <w:r>
              <w:rPr>
                <w:rFonts w:ascii="Arial" w:cs="Arial" w:eastAsia="Arial" w:hAnsi="Arial"/>
                <w:sz w:val="18"/>
                <w:szCs w:val="18"/>
                <w:color w:val="auto"/>
              </w:rPr>
              <w:t>($0.46 per share)</w:t>
            </w:r>
          </w:p>
        </w:tc>
        <w:tc>
          <w:tcPr>
            <w:tcW w:w="88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19"/>
                <w:szCs w:val="19"/>
                <w:color w:val="auto"/>
              </w:rPr>
            </w:pPr>
          </w:p>
        </w:tc>
        <w:tc>
          <w:tcPr>
            <w:tcW w:w="800" w:type="dxa"/>
            <w:vAlign w:val="bottom"/>
            <w:shd w:val="clear" w:color="auto" w:fill="EAF9E8"/>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19"/>
                <w:szCs w:val="19"/>
                <w:color w:val="auto"/>
              </w:rPr>
            </w:pPr>
          </w:p>
        </w:tc>
        <w:tc>
          <w:tcPr>
            <w:tcW w:w="82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(3,532)</w:t>
            </w:r>
          </w:p>
        </w:tc>
        <w:tc>
          <w:tcPr>
            <w:tcW w:w="200" w:type="dxa"/>
            <w:vAlign w:val="bottom"/>
            <w:shd w:val="clear" w:color="auto" w:fill="EAF9E8"/>
          </w:tcPr>
          <w:p>
            <w:pPr>
              <w:spacing w:after="0"/>
              <w:rPr>
                <w:sz w:val="19"/>
                <w:szCs w:val="19"/>
                <w:color w:val="auto"/>
              </w:rPr>
            </w:pPr>
          </w:p>
        </w:tc>
        <w:tc>
          <w:tcPr>
            <w:tcW w:w="1020" w:type="dxa"/>
            <w:vAlign w:val="bottom"/>
            <w:shd w:val="clear" w:color="auto" w:fill="EAF9E8"/>
          </w:tcPr>
          <w:p>
            <w:pPr>
              <w:jc w:val="right"/>
              <w:ind w:right="75"/>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140"/>
              <w:spacing w:after="0"/>
              <w:rPr>
                <w:sz w:val="20"/>
                <w:szCs w:val="20"/>
                <w:color w:val="auto"/>
              </w:rPr>
            </w:pPr>
            <w:r>
              <w:rPr>
                <w:rFonts w:ascii="Arial" w:cs="Arial" w:eastAsia="Arial" w:hAnsi="Arial"/>
                <w:sz w:val="18"/>
                <w:szCs w:val="18"/>
                <w:color w:val="auto"/>
              </w:rPr>
              <w:t>Stock based compensation</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347</w:t>
            </w:r>
          </w:p>
        </w:tc>
        <w:tc>
          <w:tcPr>
            <w:tcW w:w="240" w:type="dxa"/>
            <w:vAlign w:val="bottom"/>
          </w:tcPr>
          <w:p>
            <w:pPr>
              <w:spacing w:after="0"/>
              <w:rPr>
                <w:sz w:val="18"/>
                <w:szCs w:val="18"/>
                <w:color w:val="auto"/>
              </w:rPr>
            </w:pPr>
          </w:p>
        </w:tc>
        <w:tc>
          <w:tcPr>
            <w:tcW w:w="8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Common stock issued through</w:t>
            </w:r>
          </w:p>
        </w:tc>
        <w:tc>
          <w:tcPr>
            <w:tcW w:w="8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EAF9E8"/>
          </w:tcPr>
          <w:p>
            <w:pPr>
              <w:ind w:left="300"/>
              <w:spacing w:after="0"/>
              <w:rPr>
                <w:sz w:val="20"/>
                <w:szCs w:val="20"/>
                <w:color w:val="auto"/>
              </w:rPr>
            </w:pPr>
            <w:r>
              <w:rPr>
                <w:rFonts w:ascii="Arial" w:cs="Arial" w:eastAsia="Arial" w:hAnsi="Arial"/>
                <w:sz w:val="18"/>
                <w:szCs w:val="18"/>
                <w:color w:val="auto"/>
              </w:rPr>
              <w:t>exercise of incentive stock</w:t>
            </w:r>
          </w:p>
        </w:tc>
        <w:tc>
          <w:tcPr>
            <w:tcW w:w="8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00" w:type="dxa"/>
            <w:vAlign w:val="bottom"/>
            <w:shd w:val="clear" w:color="auto" w:fill="EAF9E8"/>
          </w:tcPr>
          <w:p>
            <w:pPr>
              <w:ind w:left="300"/>
              <w:spacing w:after="0"/>
              <w:rPr>
                <w:sz w:val="20"/>
                <w:szCs w:val="20"/>
                <w:color w:val="auto"/>
              </w:rPr>
            </w:pPr>
            <w:r>
              <w:rPr>
                <w:rFonts w:ascii="Arial" w:cs="Arial" w:eastAsia="Arial" w:hAnsi="Arial"/>
                <w:sz w:val="18"/>
                <w:szCs w:val="18"/>
                <w:color w:val="auto"/>
              </w:rPr>
              <w:t>options</w:t>
            </w:r>
          </w:p>
        </w:tc>
        <w:tc>
          <w:tcPr>
            <w:tcW w:w="88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57</w:t>
            </w:r>
          </w:p>
        </w:tc>
        <w:tc>
          <w:tcPr>
            <w:tcW w:w="240" w:type="dxa"/>
            <w:vAlign w:val="bottom"/>
            <w:shd w:val="clear" w:color="auto" w:fill="EAF9E8"/>
          </w:tcPr>
          <w:p>
            <w:pPr>
              <w:spacing w:after="0"/>
              <w:rPr>
                <w:sz w:val="19"/>
                <w:szCs w:val="19"/>
                <w:color w:val="auto"/>
              </w:rPr>
            </w:pPr>
          </w:p>
        </w:tc>
        <w:tc>
          <w:tcPr>
            <w:tcW w:w="800" w:type="dxa"/>
            <w:vAlign w:val="bottom"/>
            <w:shd w:val="clear" w:color="auto" w:fill="EAF9E8"/>
          </w:tcPr>
          <w:p>
            <w:pPr>
              <w:jc w:val="right"/>
              <w:ind w:right="54"/>
              <w:spacing w:after="0"/>
              <w:rPr>
                <w:sz w:val="20"/>
                <w:szCs w:val="20"/>
                <w:color w:val="auto"/>
              </w:rPr>
            </w:pPr>
            <w:r>
              <w:rPr>
                <w:rFonts w:ascii="Arial" w:cs="Arial" w:eastAsia="Arial" w:hAnsi="Arial"/>
                <w:sz w:val="18"/>
                <w:szCs w:val="18"/>
                <w:color w:val="auto"/>
              </w:rPr>
              <w:t>1,169</w:t>
            </w:r>
          </w:p>
        </w:tc>
        <w:tc>
          <w:tcPr>
            <w:tcW w:w="240" w:type="dxa"/>
            <w:vAlign w:val="bottom"/>
            <w:shd w:val="clear" w:color="auto" w:fill="EAF9E8"/>
          </w:tcPr>
          <w:p>
            <w:pPr>
              <w:spacing w:after="0"/>
              <w:rPr>
                <w:sz w:val="19"/>
                <w:szCs w:val="19"/>
                <w:color w:val="auto"/>
              </w:rPr>
            </w:pPr>
          </w:p>
        </w:tc>
        <w:tc>
          <w:tcPr>
            <w:tcW w:w="82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9"/>
                <w:szCs w:val="19"/>
                <w:color w:val="auto"/>
              </w:rPr>
            </w:pPr>
          </w:p>
        </w:tc>
        <w:tc>
          <w:tcPr>
            <w:tcW w:w="1020" w:type="dxa"/>
            <w:vAlign w:val="bottom"/>
            <w:shd w:val="clear" w:color="auto" w:fill="EAF9E8"/>
          </w:tcPr>
          <w:p>
            <w:pPr>
              <w:jc w:val="right"/>
              <w:ind w:right="75"/>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74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1,169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00" w:type="dxa"/>
            <w:vAlign w:val="bottom"/>
          </w:tcPr>
          <w:p>
            <w:pPr>
              <w:ind w:left="140"/>
              <w:spacing w:after="0"/>
              <w:rPr>
                <w:sz w:val="20"/>
                <w:szCs w:val="20"/>
                <w:color w:val="auto"/>
              </w:rPr>
            </w:pPr>
            <w:r>
              <w:rPr>
                <w:rFonts w:ascii="Arial" w:cs="Arial" w:eastAsia="Arial" w:hAnsi="Arial"/>
                <w:sz w:val="18"/>
                <w:szCs w:val="18"/>
                <w:color w:val="auto"/>
              </w:rPr>
              <w:t>Excess tax benefit from stock</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00" w:type="dxa"/>
            <w:vAlign w:val="bottom"/>
          </w:tcPr>
          <w:p>
            <w:pPr>
              <w:ind w:left="300"/>
              <w:spacing w:after="0"/>
              <w:rPr>
                <w:sz w:val="20"/>
                <w:szCs w:val="20"/>
                <w:color w:val="auto"/>
              </w:rPr>
            </w:pPr>
            <w:r>
              <w:rPr>
                <w:rFonts w:ascii="Arial" w:cs="Arial" w:eastAsia="Arial" w:hAnsi="Arial"/>
                <w:sz w:val="18"/>
                <w:szCs w:val="18"/>
                <w:color w:val="auto"/>
              </w:rPr>
              <w:t>options exercised</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293</w:t>
            </w:r>
          </w:p>
        </w:tc>
        <w:tc>
          <w:tcPr>
            <w:tcW w:w="240" w:type="dxa"/>
            <w:vAlign w:val="bottom"/>
          </w:tcPr>
          <w:p>
            <w:pPr>
              <w:spacing w:after="0"/>
              <w:rPr>
                <w:sz w:val="19"/>
                <w:szCs w:val="19"/>
                <w:color w:val="auto"/>
              </w:rPr>
            </w:pPr>
          </w:p>
        </w:tc>
        <w:tc>
          <w:tcPr>
            <w:tcW w:w="8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584" w:right="1440" w:bottom="0" w:gutter="0" w:footer="0" w:header="0"/>
        </w:sectPr>
      </w:pPr>
    </w:p>
    <w:bookmarkStart w:id="78" w:name="page79"/>
    <w:bookmarkEnd w:id="78"/>
    <w:p>
      <w:pPr>
        <w:ind w:left="160"/>
        <w:spacing w:after="0"/>
        <w:tabs>
          <w:tab w:leader="none" w:pos="3260" w:val="left"/>
          <w:tab w:leader="none" w:pos="3900" w:val="left"/>
          <w:tab w:leader="none" w:pos="4300" w:val="left"/>
          <w:tab w:leader="none" w:pos="4940" w:val="left"/>
          <w:tab w:leader="none" w:pos="5980" w:val="left"/>
          <w:tab w:leader="none" w:pos="6620" w:val="left"/>
          <w:tab w:leader="none" w:pos="7200" w:val="left"/>
          <w:tab w:leader="none" w:pos="7420" w:val="left"/>
        </w:tabs>
        <w:rPr>
          <w:sz w:val="20"/>
          <w:szCs w:val="20"/>
          <w:color w:val="auto"/>
        </w:rPr>
      </w:pPr>
      <w:r>
        <w:rPr>
          <w:rFonts w:ascii="Arial" w:cs="Arial" w:eastAsia="Arial" w:hAnsi="Arial"/>
          <w:sz w:val="18"/>
          <w:szCs w:val="18"/>
          <w:color w:val="auto"/>
        </w:rPr>
        <w:t>Balance, December 31, 2005</w:t>
      </w:r>
      <w:r>
        <w:rPr>
          <w:sz w:val="20"/>
          <w:szCs w:val="20"/>
          <w:color w:val="auto"/>
        </w:rPr>
        <w:tab/>
      </w:r>
      <w:r>
        <w:rPr>
          <w:rFonts w:ascii="Arial" w:cs="Arial" w:eastAsia="Arial" w:hAnsi="Arial"/>
          <w:sz w:val="18"/>
          <w:szCs w:val="18"/>
          <w:color w:val="auto"/>
        </w:rPr>
        <w:t>7,687</w:t>
        <w:tab/>
        <w:t>$</w:t>
      </w:r>
      <w:r>
        <w:rPr>
          <w:sz w:val="20"/>
          <w:szCs w:val="20"/>
          <w:color w:val="auto"/>
        </w:rPr>
        <w:tab/>
      </w:r>
      <w:r>
        <w:rPr>
          <w:rFonts w:ascii="Arial" w:cs="Arial" w:eastAsia="Arial" w:hAnsi="Arial"/>
          <w:sz w:val="18"/>
          <w:szCs w:val="18"/>
          <w:color w:val="auto"/>
        </w:rPr>
        <w:t>8,128</w:t>
        <w:tab/>
        <w:t>$  113,576</w:t>
        <w:tab/>
        <w:t>$</w:t>
      </w:r>
      <w:r>
        <w:rPr>
          <w:sz w:val="20"/>
          <w:szCs w:val="20"/>
          <w:color w:val="auto"/>
        </w:rPr>
        <w:tab/>
      </w:r>
      <w:r>
        <w:rPr>
          <w:rFonts w:ascii="Arial" w:cs="Arial" w:eastAsia="Arial" w:hAnsi="Arial"/>
          <w:sz w:val="18"/>
          <w:szCs w:val="18"/>
          <w:color w:val="auto"/>
        </w:rPr>
        <w:t>(104)</w:t>
        <w:tab/>
        <w:t>$</w:t>
      </w:r>
      <w:r>
        <w:rPr>
          <w:sz w:val="20"/>
          <w:szCs w:val="20"/>
          <w:color w:val="auto"/>
        </w:rPr>
        <w:tab/>
      </w:r>
      <w:r>
        <w:rPr>
          <w:rFonts w:ascii="Arial" w:cs="Arial" w:eastAsia="Arial" w:hAnsi="Arial"/>
          <w:sz w:val="16"/>
          <w:szCs w:val="16"/>
          <w:color w:val="auto"/>
        </w:rPr>
        <w:t>121,600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145405" cy="1371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145405" cy="13716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77470</wp:posOffset>
            </wp:positionV>
            <wp:extent cx="3322955"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32295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280" w:right="1440" w:bottom="1440" w:gutter="0" w:footer="0" w:header="0"/>
        </w:sectPr>
      </w:pPr>
    </w:p>
    <w:bookmarkStart w:id="79" w:name="page80"/>
    <w:bookmarkEnd w:id="79"/>
    <w:p>
      <w:pPr>
        <w:ind w:right="4079"/>
        <w:spacing w:after="0" w:line="257" w:lineRule="auto"/>
        <w:rPr>
          <w:sz w:val="20"/>
          <w:szCs w:val="20"/>
          <w:color w:val="auto"/>
        </w:rPr>
      </w:pPr>
      <w:r>
        <w:rPr>
          <w:rFonts w:ascii="Arial" w:cs="Arial" w:eastAsia="Arial" w:hAnsi="Arial"/>
          <w:sz w:val="18"/>
          <w:szCs w:val="18"/>
          <w:b w:val="1"/>
          <w:bCs w:val="1"/>
          <w:color w:val="auto"/>
        </w:rPr>
        <w:t>SHENANDOAH TELECOMMUNICATIONS COMPANY AND SUBSIDIARIES CONSOLIDATED STATEMENTS OF CASH FLOWS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2005, 2004 (Restated) and 2003 (Restated)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53"/>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5"/>
                <w:szCs w:val="15"/>
                <w:color w:val="auto"/>
              </w:rPr>
            </w:pPr>
          </w:p>
        </w:tc>
        <w:tc>
          <w:tcPr>
            <w:tcW w:w="800" w:type="dxa"/>
            <w:vAlign w:val="bottom"/>
          </w:tcPr>
          <w:p>
            <w:pPr>
              <w:jc w:val="right"/>
              <w:ind w:right="74"/>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5"/>
                <w:szCs w:val="15"/>
                <w:color w:val="auto"/>
              </w:rPr>
            </w:pPr>
          </w:p>
        </w:tc>
        <w:tc>
          <w:tcPr>
            <w:tcW w:w="740" w:type="dxa"/>
            <w:vAlign w:val="bottom"/>
          </w:tcPr>
          <w:p>
            <w:pPr>
              <w:jc w:val="right"/>
              <w:ind w:right="1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74"/>
              <w:spacing w:after="0"/>
              <w:rPr>
                <w:sz w:val="20"/>
                <w:szCs w:val="20"/>
                <w:color w:val="auto"/>
              </w:rPr>
            </w:pPr>
            <w:r>
              <w:rPr>
                <w:rFonts w:ascii="Arial" w:cs="Arial" w:eastAsia="Arial" w:hAnsi="Arial"/>
                <w:sz w:val="14"/>
                <w:szCs w:val="14"/>
                <w:b w:val="1"/>
                <w:bCs w:val="1"/>
                <w:color w:val="auto"/>
                <w:w w:val="90"/>
              </w:rPr>
              <w:t>(Restated)</w:t>
            </w:r>
          </w:p>
        </w:tc>
        <w:tc>
          <w:tcPr>
            <w:tcW w:w="240" w:type="dxa"/>
            <w:vAlign w:val="bottom"/>
          </w:tcPr>
          <w:p>
            <w:pPr>
              <w:spacing w:after="0"/>
              <w:rPr>
                <w:sz w:val="21"/>
                <w:szCs w:val="21"/>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AF9E8"/>
          </w:tcPr>
          <w:p>
            <w:pPr>
              <w:spacing w:after="0"/>
              <w:rPr>
                <w:sz w:val="20"/>
                <w:szCs w:val="20"/>
                <w:color w:val="auto"/>
              </w:rPr>
            </w:pPr>
            <w:r>
              <w:rPr>
                <w:rFonts w:ascii="Arial" w:cs="Arial" w:eastAsia="Arial" w:hAnsi="Arial"/>
                <w:sz w:val="18"/>
                <w:szCs w:val="18"/>
                <w:color w:val="auto"/>
                <w:w w:val="98"/>
              </w:rPr>
              <w:t>Cash Flows from Operating Activities from Continuing Operations</w:t>
            </w:r>
          </w:p>
        </w:tc>
        <w:tc>
          <w:tcPr>
            <w:tcW w:w="16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10,735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4"/>
              <w:spacing w:after="0"/>
              <w:rPr>
                <w:sz w:val="20"/>
                <w:szCs w:val="20"/>
                <w:color w:val="auto"/>
              </w:rPr>
            </w:pPr>
            <w:r>
              <w:rPr>
                <w:rFonts w:ascii="Arial" w:cs="Arial" w:eastAsia="Arial" w:hAnsi="Arial"/>
                <w:sz w:val="18"/>
                <w:szCs w:val="18"/>
                <w:color w:val="auto"/>
              </w:rPr>
              <w:t>10,038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31,852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Adjustments to reconcile net income to net cash provided by</w:t>
            </w:r>
          </w:p>
        </w:tc>
        <w:tc>
          <w:tcPr>
            <w:tcW w:w="16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operating activities from continuing operations:</w:t>
            </w:r>
          </w:p>
        </w:tc>
        <w:tc>
          <w:tcPr>
            <w:tcW w:w="160" w:type="dxa"/>
            <w:vAlign w:val="bottom"/>
            <w:shd w:val="clear" w:color="auto" w:fill="EAF9E8"/>
          </w:tcPr>
          <w:p>
            <w:pPr>
              <w:spacing w:after="0"/>
              <w:rPr>
                <w:sz w:val="19"/>
                <w:szCs w:val="19"/>
                <w:color w:val="auto"/>
              </w:rPr>
            </w:pPr>
          </w:p>
        </w:tc>
        <w:tc>
          <w:tcPr>
            <w:tcW w:w="76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740" w:type="dxa"/>
            <w:vAlign w:val="bottom"/>
            <w:shd w:val="clear" w:color="auto" w:fill="EAF9E8"/>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00"/>
              <w:spacing w:after="0"/>
              <w:rPr>
                <w:sz w:val="20"/>
                <w:szCs w:val="20"/>
                <w:color w:val="auto"/>
              </w:rPr>
            </w:pPr>
            <w:r>
              <w:rPr>
                <w:rFonts w:ascii="Arial" w:cs="Arial" w:eastAsia="Arial" w:hAnsi="Arial"/>
                <w:sz w:val="18"/>
                <w:szCs w:val="18"/>
                <w:color w:val="auto"/>
              </w:rPr>
              <w:t>Income from discontinued operations</w:t>
            </w:r>
          </w:p>
        </w:tc>
        <w:tc>
          <w:tcPr>
            <w:tcW w:w="16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AF9E8"/>
          </w:tcPr>
          <w:p>
            <w:pPr>
              <w:ind w:left="300"/>
              <w:spacing w:after="0"/>
              <w:rPr>
                <w:sz w:val="20"/>
                <w:szCs w:val="20"/>
                <w:color w:val="auto"/>
              </w:rPr>
            </w:pPr>
            <w:r>
              <w:rPr>
                <w:rFonts w:ascii="Arial" w:cs="Arial" w:eastAsia="Arial" w:hAnsi="Arial"/>
                <w:sz w:val="18"/>
                <w:szCs w:val="18"/>
                <w:color w:val="auto"/>
              </w:rPr>
              <w:t>Cumulative effect of change in accounting principle</w:t>
            </w:r>
          </w:p>
        </w:tc>
        <w:tc>
          <w:tcPr>
            <w:tcW w:w="160" w:type="dxa"/>
            <w:vAlign w:val="bottom"/>
            <w:shd w:val="clear" w:color="auto" w:fill="EAF9E8"/>
          </w:tcPr>
          <w:p>
            <w:pPr>
              <w:spacing w:after="0"/>
              <w:rPr>
                <w:sz w:val="18"/>
                <w:szCs w:val="18"/>
                <w:color w:val="auto"/>
              </w:rPr>
            </w:pPr>
          </w:p>
        </w:tc>
        <w:tc>
          <w:tcPr>
            <w:tcW w:w="76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0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21,920</w:t>
            </w:r>
          </w:p>
        </w:tc>
        <w:tc>
          <w:tcPr>
            <w:tcW w:w="240" w:type="dxa"/>
            <w:vAlign w:val="bottom"/>
          </w:tcPr>
          <w:p>
            <w:pPr>
              <w:spacing w:after="0"/>
              <w:rPr>
                <w:sz w:val="18"/>
                <w:szCs w:val="18"/>
                <w:color w:val="auto"/>
              </w:rPr>
            </w:pPr>
          </w:p>
        </w:tc>
        <w:tc>
          <w:tcPr>
            <w:tcW w:w="800" w:type="dxa"/>
            <w:vAlign w:val="bottom"/>
          </w:tcPr>
          <w:p>
            <w:pPr>
              <w:jc w:val="right"/>
              <w:ind w:right="74"/>
              <w:spacing w:after="0"/>
              <w:rPr>
                <w:sz w:val="20"/>
                <w:szCs w:val="20"/>
                <w:color w:val="auto"/>
              </w:rPr>
            </w:pPr>
            <w:r>
              <w:rPr>
                <w:rFonts w:ascii="Arial" w:cs="Arial" w:eastAsia="Arial" w:hAnsi="Arial"/>
                <w:sz w:val="18"/>
                <w:szCs w:val="18"/>
                <w:color w:val="auto"/>
              </w:rPr>
              <w:t>18,976</w:t>
            </w:r>
          </w:p>
        </w:tc>
        <w:tc>
          <w:tcPr>
            <w:tcW w:w="240" w:type="dxa"/>
            <w:vAlign w:val="bottom"/>
          </w:tcPr>
          <w:p>
            <w:pPr>
              <w:spacing w:after="0"/>
              <w:rPr>
                <w:sz w:val="18"/>
                <w:szCs w:val="18"/>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16,612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AF9E8"/>
          </w:tcPr>
          <w:p>
            <w:pPr>
              <w:ind w:left="30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EAF9E8"/>
          </w:tcPr>
          <w:p>
            <w:pPr>
              <w:spacing w:after="0"/>
              <w:rPr>
                <w:sz w:val="18"/>
                <w:szCs w:val="18"/>
                <w:color w:val="auto"/>
              </w:rPr>
            </w:pPr>
          </w:p>
        </w:tc>
        <w:tc>
          <w:tcPr>
            <w:tcW w:w="76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462</w:t>
            </w:r>
          </w:p>
        </w:tc>
        <w:tc>
          <w:tcPr>
            <w:tcW w:w="2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44</w:t>
            </w:r>
          </w:p>
        </w:tc>
        <w:tc>
          <w:tcPr>
            <w:tcW w:w="24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00"/>
              <w:spacing w:after="0"/>
              <w:rPr>
                <w:sz w:val="20"/>
                <w:szCs w:val="20"/>
                <w:color w:val="auto"/>
              </w:rPr>
            </w:pPr>
            <w:r>
              <w:rPr>
                <w:rFonts w:ascii="Arial" w:cs="Arial" w:eastAsia="Arial" w:hAnsi="Arial"/>
                <w:sz w:val="18"/>
                <w:szCs w:val="18"/>
                <w:color w:val="auto"/>
              </w:rPr>
              <w:t>Stock based compensation expense</w:t>
            </w:r>
          </w:p>
        </w:tc>
        <w:tc>
          <w:tcPr>
            <w:tcW w:w="16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347</w:t>
            </w:r>
          </w:p>
        </w:tc>
        <w:tc>
          <w:tcPr>
            <w:tcW w:w="240" w:type="dxa"/>
            <w:vAlign w:val="bottom"/>
          </w:tcPr>
          <w:p>
            <w:pPr>
              <w:spacing w:after="0"/>
              <w:rPr>
                <w:sz w:val="18"/>
                <w:szCs w:val="18"/>
                <w:color w:val="auto"/>
              </w:rPr>
            </w:pPr>
          </w:p>
        </w:tc>
        <w:tc>
          <w:tcPr>
            <w:tcW w:w="80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AF9E8"/>
          </w:tcPr>
          <w:p>
            <w:pPr>
              <w:ind w:left="30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EAF9E8"/>
          </w:tcPr>
          <w:p>
            <w:pPr>
              <w:spacing w:after="0"/>
              <w:rPr>
                <w:sz w:val="18"/>
                <w:szCs w:val="18"/>
                <w:color w:val="auto"/>
              </w:rPr>
            </w:pPr>
          </w:p>
        </w:tc>
        <w:tc>
          <w:tcPr>
            <w:tcW w:w="76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(1,511)</w:t>
            </w:r>
          </w:p>
        </w:tc>
        <w:tc>
          <w:tcPr>
            <w:tcW w:w="2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5,803</w:t>
            </w:r>
          </w:p>
        </w:tc>
        <w:tc>
          <w:tcPr>
            <w:tcW w:w="24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5,527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00"/>
              <w:spacing w:after="0"/>
              <w:rPr>
                <w:sz w:val="20"/>
                <w:szCs w:val="20"/>
                <w:color w:val="auto"/>
              </w:rPr>
            </w:pPr>
            <w:r>
              <w:rPr>
                <w:rFonts w:ascii="Arial" w:cs="Arial" w:eastAsia="Arial" w:hAnsi="Arial"/>
                <w:sz w:val="18"/>
                <w:szCs w:val="18"/>
                <w:color w:val="auto"/>
              </w:rPr>
              <w:t>Loss on disposal of assets</w:t>
            </w:r>
          </w:p>
        </w:tc>
        <w:tc>
          <w:tcPr>
            <w:tcW w:w="16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383</w:t>
            </w:r>
          </w:p>
        </w:tc>
        <w:tc>
          <w:tcPr>
            <w:tcW w:w="240" w:type="dxa"/>
            <w:vAlign w:val="bottom"/>
          </w:tcPr>
          <w:p>
            <w:pPr>
              <w:spacing w:after="0"/>
              <w:rPr>
                <w:sz w:val="18"/>
                <w:szCs w:val="18"/>
                <w:color w:val="auto"/>
              </w:rPr>
            </w:pPr>
          </w:p>
        </w:tc>
        <w:tc>
          <w:tcPr>
            <w:tcW w:w="800" w:type="dxa"/>
            <w:vAlign w:val="bottom"/>
          </w:tcPr>
          <w:p>
            <w:pPr>
              <w:jc w:val="right"/>
              <w:ind w:right="74"/>
              <w:spacing w:after="0"/>
              <w:rPr>
                <w:sz w:val="20"/>
                <w:szCs w:val="20"/>
                <w:color w:val="auto"/>
              </w:rPr>
            </w:pPr>
            <w:r>
              <w:rPr>
                <w:rFonts w:ascii="Arial" w:cs="Arial" w:eastAsia="Arial" w:hAnsi="Arial"/>
                <w:sz w:val="18"/>
                <w:szCs w:val="18"/>
                <w:color w:val="auto"/>
              </w:rPr>
              <w:t>1,251</w:t>
            </w:r>
          </w:p>
        </w:tc>
        <w:tc>
          <w:tcPr>
            <w:tcW w:w="240" w:type="dxa"/>
            <w:vAlign w:val="bottom"/>
          </w:tcPr>
          <w:p>
            <w:pPr>
              <w:spacing w:after="0"/>
              <w:rPr>
                <w:sz w:val="18"/>
                <w:szCs w:val="18"/>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AF9E8"/>
          </w:tcPr>
          <w:p>
            <w:pPr>
              <w:ind w:left="300"/>
              <w:spacing w:after="0"/>
              <w:rPr>
                <w:sz w:val="20"/>
                <w:szCs w:val="20"/>
                <w:color w:val="auto"/>
              </w:rPr>
            </w:pPr>
            <w:r>
              <w:rPr>
                <w:rFonts w:ascii="Arial" w:cs="Arial" w:eastAsia="Arial" w:hAnsi="Arial"/>
                <w:sz w:val="18"/>
                <w:szCs w:val="18"/>
                <w:color w:val="auto"/>
              </w:rPr>
              <w:t>Net (gain) loss on disposal of investments</w:t>
            </w:r>
          </w:p>
        </w:tc>
        <w:tc>
          <w:tcPr>
            <w:tcW w:w="160" w:type="dxa"/>
            <w:vAlign w:val="bottom"/>
            <w:shd w:val="clear" w:color="auto" w:fill="EAF9E8"/>
          </w:tcPr>
          <w:p>
            <w:pPr>
              <w:spacing w:after="0"/>
              <w:rPr>
                <w:sz w:val="18"/>
                <w:szCs w:val="18"/>
                <w:color w:val="auto"/>
              </w:rPr>
            </w:pPr>
          </w:p>
        </w:tc>
        <w:tc>
          <w:tcPr>
            <w:tcW w:w="76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(74)</w:t>
            </w:r>
          </w:p>
        </w:tc>
        <w:tc>
          <w:tcPr>
            <w:tcW w:w="2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(144)</w:t>
            </w:r>
          </w:p>
        </w:tc>
        <w:tc>
          <w:tcPr>
            <w:tcW w:w="24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00"/>
              <w:spacing w:after="0"/>
              <w:rPr>
                <w:sz w:val="20"/>
                <w:szCs w:val="20"/>
                <w:color w:val="auto"/>
              </w:rPr>
            </w:pPr>
            <w:r>
              <w:rPr>
                <w:rFonts w:ascii="Arial" w:cs="Arial" w:eastAsia="Arial" w:hAnsi="Arial"/>
                <w:sz w:val="18"/>
                <w:szCs w:val="18"/>
                <w:color w:val="auto"/>
              </w:rPr>
              <w:t>Net (gain) loss from patronage and equity investments</w:t>
            </w:r>
          </w:p>
        </w:tc>
        <w:tc>
          <w:tcPr>
            <w:tcW w:w="16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800" w:type="dxa"/>
            <w:vAlign w:val="bottom"/>
          </w:tcPr>
          <w:p>
            <w:pPr>
              <w:jc w:val="right"/>
              <w:ind w:right="74"/>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AF9E8"/>
          </w:tcPr>
          <w:p>
            <w:pPr>
              <w:ind w:left="30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EAF9E8"/>
          </w:tcPr>
          <w:p>
            <w:pPr>
              <w:spacing w:after="0"/>
              <w:rPr>
                <w:sz w:val="18"/>
                <w:szCs w:val="18"/>
                <w:color w:val="auto"/>
              </w:rPr>
            </w:pPr>
          </w:p>
        </w:tc>
        <w:tc>
          <w:tcPr>
            <w:tcW w:w="76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(962)</w:t>
            </w:r>
          </w:p>
        </w:tc>
        <w:tc>
          <w:tcPr>
            <w:tcW w:w="2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(777)</w:t>
            </w:r>
          </w:p>
        </w:tc>
        <w:tc>
          <w:tcPr>
            <w:tcW w:w="24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399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tcPr>
          <w:p>
            <w:pPr>
              <w:ind w:left="300"/>
              <w:spacing w:after="0"/>
              <w:rPr>
                <w:sz w:val="20"/>
                <w:szCs w:val="20"/>
                <w:color w:val="auto"/>
              </w:rPr>
            </w:pPr>
            <w:r>
              <w:rPr>
                <w:rFonts w:ascii="Arial" w:cs="Arial" w:eastAsia="Arial" w:hAnsi="Arial"/>
                <w:sz w:val="18"/>
                <w:szCs w:val="18"/>
                <w:color w:val="auto"/>
              </w:rPr>
              <w:t>Changes in assets and liabilities, exclusive of acquired</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460"/>
              <w:spacing w:after="0"/>
              <w:rPr>
                <w:sz w:val="20"/>
                <w:szCs w:val="20"/>
                <w:color w:val="auto"/>
              </w:rPr>
            </w:pPr>
            <w:r>
              <w:rPr>
                <w:rFonts w:ascii="Arial" w:cs="Arial" w:eastAsia="Arial" w:hAnsi="Arial"/>
                <w:sz w:val="18"/>
                <w:szCs w:val="18"/>
                <w:color w:val="auto"/>
              </w:rPr>
              <w:t>businesses:</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shd w:val="clear" w:color="auto" w:fill="EAF9E8"/>
          </w:tcPr>
          <w:p>
            <w:pPr>
              <w:ind w:left="620"/>
              <w:spacing w:after="0"/>
              <w:rPr>
                <w:sz w:val="20"/>
                <w:szCs w:val="20"/>
                <w:color w:val="auto"/>
              </w:rPr>
            </w:pPr>
            <w:r>
              <w:rPr>
                <w:rFonts w:ascii="Arial" w:cs="Arial" w:eastAsia="Arial" w:hAnsi="Arial"/>
                <w:sz w:val="18"/>
                <w:szCs w:val="18"/>
                <w:color w:val="auto"/>
              </w:rPr>
              <w:t>(Increase) decrease in:</w:t>
            </w:r>
          </w:p>
        </w:tc>
        <w:tc>
          <w:tcPr>
            <w:tcW w:w="16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76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(2,374)</w:t>
            </w:r>
          </w:p>
        </w:tc>
        <w:tc>
          <w:tcPr>
            <w:tcW w:w="24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(2,140)</w:t>
            </w:r>
          </w:p>
        </w:tc>
        <w:tc>
          <w:tcPr>
            <w:tcW w:w="240" w:type="dxa"/>
            <w:vAlign w:val="bottom"/>
          </w:tcPr>
          <w:p>
            <w:pPr>
              <w:spacing w:after="0"/>
              <w:rPr>
                <w:sz w:val="18"/>
                <w:szCs w:val="18"/>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1,069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AF9E8"/>
          </w:tcPr>
          <w:p>
            <w:pPr>
              <w:ind w:left="760"/>
              <w:spacing w:after="0"/>
              <w:rPr>
                <w:sz w:val="20"/>
                <w:szCs w:val="20"/>
                <w:color w:val="auto"/>
              </w:rPr>
            </w:pPr>
            <w:r>
              <w:rPr>
                <w:rFonts w:ascii="Arial" w:cs="Arial" w:eastAsia="Arial" w:hAnsi="Arial"/>
                <w:sz w:val="18"/>
                <w:szCs w:val="18"/>
                <w:color w:val="auto"/>
              </w:rPr>
              <w:t>Materials and supplies</w:t>
            </w:r>
          </w:p>
        </w:tc>
        <w:tc>
          <w:tcPr>
            <w:tcW w:w="160" w:type="dxa"/>
            <w:vAlign w:val="bottom"/>
            <w:shd w:val="clear" w:color="auto" w:fill="EAF9E8"/>
          </w:tcPr>
          <w:p>
            <w:pPr>
              <w:spacing w:after="0"/>
              <w:rPr>
                <w:sz w:val="18"/>
                <w:szCs w:val="18"/>
                <w:color w:val="auto"/>
              </w:rPr>
            </w:pPr>
          </w:p>
        </w:tc>
        <w:tc>
          <w:tcPr>
            <w:tcW w:w="76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(589)</w:t>
            </w:r>
          </w:p>
        </w:tc>
        <w:tc>
          <w:tcPr>
            <w:tcW w:w="2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75</w:t>
            </w:r>
          </w:p>
        </w:tc>
        <w:tc>
          <w:tcPr>
            <w:tcW w:w="240" w:type="dxa"/>
            <w:vAlign w:val="bottom"/>
            <w:shd w:val="clear" w:color="auto" w:fill="EAF9E8"/>
          </w:tcPr>
          <w:p>
            <w:pPr>
              <w:spacing w:after="0"/>
              <w:rPr>
                <w:sz w:val="18"/>
                <w:szCs w:val="18"/>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620"/>
              <w:spacing w:after="0"/>
              <w:rPr>
                <w:sz w:val="20"/>
                <w:szCs w:val="20"/>
                <w:color w:val="auto"/>
              </w:rPr>
            </w:pPr>
            <w:r>
              <w:rPr>
                <w:rFonts w:ascii="Arial" w:cs="Arial" w:eastAsia="Arial" w:hAnsi="Arial"/>
                <w:sz w:val="18"/>
                <w:szCs w:val="18"/>
                <w:color w:val="auto"/>
              </w:rPr>
              <w:t>Increase (decrease) in:</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AF9E8"/>
          </w:tcPr>
          <w:p>
            <w:pPr>
              <w:ind w:left="7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EAF9E8"/>
          </w:tcPr>
          <w:p>
            <w:pPr>
              <w:spacing w:after="0"/>
              <w:rPr>
                <w:sz w:val="18"/>
                <w:szCs w:val="18"/>
                <w:color w:val="auto"/>
              </w:rPr>
            </w:pPr>
          </w:p>
        </w:tc>
        <w:tc>
          <w:tcPr>
            <w:tcW w:w="76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925</w:t>
            </w:r>
          </w:p>
        </w:tc>
        <w:tc>
          <w:tcPr>
            <w:tcW w:w="2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(172)</w:t>
            </w:r>
          </w:p>
        </w:tc>
        <w:tc>
          <w:tcPr>
            <w:tcW w:w="240" w:type="dxa"/>
            <w:vAlign w:val="bottom"/>
            <w:shd w:val="clear" w:color="auto" w:fill="EAF9E8"/>
          </w:tcPr>
          <w:p>
            <w:pPr>
              <w:spacing w:after="0"/>
              <w:rPr>
                <w:sz w:val="18"/>
                <w:szCs w:val="18"/>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760"/>
              <w:spacing w:after="0"/>
              <w:rPr>
                <w:sz w:val="20"/>
                <w:szCs w:val="20"/>
                <w:color w:val="auto"/>
              </w:rPr>
            </w:pPr>
            <w:r>
              <w:rPr>
                <w:rFonts w:ascii="Arial" w:cs="Arial" w:eastAsia="Arial" w:hAnsi="Arial"/>
                <w:sz w:val="18"/>
                <w:szCs w:val="18"/>
                <w:color w:val="auto"/>
              </w:rPr>
              <w:t>Deferred lease payable</w:t>
            </w:r>
          </w:p>
        </w:tc>
        <w:tc>
          <w:tcPr>
            <w:tcW w:w="16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353</w:t>
            </w:r>
          </w:p>
        </w:tc>
        <w:tc>
          <w:tcPr>
            <w:tcW w:w="240" w:type="dxa"/>
            <w:vAlign w:val="bottom"/>
          </w:tcPr>
          <w:p>
            <w:pPr>
              <w:spacing w:after="0"/>
              <w:rPr>
                <w:sz w:val="18"/>
                <w:szCs w:val="18"/>
                <w:color w:val="auto"/>
              </w:rPr>
            </w:pPr>
          </w:p>
        </w:tc>
        <w:tc>
          <w:tcPr>
            <w:tcW w:w="800" w:type="dxa"/>
            <w:vAlign w:val="bottom"/>
          </w:tcPr>
          <w:p>
            <w:pPr>
              <w:jc w:val="right"/>
              <w:ind w:right="74"/>
              <w:spacing w:after="0"/>
              <w:rPr>
                <w:sz w:val="20"/>
                <w:szCs w:val="20"/>
                <w:color w:val="auto"/>
              </w:rPr>
            </w:pPr>
            <w:r>
              <w:rPr>
                <w:rFonts w:ascii="Arial" w:cs="Arial" w:eastAsia="Arial" w:hAnsi="Arial"/>
                <w:sz w:val="18"/>
                <w:szCs w:val="18"/>
                <w:color w:val="auto"/>
              </w:rPr>
              <w:t>382</w:t>
            </w:r>
          </w:p>
        </w:tc>
        <w:tc>
          <w:tcPr>
            <w:tcW w:w="240" w:type="dxa"/>
            <w:vAlign w:val="bottom"/>
          </w:tcPr>
          <w:p>
            <w:pPr>
              <w:spacing w:after="0"/>
              <w:rPr>
                <w:sz w:val="18"/>
                <w:szCs w:val="18"/>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AF9E8"/>
          </w:tcPr>
          <w:p>
            <w:pPr>
              <w:ind w:left="760"/>
              <w:spacing w:after="0"/>
              <w:rPr>
                <w:sz w:val="20"/>
                <w:szCs w:val="20"/>
                <w:color w:val="auto"/>
              </w:rPr>
            </w:pPr>
            <w:r>
              <w:rPr>
                <w:rFonts w:ascii="Arial" w:cs="Arial" w:eastAsia="Arial" w:hAnsi="Arial"/>
                <w:sz w:val="18"/>
                <w:szCs w:val="18"/>
                <w:color w:val="auto"/>
              </w:rPr>
              <w:t>Other prepaids, deferrals and accruals</w:t>
            </w:r>
          </w:p>
        </w:tc>
        <w:tc>
          <w:tcPr>
            <w:tcW w:w="160" w:type="dxa"/>
            <w:vAlign w:val="bottom"/>
            <w:shd w:val="clear" w:color="auto" w:fill="EAF9E8"/>
          </w:tcPr>
          <w:p>
            <w:pPr>
              <w:spacing w:after="0"/>
              <w:rPr>
                <w:sz w:val="18"/>
                <w:szCs w:val="18"/>
                <w:color w:val="auto"/>
              </w:rPr>
            </w:pPr>
          </w:p>
        </w:tc>
        <w:tc>
          <w:tcPr>
            <w:tcW w:w="76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2,642</w:t>
            </w:r>
          </w:p>
        </w:tc>
        <w:tc>
          <w:tcPr>
            <w:tcW w:w="2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1,047</w:t>
            </w:r>
          </w:p>
        </w:tc>
        <w:tc>
          <w:tcPr>
            <w:tcW w:w="240" w:type="dxa"/>
            <w:vAlign w:val="bottom"/>
            <w:shd w:val="clear" w:color="auto" w:fill="EAF9E8"/>
          </w:tcPr>
          <w:p>
            <w:pPr>
              <w:spacing w:after="0"/>
              <w:rPr>
                <w:sz w:val="18"/>
                <w:szCs w:val="18"/>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vMerge w:val="restart"/>
          </w:tcPr>
          <w:p>
            <w:pPr>
              <w:ind w:left="760"/>
              <w:spacing w:after="0"/>
              <w:rPr>
                <w:sz w:val="20"/>
                <w:szCs w:val="20"/>
                <w:color w:val="auto"/>
              </w:rPr>
            </w:pPr>
            <w:r>
              <w:rPr>
                <w:rFonts w:ascii="Arial" w:cs="Arial" w:eastAsia="Arial" w:hAnsi="Arial"/>
                <w:sz w:val="18"/>
                <w:szCs w:val="18"/>
                <w:b w:val="1"/>
                <w:bCs w:val="1"/>
                <w:color w:val="auto"/>
              </w:rPr>
              <w:t>Net cash provided by operating activities</w:t>
            </w: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5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60" w:type="dxa"/>
            <w:vAlign w:val="bottom"/>
          </w:tcPr>
          <w:p>
            <w:pPr>
              <w:ind w:left="920"/>
              <w:spacing w:after="0"/>
              <w:rPr>
                <w:sz w:val="20"/>
                <w:szCs w:val="20"/>
                <w:color w:val="auto"/>
              </w:rPr>
            </w:pPr>
            <w:r>
              <w:rPr>
                <w:rFonts w:ascii="Arial" w:cs="Arial" w:eastAsia="Arial" w:hAnsi="Arial"/>
                <w:sz w:val="18"/>
                <w:szCs w:val="18"/>
                <w:b w:val="1"/>
                <w:bCs w:val="1"/>
                <w:color w:val="auto"/>
              </w:rPr>
              <w:t>from continuing operations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32,249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4"/>
              <w:spacing w:after="0"/>
              <w:rPr>
                <w:sz w:val="20"/>
                <w:szCs w:val="20"/>
                <w:color w:val="auto"/>
              </w:rPr>
            </w:pPr>
            <w:r>
              <w:rPr>
                <w:rFonts w:ascii="Arial" w:cs="Arial" w:eastAsia="Arial" w:hAnsi="Arial"/>
                <w:sz w:val="18"/>
                <w:szCs w:val="18"/>
                <w:color w:val="auto"/>
              </w:rPr>
              <w:t>34,416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30,599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180" w:type="dxa"/>
            <w:vAlign w:val="bottom"/>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5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EAF9E8"/>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Purchase and construction of plant and equipment, net of</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ind w:left="300"/>
              <w:spacing w:after="0"/>
              <w:rPr>
                <w:sz w:val="20"/>
                <w:szCs w:val="20"/>
                <w:color w:val="auto"/>
              </w:rPr>
            </w:pPr>
            <w:r>
              <w:rPr>
                <w:rFonts w:ascii="Arial" w:cs="Arial" w:eastAsia="Arial" w:hAnsi="Arial"/>
                <w:sz w:val="18"/>
                <w:szCs w:val="18"/>
                <w:color w:val="auto"/>
              </w:rPr>
              <w:t>retirements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w w:val="95"/>
              </w:rPr>
              <w:t>(29,527)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(34,095)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(12,476)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Acquisition of businesses, net of cash acquired</w:t>
            </w:r>
          </w:p>
        </w:tc>
        <w:tc>
          <w:tcPr>
            <w:tcW w:w="160" w:type="dxa"/>
            <w:vAlign w:val="bottom"/>
            <w:shd w:val="clear" w:color="auto" w:fill="EAF9E8"/>
          </w:tcPr>
          <w:p>
            <w:pPr>
              <w:spacing w:after="0"/>
              <w:rPr>
                <w:sz w:val="18"/>
                <w:szCs w:val="18"/>
                <w:color w:val="auto"/>
              </w:rPr>
            </w:pPr>
          </w:p>
        </w:tc>
        <w:tc>
          <w:tcPr>
            <w:tcW w:w="76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(600)</w:t>
            </w:r>
          </w:p>
        </w:tc>
        <w:tc>
          <w:tcPr>
            <w:tcW w:w="2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(9,153)</w:t>
            </w:r>
          </w:p>
        </w:tc>
        <w:tc>
          <w:tcPr>
            <w:tcW w:w="24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Purchase of investment securities</w:t>
            </w:r>
          </w:p>
        </w:tc>
        <w:tc>
          <w:tcPr>
            <w:tcW w:w="16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(536)</w:t>
            </w:r>
          </w:p>
        </w:tc>
        <w:tc>
          <w:tcPr>
            <w:tcW w:w="24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(736)</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Proceeds from investment activities</w:t>
            </w:r>
          </w:p>
        </w:tc>
        <w:tc>
          <w:tcPr>
            <w:tcW w:w="160" w:type="dxa"/>
            <w:vAlign w:val="bottom"/>
            <w:shd w:val="clear" w:color="auto" w:fill="EAF9E8"/>
          </w:tcPr>
          <w:p>
            <w:pPr>
              <w:spacing w:after="0"/>
              <w:rPr>
                <w:sz w:val="18"/>
                <w:szCs w:val="18"/>
                <w:color w:val="auto"/>
              </w:rPr>
            </w:pPr>
          </w:p>
        </w:tc>
        <w:tc>
          <w:tcPr>
            <w:tcW w:w="76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403</w:t>
            </w:r>
          </w:p>
        </w:tc>
        <w:tc>
          <w:tcPr>
            <w:tcW w:w="2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416</w:t>
            </w:r>
          </w:p>
        </w:tc>
        <w:tc>
          <w:tcPr>
            <w:tcW w:w="24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714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Proceeds from sale of equipment</w:t>
            </w:r>
          </w:p>
        </w:tc>
        <w:tc>
          <w:tcPr>
            <w:tcW w:w="160" w:type="dxa"/>
            <w:vAlign w:val="bottom"/>
          </w:tcPr>
          <w:p>
            <w:pPr>
              <w:spacing w:after="0"/>
              <w:rPr>
                <w:sz w:val="19"/>
                <w:szCs w:val="19"/>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19"/>
                <w:szCs w:val="19"/>
                <w:color w:val="auto"/>
              </w:rPr>
            </w:pPr>
          </w:p>
        </w:tc>
        <w:tc>
          <w:tcPr>
            <w:tcW w:w="800" w:type="dxa"/>
            <w:vAlign w:val="bottom"/>
          </w:tcPr>
          <w:p>
            <w:pPr>
              <w:jc w:val="right"/>
              <w:ind w:right="74"/>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shd w:val="clear" w:color="auto" w:fill="EAF9E8"/>
          </w:tcPr>
          <w:p>
            <w:pPr>
              <w:ind w:left="760"/>
              <w:spacing w:after="0" w:line="201" w:lineRule="exact"/>
              <w:rPr>
                <w:sz w:val="20"/>
                <w:szCs w:val="20"/>
                <w:color w:val="auto"/>
              </w:rPr>
            </w:pPr>
            <w:r>
              <w:rPr>
                <w:rFonts w:ascii="Arial" w:cs="Arial" w:eastAsia="Arial" w:hAnsi="Arial"/>
                <w:sz w:val="18"/>
                <w:szCs w:val="18"/>
                <w:b w:val="1"/>
                <w:bCs w:val="1"/>
                <w:color w:val="auto"/>
              </w:rPr>
              <w:t>Net cash used in investing activities</w:t>
            </w:r>
          </w:p>
        </w:tc>
        <w:tc>
          <w:tcPr>
            <w:tcW w:w="160" w:type="dxa"/>
            <w:vAlign w:val="bottom"/>
            <w:shd w:val="clear" w:color="auto" w:fill="EAF9E8"/>
          </w:tcPr>
          <w:p>
            <w:pPr>
              <w:spacing w:after="0"/>
              <w:rPr>
                <w:sz w:val="17"/>
                <w:szCs w:val="17"/>
                <w:color w:val="auto"/>
              </w:rPr>
            </w:pPr>
          </w:p>
        </w:tc>
        <w:tc>
          <w:tcPr>
            <w:tcW w:w="76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740" w:type="dxa"/>
            <w:vAlign w:val="bottom"/>
            <w:shd w:val="clear" w:color="auto" w:fill="EAF9E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shd w:val="clear" w:color="auto" w:fill="EAF9E8"/>
          </w:tcPr>
          <w:p>
            <w:pPr>
              <w:ind w:left="920"/>
              <w:spacing w:after="0"/>
              <w:rPr>
                <w:sz w:val="20"/>
                <w:szCs w:val="20"/>
                <w:color w:val="auto"/>
              </w:rPr>
            </w:pPr>
            <w:r>
              <w:rPr>
                <w:rFonts w:ascii="Arial" w:cs="Arial" w:eastAsia="Arial" w:hAnsi="Arial"/>
                <w:sz w:val="18"/>
                <w:szCs w:val="18"/>
                <w:b w:val="1"/>
                <w:bCs w:val="1"/>
                <w:color w:val="auto"/>
              </w:rPr>
              <w:t>from continuing operations</w:t>
            </w:r>
          </w:p>
        </w:tc>
        <w:tc>
          <w:tcPr>
            <w:tcW w:w="160" w:type="dxa"/>
            <w:vAlign w:val="bottom"/>
            <w:shd w:val="clear" w:color="auto" w:fill="EAF9E8"/>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w w:val="95"/>
              </w:rPr>
              <w:t>(30,113)</w:t>
            </w:r>
          </w:p>
        </w:tc>
        <w:tc>
          <w:tcPr>
            <w:tcW w:w="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(43,529)</w:t>
            </w:r>
          </w:p>
        </w:tc>
        <w:tc>
          <w:tcPr>
            <w:tcW w:w="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(12,449)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80" w:name="page81"/>
    <w:bookmarkEnd w:id="80"/>
    <w:p>
      <w:pPr>
        <w:ind w:right="4079"/>
        <w:spacing w:after="0" w:line="257" w:lineRule="auto"/>
        <w:rPr>
          <w:sz w:val="20"/>
          <w:szCs w:val="20"/>
          <w:color w:val="auto"/>
        </w:rPr>
      </w:pPr>
      <w:r>
        <w:rPr>
          <w:rFonts w:ascii="Arial" w:cs="Arial" w:eastAsia="Arial" w:hAnsi="Arial"/>
          <w:sz w:val="18"/>
          <w:szCs w:val="18"/>
          <w:b w:val="1"/>
          <w:bCs w:val="1"/>
          <w:color w:val="auto"/>
        </w:rPr>
        <w:t>SHENANDOAH TELECOMMUNICATIONS COMPANY AND SUBSIDIARIES CONSOLIDATED STATEMENTS OF CASH FLOWS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2005, 2004 (Restated) and 2003 (Restated)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7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177"/>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800" w:type="dxa"/>
            <w:vAlign w:val="bottom"/>
          </w:tcPr>
          <w:p>
            <w:pPr>
              <w:jc w:val="right"/>
              <w:ind w:right="15"/>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jc w:val="right"/>
              <w:ind w:right="177"/>
              <w:spacing w:after="0"/>
              <w:rPr>
                <w:sz w:val="20"/>
                <w:szCs w:val="20"/>
                <w:color w:val="auto"/>
              </w:rPr>
            </w:pPr>
            <w:r>
              <w:rPr>
                <w:rFonts w:ascii="Arial" w:cs="Arial" w:eastAsia="Arial" w:hAnsi="Arial"/>
                <w:sz w:val="14"/>
                <w:szCs w:val="14"/>
                <w:b w:val="1"/>
                <w:bCs w:val="1"/>
                <w:color w:val="auto"/>
                <w:w w:val="96"/>
              </w:rPr>
              <w:t>(Restated)</w:t>
            </w:r>
          </w:p>
        </w:tc>
        <w:tc>
          <w:tcPr>
            <w:tcW w:w="80" w:type="dxa"/>
            <w:vAlign w:val="bottom"/>
          </w:tcPr>
          <w:p>
            <w:pPr>
              <w:spacing w:after="0"/>
              <w:rPr>
                <w:sz w:val="21"/>
                <w:szCs w:val="21"/>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AF9E8"/>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77"/>
              <w:spacing w:after="0"/>
              <w:rPr>
                <w:sz w:val="20"/>
                <w:szCs w:val="20"/>
                <w:color w:val="auto"/>
              </w:rPr>
            </w:pPr>
            <w:r>
              <w:rPr>
                <w:rFonts w:ascii="Arial" w:cs="Arial" w:eastAsia="Arial" w:hAnsi="Arial"/>
                <w:sz w:val="18"/>
                <w:szCs w:val="18"/>
                <w:color w:val="auto"/>
              </w:rPr>
              <w:t>13,177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shd w:val="clear" w:color="auto" w:fill="EAF9E8"/>
          </w:tcPr>
          <w:p>
            <w:pPr>
              <w:spacing w:after="0"/>
              <w:rPr>
                <w:sz w:val="18"/>
                <w:szCs w:val="18"/>
                <w:color w:val="auto"/>
              </w:rPr>
            </w:pPr>
          </w:p>
        </w:tc>
        <w:tc>
          <w:tcPr>
            <w:tcW w:w="84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(4,373)</w:t>
            </w:r>
          </w:p>
        </w:tc>
        <w:tc>
          <w:tcPr>
            <w:tcW w:w="1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17"/>
              <w:spacing w:after="0"/>
              <w:rPr>
                <w:sz w:val="20"/>
                <w:szCs w:val="20"/>
                <w:color w:val="auto"/>
              </w:rPr>
            </w:pPr>
            <w:r>
              <w:rPr>
                <w:rFonts w:ascii="Arial" w:cs="Arial" w:eastAsia="Arial" w:hAnsi="Arial"/>
                <w:sz w:val="18"/>
                <w:szCs w:val="18"/>
                <w:color w:val="auto"/>
              </w:rPr>
              <w:t>(15,895)</w:t>
            </w:r>
          </w:p>
        </w:tc>
        <w:tc>
          <w:tcPr>
            <w:tcW w:w="8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(8,697)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Arial" w:cs="Arial" w:eastAsia="Arial" w:hAnsi="Arial"/>
                <w:sz w:val="18"/>
                <w:szCs w:val="18"/>
                <w:color w:val="auto"/>
              </w:rPr>
              <w:t>Net payments of lines of credit</w:t>
            </w:r>
          </w:p>
        </w:tc>
        <w:tc>
          <w:tcPr>
            <w:tcW w:w="100" w:type="dxa"/>
            <w:vAlign w:val="bottom"/>
          </w:tcPr>
          <w:p>
            <w:pPr>
              <w:spacing w:after="0"/>
              <w:rPr>
                <w:sz w:val="18"/>
                <w:szCs w:val="18"/>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right"/>
              <w:ind w:right="177"/>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EAF9E8"/>
          </w:tcPr>
          <w:p>
            <w:pPr>
              <w:spacing w:after="0"/>
              <w:rPr>
                <w:sz w:val="18"/>
                <w:szCs w:val="18"/>
                <w:color w:val="auto"/>
              </w:rPr>
            </w:pPr>
          </w:p>
        </w:tc>
        <w:tc>
          <w:tcPr>
            <w:tcW w:w="84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(3,532)</w:t>
            </w:r>
          </w:p>
        </w:tc>
        <w:tc>
          <w:tcPr>
            <w:tcW w:w="1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17"/>
              <w:spacing w:after="0"/>
              <w:rPr>
                <w:sz w:val="20"/>
                <w:szCs w:val="20"/>
                <w:color w:val="auto"/>
              </w:rPr>
            </w:pPr>
            <w:r>
              <w:rPr>
                <w:rFonts w:ascii="Arial" w:cs="Arial" w:eastAsia="Arial" w:hAnsi="Arial"/>
                <w:sz w:val="18"/>
                <w:szCs w:val="18"/>
                <w:color w:val="auto"/>
              </w:rPr>
              <w:t>(3,279)</w:t>
            </w:r>
          </w:p>
        </w:tc>
        <w:tc>
          <w:tcPr>
            <w:tcW w:w="8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140"/>
              <w:spacing w:after="0"/>
              <w:rPr>
                <w:sz w:val="20"/>
                <w:szCs w:val="20"/>
                <w:color w:val="auto"/>
              </w:rPr>
            </w:pPr>
            <w:r>
              <w:rPr>
                <w:rFonts w:ascii="Arial" w:cs="Arial" w:eastAsia="Arial" w:hAnsi="Arial"/>
                <w:sz w:val="18"/>
                <w:szCs w:val="18"/>
                <w:color w:val="auto"/>
              </w:rPr>
              <w:t>Proceeds from exercise of incentive stock options</w:t>
            </w:r>
          </w:p>
        </w:tc>
        <w:tc>
          <w:tcPr>
            <w:tcW w:w="100" w:type="dxa"/>
            <w:vAlign w:val="bottom"/>
          </w:tcPr>
          <w:p>
            <w:pPr>
              <w:spacing w:after="0"/>
              <w:rPr>
                <w:sz w:val="19"/>
                <w:szCs w:val="19"/>
                <w:color w:val="auto"/>
              </w:rPr>
            </w:pP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77"/>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9"/>
                <w:szCs w:val="19"/>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487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shd w:val="clear" w:color="auto" w:fill="EAF9E8"/>
          </w:tcPr>
          <w:p>
            <w:pPr>
              <w:ind w:left="460"/>
              <w:spacing w:after="0" w:line="201" w:lineRule="exact"/>
              <w:rPr>
                <w:sz w:val="20"/>
                <w:szCs w:val="20"/>
                <w:color w:val="auto"/>
              </w:rPr>
            </w:pPr>
            <w:r>
              <w:rPr>
                <w:rFonts w:ascii="Arial" w:cs="Arial" w:eastAsia="Arial" w:hAnsi="Arial"/>
                <w:sz w:val="18"/>
                <w:szCs w:val="18"/>
                <w:b w:val="1"/>
                <w:bCs w:val="1"/>
                <w:color w:val="auto"/>
              </w:rPr>
              <w:t>Net cash used in financing activities</w:t>
            </w:r>
          </w:p>
        </w:tc>
        <w:tc>
          <w:tcPr>
            <w:tcW w:w="10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20" w:type="dxa"/>
            <w:vAlign w:val="bottom"/>
            <w:shd w:val="clear" w:color="auto" w:fill="EAF9E8"/>
          </w:tcPr>
          <w:p>
            <w:pPr>
              <w:spacing w:after="0"/>
              <w:rPr>
                <w:sz w:val="17"/>
                <w:szCs w:val="17"/>
                <w:color w:val="auto"/>
              </w:rPr>
            </w:pPr>
          </w:p>
        </w:tc>
        <w:tc>
          <w:tcPr>
            <w:tcW w:w="9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EAF9E8"/>
          </w:tcPr>
          <w:p>
            <w:pPr>
              <w:ind w:left="620"/>
              <w:spacing w:after="0"/>
              <w:rPr>
                <w:sz w:val="20"/>
                <w:szCs w:val="20"/>
                <w:color w:val="auto"/>
              </w:rPr>
            </w:pPr>
            <w:r>
              <w:rPr>
                <w:rFonts w:ascii="Arial" w:cs="Arial" w:eastAsia="Arial" w:hAnsi="Arial"/>
                <w:sz w:val="18"/>
                <w:szCs w:val="18"/>
                <w:b w:val="1"/>
                <w:bCs w:val="1"/>
                <w:color w:val="auto"/>
              </w:rPr>
              <w:t>from continuing operations</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(18,736)</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AF9E8"/>
          </w:tcPr>
          <w:p>
            <w:pPr>
              <w:jc w:val="right"/>
              <w:ind w:right="117"/>
              <w:spacing w:after="0"/>
              <w:rPr>
                <w:sz w:val="20"/>
                <w:szCs w:val="20"/>
                <w:color w:val="auto"/>
              </w:rPr>
            </w:pPr>
            <w:r>
              <w:rPr>
                <w:rFonts w:ascii="Arial" w:cs="Arial" w:eastAsia="Arial" w:hAnsi="Arial"/>
                <w:sz w:val="18"/>
                <w:szCs w:val="18"/>
                <w:color w:val="auto"/>
              </w:rPr>
              <w:t>(5,411)</w:t>
            </w:r>
          </w:p>
        </w:tc>
        <w:tc>
          <w:tcPr>
            <w:tcW w:w="8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(14,673)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5160" w:type="dxa"/>
            <w:vAlign w:val="bottom"/>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5160" w:type="dxa"/>
            <w:vAlign w:val="bottom"/>
            <w:gridSpan w:val="2"/>
          </w:tcPr>
          <w:p>
            <w:pPr>
              <w:spacing w:after="0"/>
              <w:rPr>
                <w:sz w:val="20"/>
                <w:szCs w:val="20"/>
                <w:color w:val="auto"/>
              </w:rPr>
            </w:pPr>
            <w:r>
              <w:rPr>
                <w:rFonts w:ascii="Arial" w:cs="Arial" w:eastAsia="Arial" w:hAnsi="Arial"/>
                <w:sz w:val="18"/>
                <w:szCs w:val="18"/>
                <w:color w:val="auto"/>
              </w:rPr>
              <w:t>Net cash provided by (used in)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(16,600)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17"/>
              <w:spacing w:after="0"/>
              <w:rPr>
                <w:sz w:val="20"/>
                <w:szCs w:val="20"/>
                <w:color w:val="auto"/>
              </w:rPr>
            </w:pPr>
            <w:r>
              <w:rPr>
                <w:rFonts w:ascii="Arial" w:cs="Arial" w:eastAsia="Arial" w:hAnsi="Arial"/>
                <w:sz w:val="18"/>
                <w:szCs w:val="18"/>
                <w:color w:val="auto"/>
              </w:rPr>
              <w:t>(14,524)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3,477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EAF9E8"/>
          </w:tcPr>
          <w:p>
            <w:pPr>
              <w:spacing w:after="0"/>
              <w:rPr>
                <w:sz w:val="20"/>
                <w:szCs w:val="20"/>
                <w:color w:val="auto"/>
              </w:rPr>
            </w:pPr>
            <w:r>
              <w:rPr>
                <w:rFonts w:ascii="Arial" w:cs="Arial" w:eastAsia="Arial" w:hAnsi="Arial"/>
                <w:sz w:val="18"/>
                <w:szCs w:val="18"/>
                <w:color w:val="auto"/>
              </w:rPr>
              <w:t>Net cash provided by operating activities from discontinued</w:t>
            </w:r>
          </w:p>
        </w:tc>
        <w:tc>
          <w:tcPr>
            <w:tcW w:w="1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operations (as revised) (1)</w:t>
            </w:r>
          </w:p>
        </w:tc>
        <w:tc>
          <w:tcPr>
            <w:tcW w:w="100" w:type="dxa"/>
            <w:vAlign w:val="bottom"/>
            <w:shd w:val="clear" w:color="auto" w:fill="EAF9E8"/>
          </w:tcPr>
          <w:p>
            <w:pPr>
              <w:spacing w:after="0"/>
              <w:rPr>
                <w:sz w:val="19"/>
                <w:szCs w:val="19"/>
                <w:color w:val="auto"/>
              </w:rPr>
            </w:pPr>
          </w:p>
        </w:tc>
        <w:tc>
          <w:tcPr>
            <w:tcW w:w="84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940" w:type="dxa"/>
            <w:vAlign w:val="bottom"/>
            <w:shd w:val="clear" w:color="auto" w:fill="EAF9E8"/>
          </w:tcPr>
          <w:p>
            <w:pPr>
              <w:jc w:val="right"/>
              <w:ind w:right="177"/>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9"/>
                <w:szCs w:val="19"/>
                <w:color w:val="auto"/>
              </w:rPr>
            </w:pPr>
          </w:p>
        </w:tc>
        <w:tc>
          <w:tcPr>
            <w:tcW w:w="800" w:type="dxa"/>
            <w:vAlign w:val="bottom"/>
            <w:shd w:val="clear" w:color="auto" w:fill="EAF9E8"/>
          </w:tcPr>
          <w:p>
            <w:pPr>
              <w:jc w:val="right"/>
              <w:ind w:right="15"/>
              <w:spacing w:after="0"/>
              <w:rPr>
                <w:sz w:val="20"/>
                <w:szCs w:val="20"/>
                <w:color w:val="auto"/>
              </w:rPr>
            </w:pPr>
            <w:r>
              <w:rPr>
                <w:rFonts w:ascii="Arial" w:cs="Arial" w:eastAsia="Arial" w:hAnsi="Arial"/>
                <w:sz w:val="18"/>
                <w:szCs w:val="18"/>
                <w:color w:val="auto"/>
              </w:rPr>
              <w:t>3,530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cash provided by investing activities from discontinued</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140"/>
              <w:spacing w:after="0"/>
              <w:rPr>
                <w:sz w:val="20"/>
                <w:szCs w:val="20"/>
                <w:color w:val="auto"/>
              </w:rPr>
            </w:pPr>
            <w:r>
              <w:rPr>
                <w:rFonts w:ascii="Arial" w:cs="Arial" w:eastAsia="Arial" w:hAnsi="Arial"/>
                <w:sz w:val="18"/>
                <w:szCs w:val="18"/>
                <w:color w:val="auto"/>
              </w:rPr>
              <w:t>operations (as revised) (1)</w:t>
            </w:r>
          </w:p>
        </w:tc>
        <w:tc>
          <w:tcPr>
            <w:tcW w:w="100" w:type="dxa"/>
            <w:vAlign w:val="bottom"/>
          </w:tcPr>
          <w:p>
            <w:pPr>
              <w:spacing w:after="0"/>
              <w:rPr>
                <w:sz w:val="19"/>
                <w:szCs w:val="19"/>
                <w:color w:val="auto"/>
              </w:rPr>
            </w:pP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jc w:val="right"/>
              <w:ind w:right="177"/>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19,480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AF9E8"/>
          </w:tcPr>
          <w:p>
            <w:pPr>
              <w:ind w:left="46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(11,600)</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AF9E8"/>
          </w:tcPr>
          <w:p>
            <w:pPr>
              <w:jc w:val="right"/>
              <w:ind w:right="117"/>
              <w:spacing w:after="0"/>
              <w:rPr>
                <w:sz w:val="20"/>
                <w:szCs w:val="20"/>
                <w:color w:val="auto"/>
              </w:rPr>
            </w:pPr>
            <w:r>
              <w:rPr>
                <w:rFonts w:ascii="Arial" w:cs="Arial" w:eastAsia="Arial" w:hAnsi="Arial"/>
                <w:sz w:val="18"/>
                <w:szCs w:val="18"/>
                <w:color w:val="auto"/>
              </w:rPr>
              <w:t>(14,524)</w:t>
            </w:r>
          </w:p>
        </w:tc>
        <w:tc>
          <w:tcPr>
            <w:tcW w:w="8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EAF9E8"/>
          </w:tcPr>
          <w:p>
            <w:pPr>
              <w:jc w:val="right"/>
              <w:ind w:right="15"/>
              <w:spacing w:after="0"/>
              <w:rPr>
                <w:sz w:val="20"/>
                <w:szCs w:val="20"/>
                <w:color w:val="auto"/>
              </w:rPr>
            </w:pPr>
            <w:r>
              <w:rPr>
                <w:rFonts w:ascii="Arial" w:cs="Arial" w:eastAsia="Arial" w:hAnsi="Arial"/>
                <w:sz w:val="18"/>
                <w:szCs w:val="18"/>
                <w:color w:val="auto"/>
              </w:rPr>
              <w:t>26,487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51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shd w:val="clear" w:color="auto" w:fill="EAF9E8"/>
          </w:tcPr>
          <w:p>
            <w:pPr>
              <w:ind w:left="140"/>
              <w:spacing w:after="0"/>
              <w:rPr>
                <w:sz w:val="20"/>
                <w:szCs w:val="20"/>
                <w:color w:val="auto"/>
              </w:rPr>
            </w:pPr>
            <w:r>
              <w:rPr>
                <w:rFonts w:ascii="Arial" w:cs="Arial" w:eastAsia="Arial" w:hAnsi="Arial"/>
                <w:sz w:val="18"/>
                <w:szCs w:val="18"/>
                <w:color w:val="auto"/>
              </w:rPr>
              <w:t>Beginning</w:t>
            </w:r>
          </w:p>
        </w:tc>
        <w:tc>
          <w:tcPr>
            <w:tcW w:w="100" w:type="dxa"/>
            <w:vAlign w:val="bottom"/>
            <w:shd w:val="clear" w:color="auto" w:fill="EAF9E8"/>
          </w:tcPr>
          <w:p>
            <w:pPr>
              <w:spacing w:after="0"/>
              <w:rPr>
                <w:sz w:val="18"/>
                <w:szCs w:val="18"/>
                <w:color w:val="auto"/>
              </w:rPr>
            </w:pPr>
          </w:p>
        </w:tc>
        <w:tc>
          <w:tcPr>
            <w:tcW w:w="84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14,172</w:t>
            </w:r>
          </w:p>
        </w:tc>
        <w:tc>
          <w:tcPr>
            <w:tcW w:w="1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77"/>
              <w:spacing w:after="0"/>
              <w:rPr>
                <w:sz w:val="20"/>
                <w:szCs w:val="20"/>
                <w:color w:val="auto"/>
              </w:rPr>
            </w:pPr>
            <w:r>
              <w:rPr>
                <w:rFonts w:ascii="Arial" w:cs="Arial" w:eastAsia="Arial" w:hAnsi="Arial"/>
                <w:sz w:val="18"/>
                <w:szCs w:val="18"/>
                <w:color w:val="auto"/>
              </w:rPr>
              <w:t>28,696</w:t>
            </w:r>
          </w:p>
        </w:tc>
        <w:tc>
          <w:tcPr>
            <w:tcW w:w="8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15"/>
              <w:spacing w:after="0"/>
              <w:rPr>
                <w:sz w:val="20"/>
                <w:szCs w:val="20"/>
                <w:color w:val="auto"/>
              </w:rPr>
            </w:pPr>
            <w:r>
              <w:rPr>
                <w:rFonts w:ascii="Arial" w:cs="Arial" w:eastAsia="Arial" w:hAnsi="Arial"/>
                <w:sz w:val="18"/>
                <w:szCs w:val="18"/>
                <w:color w:val="auto"/>
              </w:rPr>
              <w:t>2,209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40" w:type="dxa"/>
            <w:vAlign w:val="bottom"/>
          </w:tcPr>
          <w:p>
            <w:pPr>
              <w:ind w:left="140"/>
              <w:spacing w:after="0"/>
              <w:rPr>
                <w:sz w:val="20"/>
                <w:szCs w:val="20"/>
                <w:color w:val="auto"/>
              </w:rPr>
            </w:pPr>
            <w:r>
              <w:rPr>
                <w:rFonts w:ascii="Arial" w:cs="Arial" w:eastAsia="Arial" w:hAnsi="Arial"/>
                <w:sz w:val="18"/>
                <w:szCs w:val="18"/>
                <w:color w:val="auto"/>
              </w:rPr>
              <w:t>Ending</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2,572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77"/>
              <w:spacing w:after="0"/>
              <w:rPr>
                <w:sz w:val="20"/>
                <w:szCs w:val="20"/>
                <w:color w:val="auto"/>
              </w:rPr>
            </w:pPr>
            <w:r>
              <w:rPr>
                <w:rFonts w:ascii="Arial" w:cs="Arial" w:eastAsia="Arial" w:hAnsi="Arial"/>
                <w:sz w:val="18"/>
                <w:szCs w:val="18"/>
                <w:color w:val="auto"/>
              </w:rPr>
              <w:t>14,172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28,696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160" w:type="dxa"/>
            <w:vAlign w:val="bottom"/>
            <w:gridSpan w:val="2"/>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vMerge w:val="restart"/>
          </w:tcPr>
          <w:p>
            <w:pPr>
              <w:spacing w:after="0"/>
              <w:rPr>
                <w:sz w:val="22"/>
                <w:szCs w:val="22"/>
                <w:color w:val="auto"/>
              </w:rPr>
            </w:pPr>
          </w:p>
        </w:tc>
        <w:tc>
          <w:tcPr>
            <w:tcW w:w="5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EAF9E8"/>
          </w:tcPr>
          <w:p>
            <w:pPr>
              <w:spacing w:after="0"/>
              <w:rPr>
                <w:sz w:val="20"/>
                <w:szCs w:val="20"/>
                <w:color w:val="auto"/>
              </w:rPr>
            </w:pPr>
            <w:r>
              <w:rPr>
                <w:rFonts w:ascii="Arial" w:cs="Arial" w:eastAsia="Arial" w:hAnsi="Arial"/>
                <w:sz w:val="18"/>
                <w:szCs w:val="18"/>
                <w:color w:val="auto"/>
              </w:rPr>
              <w:t>Supplemental Disclosures of Cash Flow Information</w:t>
            </w:r>
          </w:p>
        </w:tc>
        <w:tc>
          <w:tcPr>
            <w:tcW w:w="1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Arial" w:cs="Arial" w:eastAsia="Arial" w:hAnsi="Arial"/>
                <w:sz w:val="18"/>
                <w:szCs w:val="18"/>
                <w:color w:val="auto"/>
              </w:rPr>
              <w:t>Cash payments for:</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EAF9E8"/>
          </w:tcPr>
          <w:p>
            <w:pPr>
              <w:ind w:left="300"/>
              <w:spacing w:after="0"/>
              <w:rPr>
                <w:sz w:val="20"/>
                <w:szCs w:val="20"/>
                <w:color w:val="auto"/>
              </w:rPr>
            </w:pPr>
            <w:r>
              <w:rPr>
                <w:rFonts w:ascii="Arial" w:cs="Arial" w:eastAsia="Arial" w:hAnsi="Arial"/>
                <w:sz w:val="18"/>
                <w:szCs w:val="18"/>
                <w:color w:val="auto"/>
                <w:w w:val="96"/>
              </w:rPr>
              <w:t>Interest, net of capitalized interest of $20 in 2005; $30 in 2004,</w:t>
            </w:r>
          </w:p>
        </w:tc>
        <w:tc>
          <w:tcPr>
            <w:tcW w:w="100" w:type="dxa"/>
            <w:vAlign w:val="bottom"/>
            <w:vMerge w:val="restart"/>
            <w:shd w:val="clear" w:color="auto" w:fill="EAF9E8"/>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shd w:val="clear" w:color="auto" w:fill="EAF9E8"/>
          </w:tcPr>
          <w:p>
            <w:pPr>
              <w:ind w:left="460"/>
              <w:spacing w:after="0"/>
              <w:rPr>
                <w:sz w:val="20"/>
                <w:szCs w:val="20"/>
                <w:color w:val="auto"/>
              </w:rPr>
            </w:pPr>
            <w:r>
              <w:rPr>
                <w:rFonts w:ascii="Arial" w:cs="Arial" w:eastAsia="Arial" w:hAnsi="Arial"/>
                <w:sz w:val="18"/>
                <w:szCs w:val="18"/>
                <w:color w:val="auto"/>
              </w:rPr>
              <w:t>and $26 in 2003</w:t>
            </w:r>
          </w:p>
        </w:tc>
        <w:tc>
          <w:tcPr>
            <w:tcW w:w="100" w:type="dxa"/>
            <w:vAlign w:val="bottom"/>
            <w:vMerge w:val="continue"/>
            <w:shd w:val="clear" w:color="auto" w:fill="EAF9E8"/>
          </w:tcPr>
          <w:p>
            <w:pPr>
              <w:spacing w:after="0"/>
              <w:rPr>
                <w:sz w:val="19"/>
                <w:szCs w:val="19"/>
                <w:color w:val="auto"/>
              </w:rPr>
            </w:pPr>
          </w:p>
        </w:tc>
        <w:tc>
          <w:tcPr>
            <w:tcW w:w="84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3,072</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AF9E8"/>
          </w:tcPr>
          <w:p>
            <w:pPr>
              <w:jc w:val="right"/>
              <w:ind w:right="177"/>
              <w:spacing w:after="0"/>
              <w:rPr>
                <w:sz w:val="20"/>
                <w:szCs w:val="20"/>
                <w:color w:val="auto"/>
              </w:rPr>
            </w:pPr>
            <w:r>
              <w:rPr>
                <w:rFonts w:ascii="Arial" w:cs="Arial" w:eastAsia="Arial" w:hAnsi="Arial"/>
                <w:sz w:val="18"/>
                <w:szCs w:val="18"/>
                <w:color w:val="auto"/>
              </w:rPr>
              <w:t>3,112</w:t>
            </w:r>
          </w:p>
        </w:tc>
        <w:tc>
          <w:tcPr>
            <w:tcW w:w="8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EAF9E8"/>
          </w:tcPr>
          <w:p>
            <w:pPr>
              <w:jc w:val="right"/>
              <w:ind w:right="15"/>
              <w:spacing w:after="0"/>
              <w:rPr>
                <w:sz w:val="20"/>
                <w:szCs w:val="20"/>
                <w:color w:val="auto"/>
              </w:rPr>
            </w:pPr>
            <w:r>
              <w:rPr>
                <w:rFonts w:ascii="Arial" w:cs="Arial" w:eastAsia="Arial" w:hAnsi="Arial"/>
                <w:sz w:val="18"/>
                <w:szCs w:val="18"/>
                <w:color w:val="auto"/>
              </w:rPr>
              <w:t>3,577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gridSpan w:val="2"/>
          </w:tcPr>
          <w:p>
            <w:pPr>
              <w:spacing w:after="0"/>
              <w:rPr>
                <w:sz w:val="12"/>
                <w:szCs w:val="12"/>
                <w:color w:val="auto"/>
              </w:rPr>
            </w:pPr>
          </w:p>
        </w:tc>
        <w:tc>
          <w:tcPr>
            <w:tcW w:w="960" w:type="dxa"/>
            <w:vAlign w:val="bottom"/>
            <w:tcBorders>
              <w:bottom w:val="single" w:sz="8" w:color="808080"/>
            </w:tcBorders>
            <w:gridSpan w:val="2"/>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Income taxes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6,296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77"/>
              <w:spacing w:after="0"/>
              <w:rPr>
                <w:sz w:val="20"/>
                <w:szCs w:val="20"/>
                <w:color w:val="auto"/>
              </w:rPr>
            </w:pPr>
            <w:r>
              <w:rPr>
                <w:rFonts w:ascii="Arial" w:cs="Arial" w:eastAsia="Arial" w:hAnsi="Arial"/>
                <w:sz w:val="18"/>
                <w:szCs w:val="18"/>
                <w:color w:val="auto"/>
              </w:rPr>
              <w:t>935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15,569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3279140</wp:posOffset>
            </wp:positionH>
            <wp:positionV relativeFrom="paragraph">
              <wp:posOffset>-1197610</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-1197610</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-1197610</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-1197610</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-1197610</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-1197610</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-1197610</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-1197610</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-1197610</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-1197610</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-400050</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-400050</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-400050</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-400050</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-400050</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-400050</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-400050</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-400050</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-400050</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-400050</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-14605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-14605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-14605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-14605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-14605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-14605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-14605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-14605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-14605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right="2359" w:firstLine="8"/>
        <w:spacing w:after="0" w:line="516" w:lineRule="auto"/>
        <w:tabs>
          <w:tab w:leader="none" w:pos="4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 Note 1 “Reclassifications” for further discussion on the revised disclosure of discontinued operations. See accompanying notes to consolidated financial statements.</w:t>
      </w:r>
    </w:p>
    <w:p>
      <w:pPr>
        <w:spacing w:after="0" w:line="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81" w:name="page82"/>
    <w:bookmarkEnd w:id="81"/>
    <w:p>
      <w:pPr>
        <w:ind w:right="4079"/>
        <w:spacing w:after="0" w:line="275" w:lineRule="auto"/>
        <w:rPr>
          <w:sz w:val="20"/>
          <w:szCs w:val="20"/>
          <w:color w:val="auto"/>
        </w:rPr>
      </w:pPr>
      <w:r>
        <w:rPr>
          <w:rFonts w:ascii="Arial" w:cs="Arial" w:eastAsia="Arial" w:hAnsi="Arial"/>
          <w:sz w:val="18"/>
          <w:szCs w:val="18"/>
          <w:b w:val="1"/>
          <w:bCs w:val="1"/>
          <w:color w:val="auto"/>
        </w:rPr>
        <w:t>SHENANDOAH TELECOMMUNICATIONS COMPANY AND SUBSIDIARIES NOTES TO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31" w:lineRule="exact"/>
        <w:rPr>
          <w:sz w:val="20"/>
          <w:szCs w:val="20"/>
          <w:color w:val="auto"/>
        </w:rPr>
      </w:pPr>
    </w:p>
    <w:p>
      <w:pPr>
        <w:ind w:right="2139"/>
        <w:spacing w:after="0" w:line="284" w:lineRule="auto"/>
        <w:rPr>
          <w:sz w:val="20"/>
          <w:szCs w:val="20"/>
          <w:color w:val="auto"/>
        </w:rPr>
      </w:pPr>
      <w:r>
        <w:rPr>
          <w:rFonts w:ascii="Arial" w:cs="Arial" w:eastAsia="Arial" w:hAnsi="Arial"/>
          <w:sz w:val="16"/>
          <w:szCs w:val="16"/>
          <w:b w:val="1"/>
          <w:bCs w:val="1"/>
          <w:i w:val="1"/>
          <w:iCs w:val="1"/>
          <w:color w:val="auto"/>
        </w:rPr>
        <w:t xml:space="preserve">Description of business: </w:t>
      </w:r>
      <w:r>
        <w:rPr>
          <w:rFonts w:ascii="Arial" w:cs="Arial" w:eastAsia="Arial" w:hAnsi="Arial"/>
          <w:sz w:val="16"/>
          <w:szCs w:val="16"/>
          <w:color w:val="auto"/>
        </w:rPr>
        <w:t>Shenandoah Telecommunications Company and its subsidiaries (collectively,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provide telephone service, wireless personal communications service (“PCS”) under the Sprint brand name, cable television, unregulated communications equipment sales and services, Internet access, and paging services. In addition, the Company leases towers and operates and maintains an interstate fiber optic network. As a result of the NTC Communications, L.L.C. (“NTC”) acquisition on November 30, 2004, the Company, through its subsidiary Shentel Converged Services, provides local and long distance voice, video, and Internet services on an exclusive and non-exclusive basis to multi-dwelling unit (“MDU”) communities (primarily off-campus college student housing) throughout the southeastern United States including Virginia, North Carolina, Maryland, South Carolina, Georgia, Florida, Tennessee and Mississippi. In September 2005, the Company began an initiative to market wireless broadband services. The Company plans to move forward with its initiative to build networks and market wireless broadband to customers in selected markets in the mid-atlantic and southeastern United States. The Company’s other operations are located in the four-state region surrounding the Northern Shenandoah Valley of Virginia. Pursuant to a management agreement with Sprint Nextel Communications Company and its related parties (collectively, “Sprint Nextel”), the Company is the exclusive PCS Affiliate of Sprint Nextel providing wireless mobility communications network products and services on the 1900 megahertz spectrum range in the geographic area extending from Altoona, Harrisburg and York, Pennsylvania, south through Western Maryland, and the panhandle of West Virginia, to Harrisonburg, Virginia. The Company is licensed to use the Sprint brand name in this territory, and operates its network under the Sprint Nextel radio spectrum license (See Note 8). A summary of the Company’s significant accounting policies follows:</w:t>
      </w:r>
    </w:p>
    <w:p>
      <w:pPr>
        <w:spacing w:after="0" w:line="185" w:lineRule="exact"/>
        <w:rPr>
          <w:sz w:val="20"/>
          <w:szCs w:val="20"/>
          <w:color w:val="auto"/>
        </w:rPr>
      </w:pPr>
    </w:p>
    <w:p>
      <w:pPr>
        <w:ind w:right="2159"/>
        <w:spacing w:after="0" w:line="298" w:lineRule="auto"/>
        <w:rPr>
          <w:sz w:val="20"/>
          <w:szCs w:val="20"/>
          <w:color w:val="auto"/>
        </w:rPr>
      </w:pPr>
      <w:r>
        <w:rPr>
          <w:rFonts w:ascii="Arial" w:cs="Arial" w:eastAsia="Arial" w:hAnsi="Arial"/>
          <w:sz w:val="16"/>
          <w:szCs w:val="16"/>
          <w:b w:val="1"/>
          <w:bCs w:val="1"/>
          <w:i w:val="1"/>
          <w:iCs w:val="1"/>
          <w:color w:val="auto"/>
        </w:rPr>
        <w:t xml:space="preserve">Stock split: </w:t>
      </w:r>
      <w:r>
        <w:rPr>
          <w:rFonts w:ascii="Arial" w:cs="Arial" w:eastAsia="Arial" w:hAnsi="Arial"/>
          <w:sz w:val="16"/>
          <w:szCs w:val="16"/>
          <w:color w:val="auto"/>
        </w:rPr>
        <w:t>All share and per share information reflect the two for one stock split announced in October 2003,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of record as of the close of business on January 30, 2004. The additional shares were distributed on February 20, 2004. The effective date of the split is February 23, 2004. All previously reported share and per share data included herein are retroactively adjusted to reflect the split.</w:t>
      </w:r>
    </w:p>
    <w:p>
      <w:pPr>
        <w:spacing w:after="0" w:line="167" w:lineRule="exact"/>
        <w:rPr>
          <w:sz w:val="20"/>
          <w:szCs w:val="20"/>
          <w:color w:val="auto"/>
        </w:rPr>
      </w:pPr>
    </w:p>
    <w:p>
      <w:pPr>
        <w:jc w:val="both"/>
        <w:ind w:right="2539"/>
        <w:spacing w:after="0" w:line="259"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consolidated financial statements include the accounts of all wholly owned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and other entities where effective control is exercised. All significant intercompany balances and transactions have been eliminated in consolidation.</w:t>
      </w:r>
    </w:p>
    <w:p>
      <w:pPr>
        <w:spacing w:after="0" w:line="194" w:lineRule="exact"/>
        <w:rPr>
          <w:sz w:val="20"/>
          <w:szCs w:val="20"/>
          <w:color w:val="auto"/>
        </w:rPr>
      </w:pPr>
    </w:p>
    <w:p>
      <w:pPr>
        <w:ind w:right="2139"/>
        <w:spacing w:after="0" w:line="291" w:lineRule="auto"/>
        <w:rPr>
          <w:sz w:val="20"/>
          <w:szCs w:val="20"/>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Management of the Company has made a number of estimates and assumptions related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reporting of assets and liabilities, the disclosure of contingent assets and liabilities at the date of the consolidated financial statements and the reported amounts of revenues and expenses during the reporting periods. Management reviews its estimates, including those related to recoverability and useful lives of assets as well as liabilities for income taxes and pension benefits. Changes in facts and circumstances may result in revised estimates, and actual results could differ from those reported estimates.</w:t>
      </w:r>
    </w:p>
    <w:p>
      <w:pPr>
        <w:spacing w:after="0" w:line="174" w:lineRule="exact"/>
        <w:rPr>
          <w:sz w:val="20"/>
          <w:szCs w:val="20"/>
          <w:color w:val="auto"/>
        </w:rPr>
      </w:pPr>
    </w:p>
    <w:p>
      <w:pPr>
        <w:ind w:right="2159"/>
        <w:spacing w:after="0" w:line="290" w:lineRule="auto"/>
        <w:rPr>
          <w:sz w:val="20"/>
          <w:szCs w:val="20"/>
          <w:color w:val="auto"/>
        </w:rPr>
      </w:pPr>
      <w:r>
        <w:rPr>
          <w:rFonts w:ascii="Arial" w:cs="Arial" w:eastAsia="Arial" w:hAnsi="Arial"/>
          <w:sz w:val="16"/>
          <w:szCs w:val="16"/>
          <w:b w:val="1"/>
          <w:bCs w:val="1"/>
          <w:i w:val="1"/>
          <w:iCs w:val="1"/>
          <w:color w:val="auto"/>
        </w:rPr>
        <w:t xml:space="preserve">Allocations: </w:t>
      </w:r>
      <w:r>
        <w:rPr>
          <w:rFonts w:ascii="Arial" w:cs="Arial" w:eastAsia="Arial" w:hAnsi="Arial"/>
          <w:sz w:val="16"/>
          <w:szCs w:val="16"/>
          <w:color w:val="auto"/>
        </w:rPr>
        <w:t>In connection with the adoption of a new affiliates agreement which was approved by the Virginia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 Corporation Commission effective January 1, 2005, and pursuant to assignment and assumption agreements between Shentel Management Company and Shenandoah Telephone Company, and the Company’s other subsidiaries, effective January 1, 2005, all employees and certain assets and liabilities of these subsidiaries have been transferred to Shentel Management Company which is now the entity through which all shared services and shared assets are provided to all existing and future affiliates of the Company. The new affiliates agreement had no impact on the consolidated financial statements.</w:t>
      </w:r>
    </w:p>
    <w:p>
      <w:pPr>
        <w:spacing w:after="0" w:line="172" w:lineRule="exact"/>
        <w:rPr>
          <w:sz w:val="20"/>
          <w:szCs w:val="20"/>
          <w:color w:val="auto"/>
        </w:rPr>
      </w:pPr>
    </w:p>
    <w:p>
      <w:pPr>
        <w:ind w:right="2139"/>
        <w:spacing w:after="0" w:line="287" w:lineRule="auto"/>
        <w:rPr>
          <w:sz w:val="20"/>
          <w:szCs w:val="20"/>
          <w:color w:val="auto"/>
        </w:rPr>
      </w:pPr>
      <w:r>
        <w:rPr>
          <w:rFonts w:ascii="Arial" w:cs="Arial" w:eastAsia="Arial" w:hAnsi="Arial"/>
          <w:sz w:val="16"/>
          <w:szCs w:val="16"/>
          <w:color w:val="auto"/>
        </w:rPr>
        <w:t>Effective January 1, 2005, the Company implemented a new methodology for allocating all shared services and shared assets of the Company. The Company believes the new allocation methodology more accurately allocates labor, benefits and shared costs to its affiliates. FAS 131, “Disclosures about Segments of an Enterprise and Related Information” requires the Company to restate previously reported segment information following a change in the composition of an enterprise’s segment information unless it is impractical to do so. Further, if the Company is unable to restate previously reported segment information, the Company is required to provide current-period segment information on both the old and new basis of segmentation in the year in which the change occurs unless it is impracticable to do so. Due to the nature of the change in allocation methodology, and the process to derive the allocation of shared costs, management has determined that it would be impractical to restate prior year segment information or calculate the allocation using both the old and new methods.</w:t>
      </w:r>
    </w:p>
    <w:p>
      <w:pPr>
        <w:spacing w:after="0" w:line="17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82" w:name="page83"/>
    <w:bookmarkEnd w:id="82"/>
    <w:p>
      <w:pPr>
        <w:ind w:right="2199"/>
        <w:spacing w:after="0" w:line="255"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The Company considers all temporary cash investments purchased with a maturity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or less to be cash equivalents. The Company places its temporary cash investments with high credit quality financial institutions. At times, these investments may be in excess of FDIC insurance limits. Cash equivalents were $2.1 million, $14.1 million, and $27.9 million at December 31, 2005, 2004 and 2003, respectively.</w:t>
      </w:r>
    </w:p>
    <w:p>
      <w:pPr>
        <w:spacing w:after="0" w:line="197" w:lineRule="exact"/>
        <w:rPr>
          <w:sz w:val="20"/>
          <w:szCs w:val="20"/>
          <w:color w:val="auto"/>
        </w:rPr>
      </w:pPr>
    </w:p>
    <w:p>
      <w:pPr>
        <w:ind w:right="2199"/>
        <w:spacing w:after="0" w:line="287" w:lineRule="auto"/>
        <w:rPr>
          <w:sz w:val="20"/>
          <w:szCs w:val="20"/>
          <w:color w:val="auto"/>
        </w:rPr>
      </w:pPr>
      <w:r>
        <w:rPr>
          <w:rFonts w:ascii="Arial" w:cs="Arial" w:eastAsia="Arial" w:hAnsi="Arial"/>
          <w:sz w:val="16"/>
          <w:szCs w:val="16"/>
          <w:b w:val="1"/>
          <w:bCs w:val="1"/>
          <w:i w:val="1"/>
          <w:iCs w:val="1"/>
          <w:color w:val="auto"/>
        </w:rPr>
        <w:t xml:space="preserve">Accounts receivable: </w:t>
      </w:r>
      <w:r>
        <w:rPr>
          <w:rFonts w:ascii="Arial" w:cs="Arial" w:eastAsia="Arial" w:hAnsi="Arial"/>
          <w:sz w:val="16"/>
          <w:szCs w:val="16"/>
          <w:color w:val="auto"/>
        </w:rPr>
        <w:t>Accounts receivable are recorded at the invoiced amount and do not bear interest.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allowance for doubtful accounts is the Company’s best estimate of the amount of probable credit losses in the Company’s existing accounts receivable. The Company determines the allowance based on historical write-off experience and industry and local economic data. The Company reviews its allowance for doubtful accounts monthly. Past due balances meeting specific criteria are reviewed individually for collectibility. All other balances are reviewed on a pooled basis. Account balances are charged off against the allowance after all means of collection have been exhausted and the potential for recovery is considered remote. Accounts receivable are concentrated among customers within the Company’s geographic service area and large telecommunications companies. Changes in the allowance for doubtful accounts for trade accounts receivable for the years ended December 31, 2005, 2004 and 2003 are summarized below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ind w:right="76"/>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5"/>
                <w:szCs w:val="15"/>
                <w:color w:val="auto"/>
              </w:rPr>
            </w:pPr>
          </w:p>
        </w:tc>
        <w:tc>
          <w:tcPr>
            <w:tcW w:w="900" w:type="dxa"/>
            <w:vAlign w:val="bottom"/>
          </w:tcPr>
          <w:p>
            <w:pPr>
              <w:jc w:val="right"/>
              <w:ind w:right="76"/>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5"/>
                <w:szCs w:val="15"/>
                <w:color w:val="auto"/>
              </w:rPr>
            </w:pPr>
          </w:p>
        </w:tc>
        <w:tc>
          <w:tcPr>
            <w:tcW w:w="840" w:type="dxa"/>
            <w:vAlign w:val="bottom"/>
          </w:tcPr>
          <w:p>
            <w:pPr>
              <w:jc w:val="right"/>
              <w:ind w:right="16"/>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3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EAF9E8"/>
          </w:tcPr>
          <w:p>
            <w:pPr>
              <w:spacing w:after="0"/>
              <w:rPr>
                <w:sz w:val="20"/>
                <w:szCs w:val="20"/>
                <w:color w:val="auto"/>
              </w:rPr>
            </w:pPr>
            <w:r>
              <w:rPr>
                <w:rFonts w:ascii="Arial" w:cs="Arial" w:eastAsia="Arial" w:hAnsi="Arial"/>
                <w:sz w:val="18"/>
                <w:szCs w:val="18"/>
                <w:color w:val="auto"/>
              </w:rPr>
              <w:t>Balance at beginning of year</w:t>
            </w:r>
          </w:p>
        </w:tc>
        <w:tc>
          <w:tcPr>
            <w:tcW w:w="600" w:type="dxa"/>
            <w:vAlign w:val="bottom"/>
            <w:shd w:val="clear" w:color="auto" w:fill="EAF9E8"/>
          </w:tcPr>
          <w:p>
            <w:pPr>
              <w:jc w:val="right"/>
              <w:ind w:right="192"/>
              <w:spacing w:after="0"/>
              <w:rPr>
                <w:sz w:val="20"/>
                <w:szCs w:val="20"/>
                <w:color w:val="auto"/>
              </w:rPr>
            </w:pPr>
            <w:r>
              <w:rPr>
                <w:rFonts w:ascii="Arial" w:cs="Arial" w:eastAsia="Arial" w:hAnsi="Arial"/>
                <w:sz w:val="18"/>
                <w:szCs w:val="18"/>
                <w:color w:val="auto"/>
              </w:rPr>
              <w:t>$</w:t>
            </w:r>
          </w:p>
        </w:tc>
        <w:tc>
          <w:tcPr>
            <w:tcW w:w="880" w:type="dxa"/>
            <w:vAlign w:val="bottom"/>
            <w:shd w:val="clear" w:color="auto" w:fill="EAF9E8"/>
          </w:tcPr>
          <w:p>
            <w:pPr>
              <w:jc w:val="right"/>
              <w:ind w:right="76"/>
              <w:spacing w:after="0"/>
              <w:rPr>
                <w:sz w:val="20"/>
                <w:szCs w:val="20"/>
                <w:color w:val="auto"/>
              </w:rPr>
            </w:pPr>
            <w:r>
              <w:rPr>
                <w:rFonts w:ascii="Arial" w:cs="Arial" w:eastAsia="Arial" w:hAnsi="Arial"/>
                <w:sz w:val="18"/>
                <w:szCs w:val="18"/>
                <w:color w:val="auto"/>
              </w:rPr>
              <w:t>351</w:t>
            </w:r>
          </w:p>
        </w:tc>
        <w:tc>
          <w:tcPr>
            <w:tcW w:w="460" w:type="dxa"/>
            <w:vAlign w:val="bottom"/>
            <w:shd w:val="clear" w:color="auto" w:fill="EAF9E8"/>
          </w:tcPr>
          <w:p>
            <w:pPr>
              <w:jc w:val="right"/>
              <w:ind w:right="192"/>
              <w:spacing w:after="0"/>
              <w:rPr>
                <w:sz w:val="20"/>
                <w:szCs w:val="20"/>
                <w:color w:val="auto"/>
              </w:rPr>
            </w:pPr>
            <w:r>
              <w:rPr>
                <w:rFonts w:ascii="Arial" w:cs="Arial" w:eastAsia="Arial" w:hAnsi="Arial"/>
                <w:sz w:val="18"/>
                <w:szCs w:val="18"/>
                <w:color w:val="auto"/>
              </w:rPr>
              <w:t>$</w:t>
            </w:r>
          </w:p>
        </w:tc>
        <w:tc>
          <w:tcPr>
            <w:tcW w:w="900" w:type="dxa"/>
            <w:vAlign w:val="bottom"/>
            <w:shd w:val="clear" w:color="auto" w:fill="EAF9E8"/>
          </w:tcPr>
          <w:p>
            <w:pPr>
              <w:jc w:val="right"/>
              <w:ind w:right="76"/>
              <w:spacing w:after="0"/>
              <w:rPr>
                <w:sz w:val="20"/>
                <w:szCs w:val="20"/>
                <w:color w:val="auto"/>
              </w:rPr>
            </w:pPr>
            <w:r>
              <w:rPr>
                <w:rFonts w:ascii="Arial" w:cs="Arial" w:eastAsia="Arial" w:hAnsi="Arial"/>
                <w:sz w:val="18"/>
                <w:szCs w:val="18"/>
                <w:color w:val="auto"/>
              </w:rPr>
              <w:t>478</w:t>
            </w:r>
          </w:p>
        </w:tc>
        <w:tc>
          <w:tcPr>
            <w:tcW w:w="48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rPr>
              <w:t>$</w:t>
            </w:r>
          </w:p>
        </w:tc>
        <w:tc>
          <w:tcPr>
            <w:tcW w:w="840" w:type="dxa"/>
            <w:vAlign w:val="bottom"/>
            <w:shd w:val="clear" w:color="auto" w:fill="EAF9E8"/>
          </w:tcPr>
          <w:p>
            <w:pPr>
              <w:jc w:val="right"/>
              <w:ind w:right="16"/>
              <w:spacing w:after="0"/>
              <w:rPr>
                <w:sz w:val="20"/>
                <w:szCs w:val="20"/>
                <w:color w:val="auto"/>
              </w:rPr>
            </w:pPr>
            <w:r>
              <w:rPr>
                <w:rFonts w:ascii="Arial" w:cs="Arial" w:eastAsia="Arial" w:hAnsi="Arial"/>
                <w:sz w:val="18"/>
                <w:szCs w:val="18"/>
                <w:color w:val="auto"/>
              </w:rPr>
              <w:t>926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Bad debt expense</w:t>
            </w:r>
          </w:p>
        </w:tc>
        <w:tc>
          <w:tcPr>
            <w:tcW w:w="600" w:type="dxa"/>
            <w:vAlign w:val="bottom"/>
          </w:tcPr>
          <w:p>
            <w:pPr>
              <w:spacing w:after="0"/>
              <w:rPr>
                <w:sz w:val="18"/>
                <w:szCs w:val="18"/>
                <w:color w:val="auto"/>
              </w:rPr>
            </w:pPr>
          </w:p>
        </w:tc>
        <w:tc>
          <w:tcPr>
            <w:tcW w:w="880" w:type="dxa"/>
            <w:vAlign w:val="bottom"/>
          </w:tcPr>
          <w:p>
            <w:pPr>
              <w:jc w:val="right"/>
              <w:ind w:right="76"/>
              <w:spacing w:after="0"/>
              <w:rPr>
                <w:sz w:val="20"/>
                <w:szCs w:val="20"/>
                <w:color w:val="auto"/>
              </w:rPr>
            </w:pPr>
            <w:r>
              <w:rPr>
                <w:rFonts w:ascii="Arial" w:cs="Arial" w:eastAsia="Arial" w:hAnsi="Arial"/>
                <w:sz w:val="18"/>
                <w:szCs w:val="18"/>
                <w:color w:val="auto"/>
              </w:rPr>
              <w:t>2,780</w:t>
            </w:r>
          </w:p>
        </w:tc>
        <w:tc>
          <w:tcPr>
            <w:tcW w:w="460" w:type="dxa"/>
            <w:vAlign w:val="bottom"/>
          </w:tcPr>
          <w:p>
            <w:pPr>
              <w:spacing w:after="0"/>
              <w:rPr>
                <w:sz w:val="18"/>
                <w:szCs w:val="18"/>
                <w:color w:val="auto"/>
              </w:rPr>
            </w:pPr>
          </w:p>
        </w:tc>
        <w:tc>
          <w:tcPr>
            <w:tcW w:w="900" w:type="dxa"/>
            <w:vAlign w:val="bottom"/>
          </w:tcPr>
          <w:p>
            <w:pPr>
              <w:jc w:val="right"/>
              <w:ind w:right="76"/>
              <w:spacing w:after="0"/>
              <w:rPr>
                <w:sz w:val="20"/>
                <w:szCs w:val="20"/>
                <w:color w:val="auto"/>
              </w:rPr>
            </w:pPr>
            <w:r>
              <w:rPr>
                <w:rFonts w:ascii="Arial" w:cs="Arial" w:eastAsia="Arial" w:hAnsi="Arial"/>
                <w:sz w:val="18"/>
                <w:szCs w:val="18"/>
                <w:color w:val="auto"/>
              </w:rPr>
              <w:t>1,426</w:t>
            </w:r>
          </w:p>
        </w:tc>
        <w:tc>
          <w:tcPr>
            <w:tcW w:w="480" w:type="dxa"/>
            <w:vAlign w:val="bottom"/>
          </w:tcPr>
          <w:p>
            <w:pPr>
              <w:spacing w:after="0"/>
              <w:rPr>
                <w:sz w:val="18"/>
                <w:szCs w:val="18"/>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1,392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EAF9E8"/>
          </w:tcPr>
          <w:p>
            <w:pPr>
              <w:spacing w:after="0"/>
              <w:rPr>
                <w:sz w:val="20"/>
                <w:szCs w:val="20"/>
                <w:color w:val="auto"/>
              </w:rPr>
            </w:pPr>
            <w:r>
              <w:rPr>
                <w:rFonts w:ascii="Arial" w:cs="Arial" w:eastAsia="Arial" w:hAnsi="Arial"/>
                <w:sz w:val="18"/>
                <w:szCs w:val="18"/>
                <w:color w:val="auto"/>
              </w:rPr>
              <w:t>Losses charged to allowance</w:t>
            </w:r>
          </w:p>
        </w:tc>
        <w:tc>
          <w:tcPr>
            <w:tcW w:w="600" w:type="dxa"/>
            <w:vAlign w:val="bottom"/>
            <w:shd w:val="clear" w:color="auto" w:fill="EAF9E8"/>
          </w:tcPr>
          <w:p>
            <w:pPr>
              <w:spacing w:after="0"/>
              <w:rPr>
                <w:sz w:val="18"/>
                <w:szCs w:val="18"/>
                <w:color w:val="auto"/>
              </w:rPr>
            </w:pPr>
          </w:p>
        </w:tc>
        <w:tc>
          <w:tcPr>
            <w:tcW w:w="880" w:type="dxa"/>
            <w:vAlign w:val="bottom"/>
            <w:shd w:val="clear" w:color="auto" w:fill="EAF9E8"/>
          </w:tcPr>
          <w:p>
            <w:pPr>
              <w:jc w:val="right"/>
              <w:ind w:right="16"/>
              <w:spacing w:after="0"/>
              <w:rPr>
                <w:sz w:val="20"/>
                <w:szCs w:val="20"/>
                <w:color w:val="auto"/>
              </w:rPr>
            </w:pPr>
            <w:r>
              <w:rPr>
                <w:rFonts w:ascii="Arial" w:cs="Arial" w:eastAsia="Arial" w:hAnsi="Arial"/>
                <w:sz w:val="18"/>
                <w:szCs w:val="18"/>
                <w:color w:val="auto"/>
              </w:rPr>
              <w:t>(2,839)</w:t>
            </w:r>
          </w:p>
        </w:tc>
        <w:tc>
          <w:tcPr>
            <w:tcW w:w="460" w:type="dxa"/>
            <w:vAlign w:val="bottom"/>
            <w:shd w:val="clear" w:color="auto" w:fill="EAF9E8"/>
          </w:tcPr>
          <w:p>
            <w:pPr>
              <w:spacing w:after="0"/>
              <w:rPr>
                <w:sz w:val="18"/>
                <w:szCs w:val="18"/>
                <w:color w:val="auto"/>
              </w:rPr>
            </w:pPr>
          </w:p>
        </w:tc>
        <w:tc>
          <w:tcPr>
            <w:tcW w:w="900" w:type="dxa"/>
            <w:vAlign w:val="bottom"/>
            <w:shd w:val="clear" w:color="auto" w:fill="EAF9E8"/>
          </w:tcPr>
          <w:p>
            <w:pPr>
              <w:jc w:val="right"/>
              <w:ind w:right="16"/>
              <w:spacing w:after="0"/>
              <w:rPr>
                <w:sz w:val="20"/>
                <w:szCs w:val="20"/>
                <w:color w:val="auto"/>
              </w:rPr>
            </w:pPr>
            <w:r>
              <w:rPr>
                <w:rFonts w:ascii="Arial" w:cs="Arial" w:eastAsia="Arial" w:hAnsi="Arial"/>
                <w:sz w:val="18"/>
                <w:szCs w:val="18"/>
                <w:color w:val="auto"/>
              </w:rPr>
              <w:t>(1,695)</w:t>
            </w:r>
          </w:p>
        </w:tc>
        <w:tc>
          <w:tcPr>
            <w:tcW w:w="48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Recoveries added to allowance</w:t>
            </w:r>
          </w:p>
        </w:tc>
        <w:tc>
          <w:tcPr>
            <w:tcW w:w="600" w:type="dxa"/>
            <w:vAlign w:val="bottom"/>
          </w:tcPr>
          <w:p>
            <w:pPr>
              <w:spacing w:after="0"/>
              <w:rPr>
                <w:sz w:val="19"/>
                <w:szCs w:val="19"/>
                <w:color w:val="auto"/>
              </w:rPr>
            </w:pPr>
          </w:p>
        </w:tc>
        <w:tc>
          <w:tcPr>
            <w:tcW w:w="880" w:type="dxa"/>
            <w:vAlign w:val="bottom"/>
          </w:tcPr>
          <w:p>
            <w:pPr>
              <w:jc w:val="right"/>
              <w:ind w:right="76"/>
              <w:spacing w:after="0"/>
              <w:rPr>
                <w:sz w:val="20"/>
                <w:szCs w:val="20"/>
                <w:color w:val="auto"/>
              </w:rPr>
            </w:pPr>
            <w:r>
              <w:rPr>
                <w:rFonts w:ascii="Arial" w:cs="Arial" w:eastAsia="Arial" w:hAnsi="Arial"/>
                <w:sz w:val="18"/>
                <w:szCs w:val="18"/>
                <w:color w:val="auto"/>
              </w:rPr>
              <w:t>281</w:t>
            </w:r>
          </w:p>
        </w:tc>
        <w:tc>
          <w:tcPr>
            <w:tcW w:w="460" w:type="dxa"/>
            <w:vAlign w:val="bottom"/>
          </w:tcPr>
          <w:p>
            <w:pPr>
              <w:spacing w:after="0"/>
              <w:rPr>
                <w:sz w:val="19"/>
                <w:szCs w:val="19"/>
                <w:color w:val="auto"/>
              </w:rPr>
            </w:pPr>
          </w:p>
        </w:tc>
        <w:tc>
          <w:tcPr>
            <w:tcW w:w="900" w:type="dxa"/>
            <w:vAlign w:val="bottom"/>
          </w:tcPr>
          <w:p>
            <w:pPr>
              <w:jc w:val="right"/>
              <w:ind w:right="76"/>
              <w:spacing w:after="0"/>
              <w:rPr>
                <w:sz w:val="20"/>
                <w:szCs w:val="20"/>
                <w:color w:val="auto"/>
              </w:rPr>
            </w:pPr>
            <w:r>
              <w:rPr>
                <w:rFonts w:ascii="Arial" w:cs="Arial" w:eastAsia="Arial" w:hAnsi="Arial"/>
                <w:sz w:val="18"/>
                <w:szCs w:val="18"/>
                <w:color w:val="auto"/>
              </w:rPr>
              <w:t>142</w:t>
            </w:r>
          </w:p>
        </w:tc>
        <w:tc>
          <w:tcPr>
            <w:tcW w:w="48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960" w:type="dxa"/>
            <w:vAlign w:val="bottom"/>
            <w:gridSpan w:val="2"/>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EAF9E8"/>
          </w:tcPr>
          <w:p>
            <w:pPr>
              <w:spacing w:after="0"/>
              <w:rPr>
                <w:sz w:val="20"/>
                <w:szCs w:val="20"/>
                <w:color w:val="auto"/>
              </w:rPr>
            </w:pPr>
            <w:r>
              <w:rPr>
                <w:rFonts w:ascii="Arial" w:cs="Arial" w:eastAsia="Arial" w:hAnsi="Arial"/>
                <w:sz w:val="18"/>
                <w:szCs w:val="18"/>
                <w:color w:val="auto"/>
              </w:rPr>
              <w:t>Balance at end of year</w:t>
            </w:r>
          </w:p>
        </w:tc>
        <w:tc>
          <w:tcPr>
            <w:tcW w:w="600" w:type="dxa"/>
            <w:vAlign w:val="bottom"/>
            <w:shd w:val="clear" w:color="auto" w:fill="EAF9E8"/>
          </w:tcPr>
          <w:p>
            <w:pPr>
              <w:jc w:val="right"/>
              <w:ind w:right="192"/>
              <w:spacing w:after="0"/>
              <w:rPr>
                <w:sz w:val="20"/>
                <w:szCs w:val="20"/>
                <w:color w:val="auto"/>
              </w:rPr>
            </w:pPr>
            <w:r>
              <w:rPr>
                <w:rFonts w:ascii="Arial" w:cs="Arial" w:eastAsia="Arial" w:hAnsi="Arial"/>
                <w:sz w:val="18"/>
                <w:szCs w:val="18"/>
                <w:color w:val="auto"/>
              </w:rPr>
              <w:t>$</w:t>
            </w:r>
          </w:p>
        </w:tc>
        <w:tc>
          <w:tcPr>
            <w:tcW w:w="880" w:type="dxa"/>
            <w:vAlign w:val="bottom"/>
            <w:shd w:val="clear" w:color="auto" w:fill="EAF9E8"/>
          </w:tcPr>
          <w:p>
            <w:pPr>
              <w:jc w:val="right"/>
              <w:ind w:right="76"/>
              <w:spacing w:after="0"/>
              <w:rPr>
                <w:sz w:val="20"/>
                <w:szCs w:val="20"/>
                <w:color w:val="auto"/>
              </w:rPr>
            </w:pPr>
            <w:r>
              <w:rPr>
                <w:rFonts w:ascii="Arial" w:cs="Arial" w:eastAsia="Arial" w:hAnsi="Arial"/>
                <w:sz w:val="18"/>
                <w:szCs w:val="18"/>
                <w:color w:val="auto"/>
              </w:rPr>
              <w:t>573</w:t>
            </w:r>
          </w:p>
        </w:tc>
        <w:tc>
          <w:tcPr>
            <w:tcW w:w="460" w:type="dxa"/>
            <w:vAlign w:val="bottom"/>
            <w:shd w:val="clear" w:color="auto" w:fill="EAF9E8"/>
          </w:tcPr>
          <w:p>
            <w:pPr>
              <w:jc w:val="right"/>
              <w:ind w:right="192"/>
              <w:spacing w:after="0"/>
              <w:rPr>
                <w:sz w:val="20"/>
                <w:szCs w:val="20"/>
                <w:color w:val="auto"/>
              </w:rPr>
            </w:pPr>
            <w:r>
              <w:rPr>
                <w:rFonts w:ascii="Arial" w:cs="Arial" w:eastAsia="Arial" w:hAnsi="Arial"/>
                <w:sz w:val="18"/>
                <w:szCs w:val="18"/>
                <w:color w:val="auto"/>
              </w:rPr>
              <w:t>$</w:t>
            </w:r>
          </w:p>
        </w:tc>
        <w:tc>
          <w:tcPr>
            <w:tcW w:w="900" w:type="dxa"/>
            <w:vAlign w:val="bottom"/>
            <w:shd w:val="clear" w:color="auto" w:fill="EAF9E8"/>
          </w:tcPr>
          <w:p>
            <w:pPr>
              <w:jc w:val="right"/>
              <w:ind w:right="76"/>
              <w:spacing w:after="0"/>
              <w:rPr>
                <w:sz w:val="20"/>
                <w:szCs w:val="20"/>
                <w:color w:val="auto"/>
              </w:rPr>
            </w:pPr>
            <w:r>
              <w:rPr>
                <w:rFonts w:ascii="Arial" w:cs="Arial" w:eastAsia="Arial" w:hAnsi="Arial"/>
                <w:sz w:val="18"/>
                <w:szCs w:val="18"/>
                <w:color w:val="auto"/>
              </w:rPr>
              <w:t>351</w:t>
            </w:r>
          </w:p>
        </w:tc>
        <w:tc>
          <w:tcPr>
            <w:tcW w:w="48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rPr>
              <w:t>$</w:t>
            </w:r>
          </w:p>
        </w:tc>
        <w:tc>
          <w:tcPr>
            <w:tcW w:w="840" w:type="dxa"/>
            <w:vAlign w:val="bottom"/>
            <w:shd w:val="clear" w:color="auto" w:fill="EAF9E8"/>
          </w:tcPr>
          <w:p>
            <w:pPr>
              <w:jc w:val="right"/>
              <w:ind w:right="16"/>
              <w:spacing w:after="0"/>
              <w:rPr>
                <w:sz w:val="20"/>
                <w:szCs w:val="20"/>
                <w:color w:val="auto"/>
              </w:rPr>
            </w:pPr>
            <w:r>
              <w:rPr>
                <w:rFonts w:ascii="Arial" w:cs="Arial" w:eastAsia="Arial" w:hAnsi="Arial"/>
                <w:sz w:val="18"/>
                <w:szCs w:val="18"/>
                <w:color w:val="auto"/>
              </w:rPr>
              <w:t>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2179"/>
        <w:spacing w:after="0" w:line="294" w:lineRule="auto"/>
        <w:rPr>
          <w:sz w:val="20"/>
          <w:szCs w:val="20"/>
          <w:color w:val="auto"/>
        </w:rPr>
      </w:pPr>
      <w:r>
        <w:rPr>
          <w:rFonts w:ascii="Arial" w:cs="Arial" w:eastAsia="Arial" w:hAnsi="Arial"/>
          <w:sz w:val="16"/>
          <w:szCs w:val="16"/>
          <w:b w:val="1"/>
          <w:bCs w:val="1"/>
          <w:i w:val="1"/>
          <w:iCs w:val="1"/>
          <w:color w:val="auto"/>
        </w:rPr>
        <w:t xml:space="preserve">Securities and investments: </w:t>
      </w:r>
      <w:r>
        <w:rPr>
          <w:rFonts w:ascii="Arial" w:cs="Arial" w:eastAsia="Arial" w:hAnsi="Arial"/>
          <w:sz w:val="16"/>
          <w:szCs w:val="16"/>
          <w:color w:val="auto"/>
        </w:rPr>
        <w:t>The classifications of debt and equity securities are determined by management 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date individual investments are acquired. The appropriateness of such classification is continually reassessed. The Company monitors the fair value of all investments, and based on factors such as market conditions, financial information and industry conditions, the Company will reflect impairments in values as is warranted. The classification of those securities and the related accounting policies are as follows:</w:t>
      </w:r>
    </w:p>
    <w:p>
      <w:pPr>
        <w:spacing w:after="0" w:line="183" w:lineRule="exact"/>
        <w:rPr>
          <w:sz w:val="20"/>
          <w:szCs w:val="20"/>
          <w:color w:val="auto"/>
        </w:rPr>
      </w:pPr>
    </w:p>
    <w:p>
      <w:pPr>
        <w:ind w:left="500" w:right="2179"/>
        <w:spacing w:after="0" w:line="287" w:lineRule="auto"/>
        <w:rPr>
          <w:sz w:val="20"/>
          <w:szCs w:val="20"/>
          <w:color w:val="auto"/>
        </w:rPr>
      </w:pPr>
      <w:r>
        <w:rPr>
          <w:rFonts w:ascii="Arial" w:cs="Arial" w:eastAsia="Arial" w:hAnsi="Arial"/>
          <w:sz w:val="16"/>
          <w:szCs w:val="16"/>
          <w:i w:val="1"/>
          <w:iCs w:val="1"/>
          <w:color w:val="auto"/>
        </w:rPr>
        <w:t xml:space="preserve">Available-for-Sale Securities: </w:t>
      </w:r>
      <w:r>
        <w:rPr>
          <w:rFonts w:ascii="Arial" w:cs="Arial" w:eastAsia="Arial" w:hAnsi="Arial"/>
          <w:sz w:val="16"/>
          <w:szCs w:val="16"/>
          <w:color w:val="auto"/>
        </w:rPr>
        <w:t>Debt and equity securities classified as available-for-sale consist of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which the Company intends to hold for an indefinite period of time, but not necessarily to maturity. Any decision to sell a security classified as available-for-sale would be based on various factors, including changes in market conditions, liquidity needs and similar criteria. Available-for-sale securities are recorded at fair value as determined by quoted market prices. Unrealized holding gains and losses, net of the related tax effect, are excluded from earnings and are reported as a separate component of other comprehensive income until realized. Realized gains and losses are determined on a specific identification basis. A decline in the market value of any available-for-sale security below cost that is deemed to be other than temporary results in a reduction in the carrying amount to fair value. The impairment is charged to earnings and a new cost basis for the security is established.</w:t>
      </w:r>
    </w:p>
    <w:p>
      <w:pPr>
        <w:spacing w:after="0" w:line="109" w:lineRule="exact"/>
        <w:rPr>
          <w:sz w:val="20"/>
          <w:szCs w:val="20"/>
          <w:color w:val="auto"/>
        </w:rPr>
      </w:pPr>
    </w:p>
    <w:p>
      <w:pPr>
        <w:ind w:left="500" w:right="2319"/>
        <w:spacing w:after="0" w:line="298" w:lineRule="auto"/>
        <w:rPr>
          <w:sz w:val="20"/>
          <w:szCs w:val="20"/>
          <w:color w:val="auto"/>
        </w:rPr>
      </w:pPr>
      <w:r>
        <w:rPr>
          <w:rFonts w:ascii="Arial" w:cs="Arial" w:eastAsia="Arial" w:hAnsi="Arial"/>
          <w:sz w:val="16"/>
          <w:szCs w:val="16"/>
          <w:i w:val="1"/>
          <w:iCs w:val="1"/>
          <w:color w:val="auto"/>
        </w:rPr>
        <w:t xml:space="preserve">Investments Carried at Cost: </w:t>
      </w:r>
      <w:r>
        <w:rPr>
          <w:rFonts w:ascii="Arial" w:cs="Arial" w:eastAsia="Arial" w:hAnsi="Arial"/>
          <w:sz w:val="16"/>
          <w:szCs w:val="16"/>
          <w:color w:val="auto"/>
        </w:rPr>
        <w:t>Investments in common stock in which the Company does not have a</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 ownership (less than 20%) and for which there is no ready market, are carried at cost. Information regarding investments carried at cost is reviewed continuously for evidence of impairment in value. Impairments are charged to earnings and a new cost basis for the investment is established.</w:t>
      </w:r>
    </w:p>
    <w:p>
      <w:pPr>
        <w:spacing w:after="0" w:line="99" w:lineRule="exact"/>
        <w:rPr>
          <w:sz w:val="20"/>
          <w:szCs w:val="20"/>
          <w:color w:val="auto"/>
        </w:rPr>
      </w:pPr>
    </w:p>
    <w:p>
      <w:pPr>
        <w:ind w:left="500" w:right="2159"/>
        <w:spacing w:after="0" w:line="291" w:lineRule="auto"/>
        <w:rPr>
          <w:sz w:val="20"/>
          <w:szCs w:val="20"/>
          <w:color w:val="auto"/>
        </w:rPr>
      </w:pPr>
      <w:r>
        <w:rPr>
          <w:rFonts w:ascii="Arial" w:cs="Arial" w:eastAsia="Arial" w:hAnsi="Arial"/>
          <w:sz w:val="16"/>
          <w:szCs w:val="16"/>
          <w:i w:val="1"/>
          <w:iCs w:val="1"/>
          <w:color w:val="auto"/>
        </w:rPr>
        <w:t xml:space="preserve">Equity Method Investments: </w:t>
      </w:r>
      <w:r>
        <w:rPr>
          <w:rFonts w:ascii="Arial" w:cs="Arial" w:eastAsia="Arial" w:hAnsi="Arial"/>
          <w:sz w:val="16"/>
          <w:szCs w:val="16"/>
          <w:color w:val="auto"/>
        </w:rPr>
        <w:t>Investments in partnerships and in unconsolidated corporations where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ownership is 20% or more, or where the Company otherwise has the ability to exercise significant influence, are reported under the equity method. Under this method, the Company’s equity in earnings or losses of investees is reflected in earnings. Distributions received reduce the carrying value of these investments. The Company recognizes a loss when there is a decline in value of the investment which is other than a temporary decline.</w:t>
      </w:r>
    </w:p>
    <w:p>
      <w:pPr>
        <w:spacing w:after="0" w:line="174" w:lineRule="exact"/>
        <w:rPr>
          <w:sz w:val="20"/>
          <w:szCs w:val="20"/>
          <w:color w:val="auto"/>
        </w:rPr>
      </w:pPr>
    </w:p>
    <w:p>
      <w:pPr>
        <w:ind w:right="2139"/>
        <w:spacing w:after="0" w:line="259" w:lineRule="auto"/>
        <w:rPr>
          <w:sz w:val="20"/>
          <w:szCs w:val="20"/>
          <w:color w:val="auto"/>
        </w:rPr>
      </w:pPr>
      <w:r>
        <w:rPr>
          <w:rFonts w:ascii="Arial" w:cs="Arial" w:eastAsia="Arial" w:hAnsi="Arial"/>
          <w:sz w:val="18"/>
          <w:szCs w:val="18"/>
          <w:b w:val="1"/>
          <w:bCs w:val="1"/>
          <w:i w:val="1"/>
          <w:iCs w:val="1"/>
          <w:color w:val="auto"/>
        </w:rPr>
        <w:t xml:space="preserve">Materials and supplies: </w:t>
      </w:r>
      <w:r>
        <w:rPr>
          <w:rFonts w:ascii="Arial" w:cs="Arial" w:eastAsia="Arial" w:hAnsi="Arial"/>
          <w:sz w:val="18"/>
          <w:szCs w:val="18"/>
          <w:color w:val="auto"/>
        </w:rPr>
        <w:t>New and reusable materials are carried in inventory at the lower of average cost or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Inventory held for sale, such as telephones and accessories, are carried at the lower of average cost or market value. Non-reusable material is carried at estimated salvage value.</w:t>
      </w:r>
    </w:p>
    <w:p>
      <w:pPr>
        <w:spacing w:after="0" w:line="19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90" w:right="1440" w:bottom="1440" w:gutter="0" w:footer="0" w:header="0"/>
        </w:sectPr>
      </w:pPr>
    </w:p>
    <w:bookmarkStart w:id="83" w:name="page84"/>
    <w:bookmarkEnd w:id="83"/>
    <w:p>
      <w:pPr>
        <w:ind w:right="2119"/>
        <w:spacing w:after="0" w:line="285" w:lineRule="auto"/>
        <w:rPr>
          <w:sz w:val="20"/>
          <w:szCs w:val="20"/>
          <w:color w:val="auto"/>
        </w:rPr>
      </w:pPr>
      <w:r>
        <w:rPr>
          <w:rFonts w:ascii="Arial" w:cs="Arial" w:eastAsia="Arial" w:hAnsi="Arial"/>
          <w:sz w:val="16"/>
          <w:szCs w:val="16"/>
          <w:b w:val="1"/>
          <w:bCs w:val="1"/>
          <w:i w:val="1"/>
          <w:iCs w:val="1"/>
          <w:color w:val="auto"/>
        </w:rPr>
        <w:t xml:space="preserve">Property, plant and equipment: </w:t>
      </w:r>
      <w:r>
        <w:rPr>
          <w:rFonts w:ascii="Arial" w:cs="Arial" w:eastAsia="Arial" w:hAnsi="Arial"/>
          <w:sz w:val="16"/>
          <w:szCs w:val="16"/>
          <w:color w:val="auto"/>
        </w:rPr>
        <w:t>Property, plant and equipment is stated at cost. The Company capitalizes all costs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associated with the purchase, deployment and installation of property, plant and equipment, including interest on major capital projects during the period of their construction. Expenditures, including those on leased assets, which extend the useful life or increase its utility, are capitalized. Maintenance expense is recognized when repairs are performed. Depreciation is calculated on the straight-line method over the estimated useful lives of the assets. Depreciation and amortization is not included in the income statement line items “Costs of goods and services” or “Selling, general and administrative.” Depreciation lives are assigned to assets based on their estimated useful lives. Leasehold improvements are depreciated over the lesser of their useful lives or respective lease terms. The Company takes technology changes into consideration as it assigns the estimated useful lives, and monitors the remaining useful lives of asset groups to reasonably match the remaining economic life with the useful life and makes adjustments when necessary. During the years ended December 31, 2005 and 2004, the estimated useful lives of certain asset classes were decreased to reflect the remaining estimated economic useful lives of these assets and as a result, the Company recorded a $0.4 and $0.5 million charge, respectively, for the change in estimated useful lives.</w:t>
      </w:r>
    </w:p>
    <w:p>
      <w:pPr>
        <w:spacing w:after="0" w:line="182" w:lineRule="exact"/>
        <w:rPr>
          <w:sz w:val="20"/>
          <w:szCs w:val="20"/>
          <w:color w:val="auto"/>
        </w:rPr>
      </w:pPr>
    </w:p>
    <w:p>
      <w:pPr>
        <w:ind w:right="2119"/>
        <w:spacing w:after="0" w:line="290" w:lineRule="auto"/>
        <w:rPr>
          <w:sz w:val="20"/>
          <w:szCs w:val="20"/>
          <w:color w:val="auto"/>
        </w:rPr>
      </w:pPr>
      <w:r>
        <w:rPr>
          <w:rFonts w:ascii="Arial" w:cs="Arial" w:eastAsia="Arial" w:hAnsi="Arial"/>
          <w:sz w:val="16"/>
          <w:szCs w:val="16"/>
          <w:b w:val="1"/>
          <w:bCs w:val="1"/>
          <w:i w:val="1"/>
          <w:iCs w:val="1"/>
          <w:color w:val="auto"/>
        </w:rPr>
        <w:t xml:space="preserve">Valuation of long-lived assets: </w:t>
      </w:r>
      <w:r>
        <w:rPr>
          <w:rFonts w:ascii="Arial" w:cs="Arial" w:eastAsia="Arial" w:hAnsi="Arial"/>
          <w:sz w:val="16"/>
          <w:szCs w:val="16"/>
          <w:color w:val="auto"/>
        </w:rPr>
        <w:t>Long-lived assets, such as property, plant, and equipment, and purchased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intangibles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by the amount by which the carrying amount of the asset exceeds the fair value of the asset.</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Fair value</w:t>
      </w:r>
      <w:r>
        <w:rPr>
          <w:rFonts w:ascii="Arial" w:cs="Arial" w:eastAsia="Arial" w:hAnsi="Arial"/>
          <w:sz w:val="15"/>
          <w:szCs w:val="15"/>
          <w:color w:val="auto"/>
        </w:rPr>
        <w:t>: Financial instruments presented on the consolidated balance sheets that approximate fair value include: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receivables, payables, and accrued liabilities.</w:t>
      </w:r>
    </w:p>
    <w:p>
      <w:pPr>
        <w:spacing w:after="0" w:line="219" w:lineRule="exact"/>
        <w:rPr>
          <w:sz w:val="20"/>
          <w:szCs w:val="20"/>
          <w:color w:val="auto"/>
        </w:rPr>
      </w:pPr>
    </w:p>
    <w:p>
      <w:pPr>
        <w:ind w:right="2159"/>
        <w:spacing w:after="0" w:line="286" w:lineRule="auto"/>
        <w:rPr>
          <w:sz w:val="20"/>
          <w:szCs w:val="20"/>
          <w:color w:val="auto"/>
        </w:rPr>
      </w:pPr>
      <w:r>
        <w:rPr>
          <w:rFonts w:ascii="Arial" w:cs="Arial" w:eastAsia="Arial" w:hAnsi="Arial"/>
          <w:sz w:val="16"/>
          <w:szCs w:val="16"/>
          <w:b w:val="1"/>
          <w:bCs w:val="1"/>
          <w:i w:val="1"/>
          <w:iCs w:val="1"/>
          <w:color w:val="auto"/>
        </w:rPr>
        <w:t xml:space="preserve">Asset retirement obligations: </w:t>
      </w:r>
      <w:r>
        <w:rPr>
          <w:rFonts w:ascii="Arial" w:cs="Arial" w:eastAsia="Arial" w:hAnsi="Arial"/>
          <w:sz w:val="16"/>
          <w:szCs w:val="16"/>
          <w:color w:val="auto"/>
        </w:rPr>
        <w:t>The Company adopted Statement of Financial Accounting Standards (“SFAS”) No.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143, “Accounting for Asset Retirement Obligations” effective January 1, 2003. SFAS No. 143 requires the Company to record the fair value of an asset retirement obligation as a liability in the period in which it incurs a legal obligation associated with the retirement of tangible long-lived assets that result from acquisition, construction, development and/or normal use of the assets. The Company also records a corresponding asset, which is depreciated over the life of the asset. Subsequent to the initial measurement of the asset retirement obligation, the obligation is adjusted at the end of each period to reflect the passage of time and changes in the estimated future cash flows underlying the obligation. The Company adopted SFAS No. 143 on January 1, 2003. The impact of the adoption of SFAS No. 143 was the recording of a capitalized asset retirement obligation of $158 thousand, the related accumulated depreciation of $32 thousand, the present value of the future removal obligation of $249 thousand, and the cumulative effect of the accounting change of $76 thousand after taxes recorded on the consolidated statements of income.</w:t>
      </w:r>
    </w:p>
    <w:p>
      <w:pPr>
        <w:spacing w:after="0" w:line="178" w:lineRule="exact"/>
        <w:rPr>
          <w:sz w:val="20"/>
          <w:szCs w:val="20"/>
          <w:color w:val="auto"/>
        </w:rPr>
      </w:pPr>
    </w:p>
    <w:p>
      <w:pPr>
        <w:ind w:right="2159"/>
        <w:spacing w:after="0" w:line="290" w:lineRule="auto"/>
        <w:rPr>
          <w:sz w:val="20"/>
          <w:szCs w:val="20"/>
          <w:color w:val="auto"/>
        </w:rPr>
      </w:pPr>
      <w:r>
        <w:rPr>
          <w:rFonts w:ascii="Arial" w:cs="Arial" w:eastAsia="Arial" w:hAnsi="Arial"/>
          <w:sz w:val="16"/>
          <w:szCs w:val="16"/>
          <w:color w:val="auto"/>
        </w:rPr>
        <w:t>The Company records the retirement obligation on towers owned where there is a legal obligation to remove the tower and restore the site to its original condition, as required by certain operating leases and applicable zoning ordinances of certain jurisdictions, at the time the Company discontinues its use. The obligation is estimated based on the size of the towers. The Company’s cost to remove the tower is amortized over the life of the tower. On December 31, 2005, 2004 and 2003, the liability was $375 thousand, $334 thousand and $300 thousand, respectively. Accretion and depreciation expense for the years ended December 31, 2005, 2004 and 2003 was approximately $46, $20 and $8 thousand before taxes, respectively.</w:t>
      </w:r>
    </w:p>
    <w:p>
      <w:pPr>
        <w:spacing w:after="0" w:line="17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90" w:right="1440" w:bottom="1440" w:gutter="0" w:footer="0" w:header="0"/>
        </w:sectPr>
      </w:pPr>
    </w:p>
    <w:bookmarkStart w:id="84" w:name="page85"/>
    <w:bookmarkEnd w:id="84"/>
    <w:p>
      <w:pPr>
        <w:ind w:right="2279"/>
        <w:spacing w:after="0" w:line="287" w:lineRule="auto"/>
        <w:rPr>
          <w:sz w:val="20"/>
          <w:szCs w:val="20"/>
          <w:color w:val="auto"/>
        </w:rPr>
      </w:pPr>
      <w:r>
        <w:rPr>
          <w:rFonts w:ascii="Arial" w:cs="Arial" w:eastAsia="Arial" w:hAnsi="Arial"/>
          <w:sz w:val="16"/>
          <w:szCs w:val="16"/>
          <w:b w:val="1"/>
          <w:bCs w:val="1"/>
          <w:i w:val="1"/>
          <w:iCs w:val="1"/>
          <w:color w:val="auto"/>
        </w:rPr>
        <w:t xml:space="preserve">Cost in excess of net assets of business acquired and intangible assets: </w:t>
      </w:r>
      <w:r>
        <w:rPr>
          <w:rFonts w:ascii="Arial" w:cs="Arial" w:eastAsia="Arial" w:hAnsi="Arial"/>
          <w:sz w:val="16"/>
          <w:szCs w:val="16"/>
          <w:color w:val="auto"/>
        </w:rPr>
        <w:t>SFAS No.142, “Goodwill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Intangible Assets,” eliminates amortization of goodwill and intangible assets that have indefinite useful lives and requires annual tests of impairment of those assets. SFAS No. 142 also provides specific guidance about how to determine and measure goodwill and intangible asset impairments, and requires additional disclosures of information about goodwill and other intangible assets. Goodwill is assessed annually, at November 30, for impairment and in interim periods if certain events occur indicating that the carrying value may be impaired. No impairment of goodwill was required to be recorded in the years ended December 31, 2005, 2004 or 2003. Goodwill is allocated to the reporting segment responsible for the acquisition that gave rise to the goodwill. The following presents the goodwill balance allocated by segment and changes in the balances for the years ended December 31, 2005, 2004 and 2003:</w:t>
      </w:r>
    </w:p>
    <w:p>
      <w:pPr>
        <w:spacing w:after="0" w:line="17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Converged</w:t>
            </w:r>
          </w:p>
        </w:tc>
        <w:tc>
          <w:tcPr>
            <w:tcW w:w="900" w:type="dxa"/>
            <w:vAlign w:val="bottom"/>
          </w:tcPr>
          <w:p>
            <w:pPr>
              <w:jc w:val="right"/>
              <w:ind w:right="99"/>
              <w:spacing w:after="0"/>
              <w:rPr>
                <w:sz w:val="20"/>
                <w:szCs w:val="20"/>
                <w:color w:val="auto"/>
              </w:rPr>
            </w:pPr>
            <w:r>
              <w:rPr>
                <w:rFonts w:ascii="Arial" w:cs="Arial" w:eastAsia="Arial" w:hAnsi="Arial"/>
                <w:sz w:val="14"/>
                <w:szCs w:val="14"/>
                <w:b w:val="1"/>
                <w:bCs w:val="1"/>
                <w:color w:val="auto"/>
              </w:rPr>
              <w:t>Shentel</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3760" w:type="dxa"/>
            <w:vAlign w:val="bottom"/>
          </w:tcPr>
          <w:p>
            <w:pPr>
              <w:spacing w:after="0"/>
              <w:rPr>
                <w:sz w:val="12"/>
                <w:szCs w:val="12"/>
                <w:color w:val="auto"/>
              </w:rPr>
            </w:pPr>
          </w:p>
        </w:tc>
        <w:tc>
          <w:tcPr>
            <w:tcW w:w="8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9"/>
              </w:rPr>
              <w:t>CATV</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Services</w:t>
            </w:r>
          </w:p>
        </w:tc>
        <w:tc>
          <w:tcPr>
            <w:tcW w:w="900" w:type="dxa"/>
            <w:vAlign w:val="bottom"/>
          </w:tcPr>
          <w:p>
            <w:pPr>
              <w:jc w:val="right"/>
              <w:ind w:right="79"/>
              <w:spacing w:after="0" w:line="149" w:lineRule="exact"/>
              <w:rPr>
                <w:sz w:val="20"/>
                <w:szCs w:val="20"/>
                <w:color w:val="auto"/>
              </w:rPr>
            </w:pPr>
            <w:r>
              <w:rPr>
                <w:rFonts w:ascii="Arial" w:cs="Arial" w:eastAsia="Arial" w:hAnsi="Arial"/>
                <w:sz w:val="14"/>
                <w:szCs w:val="14"/>
                <w:b w:val="1"/>
                <w:bCs w:val="1"/>
                <w:color w:val="auto"/>
              </w:rPr>
              <w:t>Wireless</w:t>
            </w: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4"/>
        </w:trPr>
        <w:tc>
          <w:tcPr>
            <w:tcW w:w="3760" w:type="dxa"/>
            <w:vAlign w:val="bottom"/>
          </w:tcPr>
          <w:p>
            <w:pPr>
              <w:spacing w:after="0"/>
              <w:rPr>
                <w:sz w:val="15"/>
                <w:szCs w:val="15"/>
                <w:color w:val="auto"/>
              </w:rPr>
            </w:pPr>
          </w:p>
        </w:tc>
        <w:tc>
          <w:tcPr>
            <w:tcW w:w="840" w:type="dxa"/>
            <w:vAlign w:val="bottom"/>
          </w:tcPr>
          <w:p>
            <w:pPr>
              <w:jc w:val="center"/>
              <w:ind w:right="17"/>
              <w:spacing w:after="0"/>
              <w:rPr>
                <w:sz w:val="20"/>
                <w:szCs w:val="20"/>
                <w:color w:val="auto"/>
              </w:rPr>
            </w:pPr>
            <w:r>
              <w:rPr>
                <w:rFonts w:ascii="Arial" w:cs="Arial" w:eastAsia="Arial" w:hAnsi="Arial"/>
                <w:sz w:val="14"/>
                <w:szCs w:val="14"/>
                <w:b w:val="1"/>
                <w:bCs w:val="1"/>
                <w:color w:val="auto"/>
                <w:w w:val="84"/>
              </w:rPr>
              <w:t>Segment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4"/>
              </w:rPr>
              <w:t>Segment</w:t>
            </w:r>
          </w:p>
        </w:tc>
        <w:tc>
          <w:tcPr>
            <w:tcW w:w="900" w:type="dxa"/>
            <w:vAlign w:val="bottom"/>
          </w:tcPr>
          <w:p>
            <w:pPr>
              <w:jc w:val="right"/>
              <w:ind w:right="79"/>
              <w:spacing w:after="0"/>
              <w:rPr>
                <w:sz w:val="20"/>
                <w:szCs w:val="20"/>
                <w:color w:val="auto"/>
              </w:rPr>
            </w:pPr>
            <w:r>
              <w:rPr>
                <w:rFonts w:ascii="Arial" w:cs="Arial" w:eastAsia="Arial" w:hAnsi="Arial"/>
                <w:sz w:val="14"/>
                <w:szCs w:val="14"/>
                <w:b w:val="1"/>
                <w:bCs w:val="1"/>
                <w:color w:val="auto"/>
              </w:rPr>
              <w:t>Segment</w:t>
            </w:r>
          </w:p>
        </w:tc>
        <w:tc>
          <w:tcPr>
            <w:tcW w:w="90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w:t>
            </w:r>
          </w:p>
        </w:tc>
      </w:tr>
      <w:tr>
        <w:trPr>
          <w:trHeight w:val="95"/>
        </w:trPr>
        <w:tc>
          <w:tcPr>
            <w:tcW w:w="376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102"/>
        </w:trPr>
        <w:tc>
          <w:tcPr>
            <w:tcW w:w="3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3760" w:type="dxa"/>
            <w:vAlign w:val="bottom"/>
            <w:shd w:val="clear" w:color="auto" w:fill="EAF9E8"/>
          </w:tcPr>
          <w:p>
            <w:pPr>
              <w:spacing w:after="0"/>
              <w:rPr>
                <w:sz w:val="20"/>
                <w:szCs w:val="20"/>
                <w:color w:val="auto"/>
              </w:rPr>
            </w:pPr>
            <w:r>
              <w:rPr>
                <w:rFonts w:ascii="Arial" w:cs="Arial" w:eastAsia="Arial" w:hAnsi="Arial"/>
                <w:sz w:val="18"/>
                <w:szCs w:val="18"/>
                <w:color w:val="auto"/>
              </w:rPr>
              <w:t>Balance as of December 31, 2003</w:t>
            </w:r>
          </w:p>
        </w:tc>
        <w:tc>
          <w:tcPr>
            <w:tcW w:w="8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3,313</w:t>
            </w:r>
          </w:p>
        </w:tc>
        <w:tc>
          <w:tcPr>
            <w:tcW w:w="1080" w:type="dxa"/>
            <w:vAlign w:val="bottom"/>
            <w:shd w:val="clear" w:color="auto" w:fill="EAF9E8"/>
          </w:tcPr>
          <w:p>
            <w:pPr>
              <w:ind w:left="600"/>
              <w:spacing w:after="0"/>
              <w:rPr>
                <w:sz w:val="20"/>
                <w:szCs w:val="20"/>
                <w:color w:val="auto"/>
              </w:rPr>
            </w:pPr>
            <w:r>
              <w:rPr>
                <w:rFonts w:ascii="Arial" w:cs="Arial" w:eastAsia="Arial" w:hAnsi="Arial"/>
                <w:sz w:val="18"/>
                <w:szCs w:val="18"/>
                <w:color w:val="auto"/>
              </w:rPr>
              <w:t>—</w:t>
            </w:r>
          </w:p>
        </w:tc>
        <w:tc>
          <w:tcPr>
            <w:tcW w:w="900" w:type="dxa"/>
            <w:vAlign w:val="bottom"/>
            <w:shd w:val="clear" w:color="auto" w:fill="EAF9E8"/>
          </w:tcPr>
          <w:p>
            <w:pPr>
              <w:jc w:val="right"/>
              <w:ind w:right="159"/>
              <w:spacing w:after="0"/>
              <w:rPr>
                <w:sz w:val="20"/>
                <w:szCs w:val="20"/>
                <w:color w:val="auto"/>
              </w:rPr>
            </w:pPr>
            <w:r>
              <w:rPr>
                <w:rFonts w:ascii="Arial" w:cs="Arial" w:eastAsia="Arial" w:hAnsi="Arial"/>
                <w:sz w:val="18"/>
                <w:szCs w:val="18"/>
                <w:color w:val="auto"/>
              </w:rPr>
              <w:t>—</w:t>
            </w:r>
          </w:p>
        </w:tc>
        <w:tc>
          <w:tcPr>
            <w:tcW w:w="880" w:type="dxa"/>
            <w:vAlign w:val="bottom"/>
            <w:shd w:val="clear" w:color="auto" w:fill="EAF9E8"/>
          </w:tcPr>
          <w:p>
            <w:pPr>
              <w:jc w:val="right"/>
              <w:ind w:right="155"/>
              <w:spacing w:after="0"/>
              <w:rPr>
                <w:sz w:val="20"/>
                <w:szCs w:val="20"/>
                <w:color w:val="auto"/>
              </w:rPr>
            </w:pPr>
            <w:r>
              <w:rPr>
                <w:rFonts w:ascii="Arial" w:cs="Arial" w:eastAsia="Arial" w:hAnsi="Arial"/>
                <w:sz w:val="18"/>
                <w:szCs w:val="18"/>
                <w:color w:val="auto"/>
              </w:rPr>
              <w:t>3,313</w:t>
            </w:r>
          </w:p>
        </w:tc>
        <w:tc>
          <w:tcPr>
            <w:tcW w:w="20" w:type="dxa"/>
            <w:vAlign w:val="bottom"/>
          </w:tcPr>
          <w:p>
            <w:pPr>
              <w:spacing w:after="0"/>
              <w:rPr>
                <w:sz w:val="18"/>
                <w:szCs w:val="18"/>
                <w:color w:val="auto"/>
              </w:rPr>
            </w:pPr>
          </w:p>
        </w:tc>
      </w:tr>
      <w:tr>
        <w:trPr>
          <w:trHeight w:val="222"/>
        </w:trPr>
        <w:tc>
          <w:tcPr>
            <w:tcW w:w="3760" w:type="dxa"/>
            <w:vAlign w:val="bottom"/>
          </w:tcPr>
          <w:p>
            <w:pPr>
              <w:spacing w:after="0"/>
              <w:rPr>
                <w:sz w:val="20"/>
                <w:szCs w:val="20"/>
                <w:color w:val="auto"/>
              </w:rPr>
            </w:pPr>
            <w:r>
              <w:rPr>
                <w:rFonts w:ascii="Arial" w:cs="Arial" w:eastAsia="Arial" w:hAnsi="Arial"/>
                <w:sz w:val="18"/>
                <w:szCs w:val="18"/>
                <w:color w:val="auto"/>
              </w:rPr>
              <w:t>Acquisition (1)</w:t>
            </w:r>
          </w:p>
        </w:tc>
        <w:tc>
          <w:tcPr>
            <w:tcW w:w="840" w:type="dxa"/>
            <w:vAlign w:val="bottom"/>
          </w:tcPr>
          <w:p>
            <w:pPr>
              <w:ind w:left="440"/>
              <w:spacing w:after="0"/>
              <w:rPr>
                <w:sz w:val="20"/>
                <w:szCs w:val="20"/>
                <w:color w:val="auto"/>
              </w:rPr>
            </w:pPr>
            <w:r>
              <w:rPr>
                <w:rFonts w:ascii="Arial" w:cs="Arial" w:eastAsia="Arial" w:hAnsi="Arial"/>
                <w:sz w:val="18"/>
                <w:szCs w:val="18"/>
                <w:color w:val="auto"/>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5,550</w:t>
            </w:r>
          </w:p>
        </w:tc>
        <w:tc>
          <w:tcPr>
            <w:tcW w:w="900" w:type="dxa"/>
            <w:vAlign w:val="bottom"/>
          </w:tcPr>
          <w:p>
            <w:pPr>
              <w:jc w:val="right"/>
              <w:ind w:right="159"/>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5"/>
              <w:spacing w:after="0"/>
              <w:rPr>
                <w:sz w:val="20"/>
                <w:szCs w:val="20"/>
                <w:color w:val="auto"/>
              </w:rPr>
            </w:pPr>
            <w:r>
              <w:rPr>
                <w:rFonts w:ascii="Arial" w:cs="Arial" w:eastAsia="Arial" w:hAnsi="Arial"/>
                <w:sz w:val="18"/>
                <w:szCs w:val="18"/>
                <w:color w:val="auto"/>
              </w:rPr>
              <w:t>5,550</w:t>
            </w:r>
          </w:p>
        </w:tc>
        <w:tc>
          <w:tcPr>
            <w:tcW w:w="20" w:type="dxa"/>
            <w:vAlign w:val="bottom"/>
          </w:tcPr>
          <w:p>
            <w:pPr>
              <w:spacing w:after="0"/>
              <w:rPr>
                <w:sz w:val="19"/>
                <w:szCs w:val="19"/>
                <w:color w:val="auto"/>
              </w:rPr>
            </w:pPr>
          </w:p>
        </w:tc>
      </w:tr>
      <w:tr>
        <w:trPr>
          <w:trHeight w:val="102"/>
        </w:trPr>
        <w:tc>
          <w:tcPr>
            <w:tcW w:w="376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102"/>
        </w:trPr>
        <w:tc>
          <w:tcPr>
            <w:tcW w:w="3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3760" w:type="dxa"/>
            <w:vAlign w:val="bottom"/>
            <w:shd w:val="clear" w:color="auto" w:fill="EAF9E8"/>
          </w:tcPr>
          <w:p>
            <w:pPr>
              <w:spacing w:after="0"/>
              <w:rPr>
                <w:sz w:val="20"/>
                <w:szCs w:val="20"/>
                <w:color w:val="auto"/>
              </w:rPr>
            </w:pPr>
            <w:r>
              <w:rPr>
                <w:rFonts w:ascii="Arial" w:cs="Arial" w:eastAsia="Arial" w:hAnsi="Arial"/>
                <w:sz w:val="18"/>
                <w:szCs w:val="18"/>
                <w:color w:val="auto"/>
              </w:rPr>
              <w:t>Balance as of December 31, 2004</w:t>
            </w:r>
          </w:p>
        </w:tc>
        <w:tc>
          <w:tcPr>
            <w:tcW w:w="8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3,313</w:t>
            </w:r>
          </w:p>
        </w:tc>
        <w:tc>
          <w:tcPr>
            <w:tcW w:w="10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5,550</w:t>
            </w:r>
          </w:p>
        </w:tc>
        <w:tc>
          <w:tcPr>
            <w:tcW w:w="900" w:type="dxa"/>
            <w:vAlign w:val="bottom"/>
            <w:shd w:val="clear" w:color="auto" w:fill="EAF9E8"/>
          </w:tcPr>
          <w:p>
            <w:pPr>
              <w:jc w:val="right"/>
              <w:ind w:right="159"/>
              <w:spacing w:after="0"/>
              <w:rPr>
                <w:sz w:val="20"/>
                <w:szCs w:val="20"/>
                <w:color w:val="auto"/>
              </w:rPr>
            </w:pPr>
            <w:r>
              <w:rPr>
                <w:rFonts w:ascii="Arial" w:cs="Arial" w:eastAsia="Arial" w:hAnsi="Arial"/>
                <w:sz w:val="18"/>
                <w:szCs w:val="18"/>
                <w:color w:val="auto"/>
              </w:rPr>
              <w:t>—</w:t>
            </w:r>
          </w:p>
        </w:tc>
        <w:tc>
          <w:tcPr>
            <w:tcW w:w="880" w:type="dxa"/>
            <w:vAlign w:val="bottom"/>
            <w:shd w:val="clear" w:color="auto" w:fill="EAF9E8"/>
          </w:tcPr>
          <w:p>
            <w:pPr>
              <w:jc w:val="right"/>
              <w:ind w:right="155"/>
              <w:spacing w:after="0"/>
              <w:rPr>
                <w:sz w:val="20"/>
                <w:szCs w:val="20"/>
                <w:color w:val="auto"/>
              </w:rPr>
            </w:pPr>
            <w:r>
              <w:rPr>
                <w:rFonts w:ascii="Arial" w:cs="Arial" w:eastAsia="Arial" w:hAnsi="Arial"/>
                <w:sz w:val="18"/>
                <w:szCs w:val="18"/>
                <w:color w:val="auto"/>
              </w:rPr>
              <w:t>8,863</w:t>
            </w:r>
          </w:p>
        </w:tc>
        <w:tc>
          <w:tcPr>
            <w:tcW w:w="20" w:type="dxa"/>
            <w:vAlign w:val="bottom"/>
          </w:tcPr>
          <w:p>
            <w:pPr>
              <w:spacing w:after="0"/>
              <w:rPr>
                <w:sz w:val="18"/>
                <w:szCs w:val="18"/>
                <w:color w:val="auto"/>
              </w:rPr>
            </w:pPr>
          </w:p>
        </w:tc>
      </w:tr>
      <w:tr>
        <w:trPr>
          <w:trHeight w:val="108"/>
        </w:trPr>
        <w:tc>
          <w:tcPr>
            <w:tcW w:w="376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316"/>
        </w:trPr>
        <w:tc>
          <w:tcPr>
            <w:tcW w:w="3760" w:type="dxa"/>
            <w:vAlign w:val="bottom"/>
          </w:tcPr>
          <w:p>
            <w:pPr>
              <w:spacing w:after="0"/>
              <w:rPr>
                <w:sz w:val="20"/>
                <w:szCs w:val="20"/>
                <w:color w:val="auto"/>
              </w:rPr>
            </w:pPr>
            <w:r>
              <w:rPr>
                <w:rFonts w:ascii="Arial" w:cs="Arial" w:eastAsia="Arial" w:hAnsi="Arial"/>
                <w:sz w:val="18"/>
                <w:szCs w:val="18"/>
                <w:color w:val="auto"/>
              </w:rPr>
              <w:t>NTC purchase price adjustment (2)</w:t>
            </w:r>
          </w:p>
        </w:tc>
        <w:tc>
          <w:tcPr>
            <w:tcW w:w="840" w:type="dxa"/>
            <w:vAlign w:val="bottom"/>
          </w:tcPr>
          <w:p>
            <w:pPr>
              <w:ind w:left="4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79"/>
              <w:spacing w:after="0"/>
              <w:rPr>
                <w:sz w:val="20"/>
                <w:szCs w:val="20"/>
                <w:color w:val="auto"/>
              </w:rPr>
            </w:pPr>
            <w:r>
              <w:rPr>
                <w:rFonts w:ascii="Arial" w:cs="Arial" w:eastAsia="Arial" w:hAnsi="Arial"/>
                <w:sz w:val="18"/>
                <w:szCs w:val="18"/>
                <w:color w:val="auto"/>
              </w:rPr>
              <w:t>989</w:t>
            </w:r>
          </w:p>
        </w:tc>
        <w:tc>
          <w:tcPr>
            <w:tcW w:w="900" w:type="dxa"/>
            <w:vAlign w:val="bottom"/>
          </w:tcPr>
          <w:p>
            <w:pPr>
              <w:jc w:val="right"/>
              <w:ind w:right="159"/>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5"/>
              <w:spacing w:after="0"/>
              <w:rPr>
                <w:sz w:val="20"/>
                <w:szCs w:val="20"/>
                <w:color w:val="auto"/>
              </w:rPr>
            </w:pPr>
            <w:r>
              <w:rPr>
                <w:rFonts w:ascii="Arial" w:cs="Arial" w:eastAsia="Arial" w:hAnsi="Arial"/>
                <w:sz w:val="18"/>
                <w:szCs w:val="18"/>
                <w:color w:val="auto"/>
              </w:rPr>
              <w:t>989</w:t>
            </w:r>
          </w:p>
        </w:tc>
        <w:tc>
          <w:tcPr>
            <w:tcW w:w="20" w:type="dxa"/>
            <w:vAlign w:val="bottom"/>
          </w:tcPr>
          <w:p>
            <w:pPr>
              <w:spacing w:after="0"/>
              <w:rPr>
                <w:sz w:val="24"/>
                <w:szCs w:val="24"/>
                <w:color w:val="auto"/>
              </w:rPr>
            </w:pPr>
          </w:p>
        </w:tc>
      </w:tr>
      <w:tr>
        <w:trPr>
          <w:trHeight w:val="110"/>
        </w:trPr>
        <w:tc>
          <w:tcPr>
            <w:tcW w:w="376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102"/>
        </w:trPr>
        <w:tc>
          <w:tcPr>
            <w:tcW w:w="3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3760" w:type="dxa"/>
            <w:vAlign w:val="bottom"/>
            <w:shd w:val="clear" w:color="auto" w:fill="EAF9E8"/>
          </w:tcPr>
          <w:p>
            <w:pPr>
              <w:spacing w:after="0"/>
              <w:rPr>
                <w:sz w:val="20"/>
                <w:szCs w:val="20"/>
                <w:color w:val="auto"/>
              </w:rPr>
            </w:pPr>
            <w:r>
              <w:rPr>
                <w:rFonts w:ascii="Arial" w:cs="Arial" w:eastAsia="Arial" w:hAnsi="Arial"/>
                <w:sz w:val="18"/>
                <w:szCs w:val="18"/>
                <w:color w:val="auto"/>
              </w:rPr>
              <w:t>Acquisition (3)</w:t>
            </w:r>
          </w:p>
        </w:tc>
        <w:tc>
          <w:tcPr>
            <w:tcW w:w="840" w:type="dxa"/>
            <w:vAlign w:val="bottom"/>
            <w:shd w:val="clear" w:color="auto" w:fill="EAF9E8"/>
          </w:tcPr>
          <w:p>
            <w:pPr>
              <w:ind w:left="4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AF9E8"/>
          </w:tcPr>
          <w:p>
            <w:pPr>
              <w:ind w:left="600"/>
              <w:spacing w:after="0"/>
              <w:rPr>
                <w:sz w:val="20"/>
                <w:szCs w:val="20"/>
                <w:color w:val="auto"/>
              </w:rPr>
            </w:pPr>
            <w:r>
              <w:rPr>
                <w:rFonts w:ascii="Arial" w:cs="Arial" w:eastAsia="Arial" w:hAnsi="Arial"/>
                <w:sz w:val="18"/>
                <w:szCs w:val="18"/>
                <w:color w:val="auto"/>
              </w:rPr>
              <w:t>—</w:t>
            </w:r>
          </w:p>
        </w:tc>
        <w:tc>
          <w:tcPr>
            <w:tcW w:w="900" w:type="dxa"/>
            <w:vAlign w:val="bottom"/>
            <w:shd w:val="clear" w:color="auto" w:fill="EAF9E8"/>
          </w:tcPr>
          <w:p>
            <w:pPr>
              <w:jc w:val="right"/>
              <w:ind w:right="179"/>
              <w:spacing w:after="0"/>
              <w:rPr>
                <w:sz w:val="20"/>
                <w:szCs w:val="20"/>
                <w:color w:val="auto"/>
              </w:rPr>
            </w:pPr>
            <w:r>
              <w:rPr>
                <w:rFonts w:ascii="Arial" w:cs="Arial" w:eastAsia="Arial" w:hAnsi="Arial"/>
                <w:sz w:val="18"/>
                <w:szCs w:val="18"/>
                <w:color w:val="auto"/>
              </w:rPr>
              <w:t>251</w:t>
            </w:r>
          </w:p>
        </w:tc>
        <w:tc>
          <w:tcPr>
            <w:tcW w:w="880" w:type="dxa"/>
            <w:vAlign w:val="bottom"/>
            <w:shd w:val="clear" w:color="auto" w:fill="EAF9E8"/>
          </w:tcPr>
          <w:p>
            <w:pPr>
              <w:jc w:val="right"/>
              <w:ind w:right="155"/>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18"/>
                <w:szCs w:val="18"/>
                <w:color w:val="auto"/>
              </w:rPr>
            </w:pPr>
          </w:p>
        </w:tc>
      </w:tr>
      <w:tr>
        <w:trPr>
          <w:trHeight w:val="118"/>
        </w:trPr>
        <w:tc>
          <w:tcPr>
            <w:tcW w:w="376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r>
        <w:trPr>
          <w:trHeight w:val="319"/>
        </w:trPr>
        <w:tc>
          <w:tcPr>
            <w:tcW w:w="3760" w:type="dxa"/>
            <w:vAlign w:val="bottom"/>
          </w:tcPr>
          <w:p>
            <w:pPr>
              <w:spacing w:after="0"/>
              <w:rPr>
                <w:sz w:val="20"/>
                <w:szCs w:val="20"/>
                <w:color w:val="auto"/>
              </w:rPr>
            </w:pPr>
            <w:r>
              <w:rPr>
                <w:rFonts w:ascii="Arial" w:cs="Arial" w:eastAsia="Arial" w:hAnsi="Arial"/>
                <w:sz w:val="18"/>
                <w:szCs w:val="18"/>
                <w:color w:val="auto"/>
              </w:rPr>
              <w:t>Balance as of December 31, 2005</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3,313</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6,539</w:t>
            </w:r>
          </w:p>
        </w:tc>
        <w:tc>
          <w:tcPr>
            <w:tcW w:w="900" w:type="dxa"/>
            <w:vAlign w:val="bottom"/>
          </w:tcPr>
          <w:p>
            <w:pPr>
              <w:jc w:val="right"/>
              <w:ind w:right="179"/>
              <w:spacing w:after="0"/>
              <w:rPr>
                <w:sz w:val="20"/>
                <w:szCs w:val="20"/>
                <w:color w:val="auto"/>
              </w:rPr>
            </w:pPr>
            <w:r>
              <w:rPr>
                <w:rFonts w:ascii="Arial" w:cs="Arial" w:eastAsia="Arial" w:hAnsi="Arial"/>
                <w:sz w:val="18"/>
                <w:szCs w:val="18"/>
                <w:color w:val="auto"/>
              </w:rPr>
              <w:t>251</w:t>
            </w:r>
          </w:p>
        </w:tc>
        <w:tc>
          <w:tcPr>
            <w:tcW w:w="880" w:type="dxa"/>
            <w:vAlign w:val="bottom"/>
          </w:tcPr>
          <w:p>
            <w:pPr>
              <w:jc w:val="right"/>
              <w:ind w:right="155"/>
              <w:spacing w:after="0"/>
              <w:rPr>
                <w:sz w:val="20"/>
                <w:szCs w:val="20"/>
                <w:color w:val="auto"/>
              </w:rPr>
            </w:pPr>
            <w:r>
              <w:rPr>
                <w:rFonts w:ascii="Arial" w:cs="Arial" w:eastAsia="Arial" w:hAnsi="Arial"/>
                <w:sz w:val="18"/>
                <w:szCs w:val="18"/>
                <w:color w:val="auto"/>
              </w:rPr>
              <w:t>10,103</w:t>
            </w:r>
          </w:p>
        </w:tc>
        <w:tc>
          <w:tcPr>
            <w:tcW w:w="20" w:type="dxa"/>
            <w:vAlign w:val="bottom"/>
          </w:tcPr>
          <w:p>
            <w:pPr>
              <w:spacing w:after="0"/>
              <w:rPr>
                <w:sz w:val="24"/>
                <w:szCs w:val="24"/>
                <w:color w:val="auto"/>
              </w:rPr>
            </w:pPr>
          </w:p>
        </w:tc>
      </w:tr>
      <w:tr>
        <w:trPr>
          <w:trHeight w:val="120"/>
        </w:trPr>
        <w:tc>
          <w:tcPr>
            <w:tcW w:w="376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-306070</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-306070</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-14605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280670</wp:posOffset>
            </wp:positionV>
            <wp:extent cx="10464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1140" w:hanging="484"/>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Goodwill recorded for the NTC acquisition (Note 15).</w:t>
      </w:r>
    </w:p>
    <w:p>
      <w:pPr>
        <w:spacing w:after="0" w:line="157" w:lineRule="exact"/>
        <w:rPr>
          <w:rFonts w:ascii="Arial" w:cs="Arial" w:eastAsia="Arial" w:hAnsi="Arial"/>
          <w:sz w:val="18"/>
          <w:szCs w:val="18"/>
          <w:color w:val="auto"/>
        </w:rPr>
      </w:pPr>
    </w:p>
    <w:p>
      <w:pPr>
        <w:ind w:left="1140" w:right="2199" w:hanging="484"/>
        <w:spacing w:after="0" w:line="255"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the third quarter of 2005, the Company recorded an adjustment to the initial allocation of the purchase price for the November 30, 2004 acquisition of NTC (Note 15). Property, plant and equipment was reduced by approximately $1.5 million with a corresponding increase to goodwill. In addition, goodwill was reduced by approximately $0.5 million as a result of settling the escrow funds dispute.</w:t>
      </w:r>
    </w:p>
    <w:p>
      <w:pPr>
        <w:spacing w:after="0" w:line="129" w:lineRule="exact"/>
        <w:rPr>
          <w:rFonts w:ascii="Arial" w:cs="Arial" w:eastAsia="Arial" w:hAnsi="Arial"/>
          <w:sz w:val="18"/>
          <w:szCs w:val="18"/>
          <w:color w:val="auto"/>
        </w:rPr>
      </w:pPr>
    </w:p>
    <w:p>
      <w:pPr>
        <w:ind w:left="1140" w:hanging="484"/>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Goodwill recorded for the Broadband Metro Communications acquisition (Note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in the goodwill balance for the year ended December 31,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 of the following at December 31, 2005 and 2004:</w:t>
      </w:r>
    </w:p>
    <w:p>
      <w:pPr>
        <w:spacing w:after="0" w:line="234" w:lineRule="exact"/>
        <w:rPr>
          <w:sz w:val="20"/>
          <w:szCs w:val="20"/>
          <w:color w:val="auto"/>
        </w:rPr>
      </w:pPr>
    </w:p>
    <w:tbl>
      <w:tblPr>
        <w:tblLayout w:type="fixed"/>
        <w:tblInd w:w="500" w:type="dxa"/>
        <w:tblCellMar>
          <w:top w:w="0" w:type="dxa"/>
          <w:left w:w="0" w:type="dxa"/>
          <w:bottom w:w="0" w:type="dxa"/>
          <w:right w:w="0" w:type="dxa"/>
        </w:tblCellMar>
      </w:tblPr>
      <w:tr>
        <w:trPr>
          <w:trHeight w:val="174"/>
        </w:trPr>
        <w:tc>
          <w:tcPr>
            <w:tcW w:w="1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ind w:left="160"/>
              <w:spacing w:after="0"/>
              <w:rPr>
                <w:sz w:val="20"/>
                <w:szCs w:val="20"/>
                <w:color w:val="auto"/>
              </w:rPr>
            </w:pPr>
            <w:r>
              <w:rPr>
                <w:rFonts w:ascii="Arial" w:cs="Arial" w:eastAsia="Arial" w:hAnsi="Arial"/>
                <w:sz w:val="14"/>
                <w:szCs w:val="14"/>
                <w:b w:val="1"/>
                <w:bCs w:val="1"/>
                <w:color w:val="auto"/>
              </w:rPr>
              <w:t>2005</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ind w:left="180"/>
              <w:spacing w:after="0"/>
              <w:rPr>
                <w:sz w:val="20"/>
                <w:szCs w:val="20"/>
                <w:color w:val="auto"/>
              </w:rPr>
            </w:pPr>
            <w:r>
              <w:rPr>
                <w:rFonts w:ascii="Arial" w:cs="Arial" w:eastAsia="Arial" w:hAnsi="Arial"/>
                <w:sz w:val="14"/>
                <w:szCs w:val="14"/>
                <w:b w:val="1"/>
                <w:bCs w:val="1"/>
                <w:color w:val="auto"/>
              </w:rPr>
              <w:t>2004</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12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237"/>
        </w:trPr>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center"/>
              <w:ind w:right="160"/>
              <w:spacing w:after="0"/>
              <w:rPr>
                <w:sz w:val="20"/>
                <w:szCs w:val="20"/>
                <w:color w:val="auto"/>
              </w:rPr>
            </w:pPr>
            <w:r>
              <w:rPr>
                <w:rFonts w:ascii="Arial" w:cs="Arial" w:eastAsia="Arial" w:hAnsi="Arial"/>
                <w:sz w:val="14"/>
                <w:szCs w:val="14"/>
                <w:b w:val="1"/>
                <w:bCs w:val="1"/>
                <w:color w:val="auto"/>
                <w:w w:val="83"/>
              </w:rPr>
              <w:t>Gross</w:t>
            </w: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49"/>
        </w:trPr>
        <w:tc>
          <w:tcPr>
            <w:tcW w:w="1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Carrying</w:t>
            </w:r>
          </w:p>
        </w:tc>
        <w:tc>
          <w:tcPr>
            <w:tcW w:w="11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Gross Carrying</w:t>
            </w:r>
          </w:p>
        </w:tc>
        <w:tc>
          <w:tcPr>
            <w:tcW w:w="116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4"/>
        </w:trPr>
        <w:tc>
          <w:tcPr>
            <w:tcW w:w="1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center"/>
              <w:ind w:right="180"/>
              <w:spacing w:after="0"/>
              <w:rPr>
                <w:sz w:val="20"/>
                <w:szCs w:val="20"/>
                <w:color w:val="auto"/>
              </w:rPr>
            </w:pPr>
            <w:r>
              <w:rPr>
                <w:rFonts w:ascii="Arial" w:cs="Arial" w:eastAsia="Arial" w:hAnsi="Arial"/>
                <w:sz w:val="14"/>
                <w:szCs w:val="14"/>
                <w:b w:val="1"/>
                <w:bCs w:val="1"/>
                <w:color w:val="auto"/>
                <w:w w:val="90"/>
              </w:rPr>
              <w:t>Amount</w:t>
            </w: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5"/>
                <w:szCs w:val="15"/>
                <w:color w:val="auto"/>
              </w:rPr>
            </w:pPr>
          </w:p>
        </w:tc>
        <w:tc>
          <w:tcPr>
            <w:tcW w:w="560" w:type="dxa"/>
            <w:vAlign w:val="bottom"/>
          </w:tcPr>
          <w:p>
            <w:pPr>
              <w:jc w:val="right"/>
              <w:ind w:right="236"/>
              <w:spacing w:after="0"/>
              <w:rPr>
                <w:sz w:val="20"/>
                <w:szCs w:val="20"/>
                <w:color w:val="auto"/>
              </w:rPr>
            </w:pPr>
            <w:r>
              <w:rPr>
                <w:rFonts w:ascii="Arial" w:cs="Arial" w:eastAsia="Arial" w:hAnsi="Arial"/>
                <w:sz w:val="14"/>
                <w:szCs w:val="14"/>
                <w:b w:val="1"/>
                <w:bCs w:val="1"/>
                <w:color w:val="auto"/>
                <w:w w:val="97"/>
              </w:rPr>
              <w:t>Net</w:t>
            </w:r>
          </w:p>
        </w:tc>
        <w:tc>
          <w:tcPr>
            <w:tcW w:w="300" w:type="dxa"/>
            <w:vAlign w:val="bottom"/>
          </w:tcPr>
          <w:p>
            <w:pPr>
              <w:spacing w:after="0"/>
              <w:rPr>
                <w:sz w:val="15"/>
                <w:szCs w:val="15"/>
                <w:color w:val="auto"/>
              </w:rPr>
            </w:pPr>
          </w:p>
        </w:tc>
        <w:tc>
          <w:tcPr>
            <w:tcW w:w="900" w:type="dxa"/>
            <w:vAlign w:val="bottom"/>
          </w:tcPr>
          <w:p>
            <w:pPr>
              <w:jc w:val="right"/>
              <w:ind w:right="276"/>
              <w:spacing w:after="0"/>
              <w:rPr>
                <w:sz w:val="20"/>
                <w:szCs w:val="20"/>
                <w:color w:val="auto"/>
              </w:rPr>
            </w:pPr>
            <w:r>
              <w:rPr>
                <w:rFonts w:ascii="Arial" w:cs="Arial" w:eastAsia="Arial" w:hAnsi="Arial"/>
                <w:sz w:val="14"/>
                <w:szCs w:val="14"/>
                <w:b w:val="1"/>
                <w:bCs w:val="1"/>
                <w:color w:val="auto"/>
                <w:w w:val="98"/>
              </w:rPr>
              <w:t>Amount</w:t>
            </w: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5"/>
                <w:szCs w:val="15"/>
                <w:color w:val="auto"/>
              </w:rPr>
            </w:pPr>
          </w:p>
        </w:tc>
        <w:tc>
          <w:tcPr>
            <w:tcW w:w="580" w:type="dxa"/>
            <w:vAlign w:val="bottom"/>
            <w:gridSpan w:val="2"/>
          </w:tcPr>
          <w:p>
            <w:pPr>
              <w:ind w:left="60"/>
              <w:spacing w:after="0"/>
              <w:rPr>
                <w:sz w:val="20"/>
                <w:szCs w:val="20"/>
                <w:color w:val="auto"/>
              </w:rPr>
            </w:pPr>
            <w:r>
              <w:rPr>
                <w:rFonts w:ascii="Arial" w:cs="Arial" w:eastAsia="Arial" w:hAnsi="Arial"/>
                <w:sz w:val="14"/>
                <w:szCs w:val="14"/>
                <w:b w:val="1"/>
                <w:bCs w:val="1"/>
                <w:color w:val="auto"/>
              </w:rPr>
              <w:t>Net</w:t>
            </w:r>
          </w:p>
        </w:tc>
      </w:tr>
      <w:tr>
        <w:trPr>
          <w:trHeight w:val="95"/>
        </w:trPr>
        <w:tc>
          <w:tcPr>
            <w:tcW w:w="12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102"/>
        </w:trPr>
        <w:tc>
          <w:tcPr>
            <w:tcW w:w="1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8"/>
        </w:trPr>
        <w:tc>
          <w:tcPr>
            <w:tcW w:w="1280" w:type="dxa"/>
            <w:vAlign w:val="bottom"/>
            <w:shd w:val="clear" w:color="auto" w:fill="EAF9E8"/>
          </w:tcPr>
          <w:p>
            <w:pPr>
              <w:spacing w:after="0"/>
              <w:rPr>
                <w:sz w:val="20"/>
                <w:szCs w:val="20"/>
                <w:color w:val="auto"/>
              </w:rPr>
            </w:pPr>
            <w:r>
              <w:rPr>
                <w:rFonts w:ascii="Arial" w:cs="Arial" w:eastAsia="Arial" w:hAnsi="Arial"/>
                <w:sz w:val="18"/>
                <w:szCs w:val="18"/>
                <w:color w:val="auto"/>
              </w:rPr>
              <w:t>Business</w:t>
            </w:r>
          </w:p>
        </w:tc>
        <w:tc>
          <w:tcPr>
            <w:tcW w:w="3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1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contracts</w:t>
            </w:r>
          </w:p>
        </w:tc>
        <w:tc>
          <w:tcPr>
            <w:tcW w:w="3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AF9E8"/>
          </w:tcPr>
          <w:p>
            <w:pPr>
              <w:jc w:val="right"/>
              <w:ind w:right="40"/>
              <w:spacing w:after="0"/>
              <w:rPr>
                <w:sz w:val="20"/>
                <w:szCs w:val="20"/>
                <w:color w:val="auto"/>
              </w:rPr>
            </w:pPr>
            <w:r>
              <w:rPr>
                <w:rFonts w:ascii="Arial" w:cs="Arial" w:eastAsia="Arial" w:hAnsi="Arial"/>
                <w:sz w:val="18"/>
                <w:szCs w:val="18"/>
                <w:color w:val="auto"/>
              </w:rPr>
              <w:t>2,823</w:t>
            </w:r>
          </w:p>
        </w:tc>
        <w:tc>
          <w:tcPr>
            <w:tcW w:w="540" w:type="dxa"/>
            <w:vAlign w:val="bottom"/>
            <w:shd w:val="clear" w:color="auto" w:fill="EAF9E8"/>
          </w:tcPr>
          <w:p>
            <w:pPr>
              <w:jc w:val="right"/>
              <w:ind w:right="264"/>
              <w:spacing w:after="0"/>
              <w:rPr>
                <w:sz w:val="20"/>
                <w:szCs w:val="20"/>
                <w:color w:val="auto"/>
              </w:rPr>
            </w:pPr>
            <w:r>
              <w:rPr>
                <w:rFonts w:ascii="Arial" w:cs="Arial" w:eastAsia="Arial" w:hAnsi="Arial"/>
                <w:sz w:val="18"/>
                <w:szCs w:val="18"/>
                <w:color w:val="auto"/>
              </w:rPr>
              <w:t>$</w:t>
            </w:r>
          </w:p>
        </w:tc>
        <w:tc>
          <w:tcPr>
            <w:tcW w:w="6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(291)</w:t>
            </w:r>
          </w:p>
        </w:tc>
        <w:tc>
          <w:tcPr>
            <w:tcW w:w="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AF9E8"/>
          </w:tcPr>
          <w:p>
            <w:pPr>
              <w:jc w:val="right"/>
              <w:ind w:right="36"/>
              <w:spacing w:after="0"/>
              <w:rPr>
                <w:sz w:val="20"/>
                <w:szCs w:val="20"/>
                <w:color w:val="auto"/>
              </w:rPr>
            </w:pPr>
            <w:r>
              <w:rPr>
                <w:rFonts w:ascii="Arial" w:cs="Arial" w:eastAsia="Arial" w:hAnsi="Arial"/>
                <w:sz w:val="18"/>
                <w:szCs w:val="18"/>
                <w:color w:val="auto"/>
                <w:w w:val="93"/>
              </w:rPr>
              <w:t>2,532</w:t>
            </w:r>
          </w:p>
        </w:tc>
        <w:tc>
          <w:tcPr>
            <w:tcW w:w="3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EAF9E8"/>
          </w:tcPr>
          <w:p>
            <w:pPr>
              <w:jc w:val="right"/>
              <w:ind w:right="36"/>
              <w:spacing w:after="0"/>
              <w:rPr>
                <w:sz w:val="20"/>
                <w:szCs w:val="20"/>
                <w:color w:val="auto"/>
              </w:rPr>
            </w:pPr>
            <w:r>
              <w:rPr>
                <w:rFonts w:ascii="Arial" w:cs="Arial" w:eastAsia="Arial" w:hAnsi="Arial"/>
                <w:sz w:val="18"/>
                <w:szCs w:val="18"/>
                <w:color w:val="auto"/>
              </w:rPr>
              <w:t>2,653</w:t>
            </w:r>
          </w:p>
        </w:tc>
        <w:tc>
          <w:tcPr>
            <w:tcW w:w="580" w:type="dxa"/>
            <w:vAlign w:val="bottom"/>
            <w:shd w:val="clear" w:color="auto" w:fill="EAF9E8"/>
          </w:tcPr>
          <w:p>
            <w:pPr>
              <w:jc w:val="right"/>
              <w:ind w:right="284"/>
              <w:spacing w:after="0"/>
              <w:rPr>
                <w:sz w:val="20"/>
                <w:szCs w:val="20"/>
                <w:color w:val="auto"/>
              </w:rPr>
            </w:pPr>
            <w:r>
              <w:rPr>
                <w:rFonts w:ascii="Arial" w:cs="Arial" w:eastAsia="Arial" w:hAnsi="Arial"/>
                <w:sz w:val="18"/>
                <w:szCs w:val="18"/>
                <w:color w:val="auto"/>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(89)</w:t>
            </w:r>
          </w:p>
        </w:tc>
        <w:tc>
          <w:tcPr>
            <w:tcW w:w="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AF9E8"/>
          </w:tcPr>
          <w:p>
            <w:pPr>
              <w:jc w:val="right"/>
              <w:ind w:right="16"/>
              <w:spacing w:after="0"/>
              <w:rPr>
                <w:sz w:val="20"/>
                <w:szCs w:val="20"/>
                <w:color w:val="auto"/>
              </w:rPr>
            </w:pPr>
            <w:r>
              <w:rPr>
                <w:rFonts w:ascii="Arial" w:cs="Arial" w:eastAsia="Arial" w:hAnsi="Arial"/>
                <w:sz w:val="18"/>
                <w:szCs w:val="18"/>
                <w:color w:val="auto"/>
                <w:w w:val="97"/>
              </w:rPr>
              <w:t>2,564</w:t>
            </w:r>
          </w:p>
        </w:tc>
        <w:tc>
          <w:tcPr>
            <w:tcW w:w="20" w:type="dxa"/>
            <w:vAlign w:val="bottom"/>
          </w:tcPr>
          <w:p>
            <w:pPr>
              <w:spacing w:after="0"/>
              <w:rPr>
                <w:sz w:val="19"/>
                <w:szCs w:val="19"/>
                <w:color w:val="auto"/>
              </w:rPr>
            </w:pPr>
          </w:p>
        </w:tc>
      </w:tr>
      <w:tr>
        <w:trPr>
          <w:trHeight w:val="208"/>
        </w:trPr>
        <w:tc>
          <w:tcPr>
            <w:tcW w:w="1280" w:type="dxa"/>
            <w:vAlign w:val="bottom"/>
          </w:tcPr>
          <w:p>
            <w:pPr>
              <w:spacing w:after="0"/>
              <w:rPr>
                <w:sz w:val="20"/>
                <w:szCs w:val="20"/>
                <w:color w:val="auto"/>
              </w:rPr>
            </w:pPr>
            <w:r>
              <w:rPr>
                <w:rFonts w:ascii="Arial" w:cs="Arial" w:eastAsia="Arial" w:hAnsi="Arial"/>
                <w:sz w:val="18"/>
                <w:szCs w:val="18"/>
                <w:color w:val="auto"/>
              </w:rPr>
              <w:t>Non-compete</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1280" w:type="dxa"/>
            <w:vAlign w:val="bottom"/>
          </w:tcPr>
          <w:p>
            <w:pPr>
              <w:ind w:left="160"/>
              <w:spacing w:after="0"/>
              <w:rPr>
                <w:sz w:val="20"/>
                <w:szCs w:val="20"/>
                <w:color w:val="auto"/>
              </w:rPr>
            </w:pPr>
            <w:r>
              <w:rPr>
                <w:rFonts w:ascii="Arial" w:cs="Arial" w:eastAsia="Arial" w:hAnsi="Arial"/>
                <w:sz w:val="18"/>
                <w:szCs w:val="18"/>
                <w:color w:val="auto"/>
              </w:rPr>
              <w:t>agreement</w:t>
            </w:r>
          </w:p>
        </w:tc>
        <w:tc>
          <w:tcPr>
            <w:tcW w:w="36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8"/>
                <w:szCs w:val="18"/>
                <w:color w:val="auto"/>
              </w:rPr>
              <w:t>898</w:t>
            </w:r>
          </w:p>
        </w:tc>
        <w:tc>
          <w:tcPr>
            <w:tcW w:w="54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(238)</w:t>
            </w:r>
          </w:p>
        </w:tc>
        <w:tc>
          <w:tcPr>
            <w:tcW w:w="240" w:type="dxa"/>
            <w:vAlign w:val="bottom"/>
          </w:tcPr>
          <w:p>
            <w:pPr>
              <w:spacing w:after="0"/>
              <w:rPr>
                <w:sz w:val="19"/>
                <w:szCs w:val="19"/>
                <w:color w:val="auto"/>
              </w:rPr>
            </w:pPr>
          </w:p>
        </w:tc>
        <w:tc>
          <w:tcPr>
            <w:tcW w:w="560" w:type="dxa"/>
            <w:vAlign w:val="bottom"/>
          </w:tcPr>
          <w:p>
            <w:pPr>
              <w:jc w:val="right"/>
              <w:ind w:right="36"/>
              <w:spacing w:after="0"/>
              <w:rPr>
                <w:sz w:val="20"/>
                <w:szCs w:val="20"/>
                <w:color w:val="auto"/>
              </w:rPr>
            </w:pPr>
            <w:r>
              <w:rPr>
                <w:rFonts w:ascii="Arial" w:cs="Arial" w:eastAsia="Arial" w:hAnsi="Arial"/>
                <w:sz w:val="18"/>
                <w:szCs w:val="18"/>
                <w:color w:val="auto"/>
              </w:rPr>
              <w:t>660</w:t>
            </w:r>
          </w:p>
        </w:tc>
        <w:tc>
          <w:tcPr>
            <w:tcW w:w="30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835</w:t>
            </w:r>
          </w:p>
        </w:tc>
        <w:tc>
          <w:tcPr>
            <w:tcW w:w="5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560" w:type="dxa"/>
            <w:vAlign w:val="bottom"/>
          </w:tcPr>
          <w:p>
            <w:pPr>
              <w:jc w:val="right"/>
              <w:ind w:right="16"/>
              <w:spacing w:after="0"/>
              <w:rPr>
                <w:sz w:val="20"/>
                <w:szCs w:val="20"/>
                <w:color w:val="auto"/>
              </w:rPr>
            </w:pPr>
            <w:r>
              <w:rPr>
                <w:rFonts w:ascii="Arial" w:cs="Arial" w:eastAsia="Arial" w:hAnsi="Arial"/>
                <w:sz w:val="18"/>
                <w:szCs w:val="18"/>
                <w:color w:val="auto"/>
              </w:rPr>
              <w:t>818</w:t>
            </w:r>
          </w:p>
        </w:tc>
        <w:tc>
          <w:tcPr>
            <w:tcW w:w="20" w:type="dxa"/>
            <w:vAlign w:val="bottom"/>
          </w:tcPr>
          <w:p>
            <w:pPr>
              <w:spacing w:after="0"/>
              <w:rPr>
                <w:sz w:val="19"/>
                <w:szCs w:val="19"/>
                <w:color w:val="auto"/>
              </w:rPr>
            </w:pPr>
          </w:p>
        </w:tc>
      </w:tr>
      <w:tr>
        <w:trPr>
          <w:trHeight w:val="217"/>
        </w:trPr>
        <w:tc>
          <w:tcPr>
            <w:tcW w:w="1280" w:type="dxa"/>
            <w:vAlign w:val="bottom"/>
            <w:shd w:val="clear" w:color="auto" w:fill="EAF9E8"/>
          </w:tcPr>
          <w:p>
            <w:pPr>
              <w:spacing w:after="0"/>
              <w:rPr>
                <w:sz w:val="20"/>
                <w:szCs w:val="20"/>
                <w:color w:val="auto"/>
              </w:rPr>
            </w:pPr>
            <w:r>
              <w:rPr>
                <w:rFonts w:ascii="Arial" w:cs="Arial" w:eastAsia="Arial" w:hAnsi="Arial"/>
                <w:sz w:val="18"/>
                <w:szCs w:val="18"/>
                <w:color w:val="auto"/>
              </w:rPr>
              <w:t>Trade name</w:t>
            </w:r>
          </w:p>
        </w:tc>
        <w:tc>
          <w:tcPr>
            <w:tcW w:w="36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40"/>
              <w:spacing w:after="0"/>
              <w:rPr>
                <w:sz w:val="20"/>
                <w:szCs w:val="20"/>
                <w:color w:val="auto"/>
              </w:rPr>
            </w:pPr>
            <w:r>
              <w:rPr>
                <w:rFonts w:ascii="Arial" w:cs="Arial" w:eastAsia="Arial" w:hAnsi="Arial"/>
                <w:sz w:val="18"/>
                <w:szCs w:val="18"/>
                <w:color w:val="auto"/>
              </w:rPr>
              <w:t>168</w:t>
            </w:r>
          </w:p>
        </w:tc>
        <w:tc>
          <w:tcPr>
            <w:tcW w:w="540" w:type="dxa"/>
            <w:vAlign w:val="bottom"/>
            <w:shd w:val="clear" w:color="auto" w:fill="EAF9E8"/>
          </w:tcPr>
          <w:p>
            <w:pPr>
              <w:spacing w:after="0"/>
              <w:rPr>
                <w:sz w:val="18"/>
                <w:szCs w:val="18"/>
                <w:color w:val="auto"/>
              </w:rPr>
            </w:pPr>
          </w:p>
        </w:tc>
        <w:tc>
          <w:tcPr>
            <w:tcW w:w="6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(36)</w:t>
            </w:r>
          </w:p>
        </w:tc>
        <w:tc>
          <w:tcPr>
            <w:tcW w:w="240" w:type="dxa"/>
            <w:vAlign w:val="bottom"/>
            <w:shd w:val="clear" w:color="auto" w:fill="EAF9E8"/>
          </w:tcPr>
          <w:p>
            <w:pPr>
              <w:spacing w:after="0"/>
              <w:rPr>
                <w:sz w:val="18"/>
                <w:szCs w:val="18"/>
                <w:color w:val="auto"/>
              </w:rPr>
            </w:pPr>
          </w:p>
        </w:tc>
        <w:tc>
          <w:tcPr>
            <w:tcW w:w="560" w:type="dxa"/>
            <w:vAlign w:val="bottom"/>
            <w:shd w:val="clear" w:color="auto" w:fill="EAF9E8"/>
          </w:tcPr>
          <w:p>
            <w:pPr>
              <w:jc w:val="right"/>
              <w:ind w:right="36"/>
              <w:spacing w:after="0"/>
              <w:rPr>
                <w:sz w:val="20"/>
                <w:szCs w:val="20"/>
                <w:color w:val="auto"/>
              </w:rPr>
            </w:pPr>
            <w:r>
              <w:rPr>
                <w:rFonts w:ascii="Arial" w:cs="Arial" w:eastAsia="Arial" w:hAnsi="Arial"/>
                <w:sz w:val="18"/>
                <w:szCs w:val="18"/>
                <w:color w:val="auto"/>
              </w:rPr>
              <w:t>132</w:t>
            </w:r>
          </w:p>
        </w:tc>
        <w:tc>
          <w:tcPr>
            <w:tcW w:w="300" w:type="dxa"/>
            <w:vAlign w:val="bottom"/>
            <w:shd w:val="clear" w:color="auto" w:fill="EAF9E8"/>
          </w:tcPr>
          <w:p>
            <w:pPr>
              <w:spacing w:after="0"/>
              <w:rPr>
                <w:sz w:val="18"/>
                <w:szCs w:val="18"/>
                <w:color w:val="auto"/>
              </w:rPr>
            </w:pPr>
          </w:p>
        </w:tc>
        <w:tc>
          <w:tcPr>
            <w:tcW w:w="900" w:type="dxa"/>
            <w:vAlign w:val="bottom"/>
            <w:shd w:val="clear" w:color="auto" w:fill="EAF9E8"/>
          </w:tcPr>
          <w:p>
            <w:pPr>
              <w:jc w:val="right"/>
              <w:ind w:right="36"/>
              <w:spacing w:after="0"/>
              <w:rPr>
                <w:sz w:val="20"/>
                <w:szCs w:val="20"/>
                <w:color w:val="auto"/>
              </w:rPr>
            </w:pPr>
            <w:r>
              <w:rPr>
                <w:rFonts w:ascii="Arial" w:cs="Arial" w:eastAsia="Arial" w:hAnsi="Arial"/>
                <w:sz w:val="18"/>
                <w:szCs w:val="18"/>
                <w:color w:val="auto"/>
              </w:rPr>
              <w:t>168</w:t>
            </w:r>
          </w:p>
        </w:tc>
        <w:tc>
          <w:tcPr>
            <w:tcW w:w="580" w:type="dxa"/>
            <w:vAlign w:val="bottom"/>
            <w:shd w:val="clear" w:color="auto" w:fill="EAF9E8"/>
          </w:tcPr>
          <w:p>
            <w:pPr>
              <w:spacing w:after="0"/>
              <w:rPr>
                <w:sz w:val="18"/>
                <w:szCs w:val="18"/>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EAF9E8"/>
          </w:tcPr>
          <w:p>
            <w:pPr>
              <w:spacing w:after="0"/>
              <w:rPr>
                <w:sz w:val="18"/>
                <w:szCs w:val="18"/>
                <w:color w:val="auto"/>
              </w:rPr>
            </w:pPr>
          </w:p>
        </w:tc>
        <w:tc>
          <w:tcPr>
            <w:tcW w:w="560" w:type="dxa"/>
            <w:vAlign w:val="bottom"/>
            <w:shd w:val="clear" w:color="auto" w:fill="EAF9E8"/>
          </w:tcPr>
          <w:p>
            <w:pPr>
              <w:jc w:val="right"/>
              <w:ind w:right="16"/>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8"/>
                <w:szCs w:val="18"/>
                <w:color w:val="auto"/>
              </w:rPr>
            </w:pPr>
          </w:p>
        </w:tc>
      </w:tr>
      <w:tr>
        <w:trPr>
          <w:trHeight w:val="222"/>
        </w:trPr>
        <w:tc>
          <w:tcPr>
            <w:tcW w:w="1280" w:type="dxa"/>
            <w:vAlign w:val="bottom"/>
          </w:tcPr>
          <w:p>
            <w:pPr>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8"/>
                <w:szCs w:val="18"/>
                <w:color w:val="auto"/>
              </w:rPr>
              <w:t>28</w:t>
            </w:r>
          </w:p>
        </w:tc>
        <w:tc>
          <w:tcPr>
            <w:tcW w:w="54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560" w:type="dxa"/>
            <w:vAlign w:val="bottom"/>
          </w:tcPr>
          <w:p>
            <w:pPr>
              <w:jc w:val="right"/>
              <w:ind w:right="36"/>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9"/>
                <w:szCs w:val="19"/>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102"/>
        </w:trPr>
        <w:tc>
          <w:tcPr>
            <w:tcW w:w="12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102"/>
        </w:trPr>
        <w:tc>
          <w:tcPr>
            <w:tcW w:w="1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1280" w:type="dxa"/>
            <w:vAlign w:val="bottom"/>
            <w:shd w:val="clear" w:color="auto" w:fill="EAF9E8"/>
          </w:tcPr>
          <w:p>
            <w:pPr>
              <w:spacing w:after="0"/>
              <w:rPr>
                <w:sz w:val="18"/>
                <w:szCs w:val="18"/>
                <w:color w:val="auto"/>
              </w:rPr>
            </w:pPr>
          </w:p>
        </w:tc>
        <w:tc>
          <w:tcPr>
            <w:tcW w:w="3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AF9E8"/>
          </w:tcPr>
          <w:p>
            <w:pPr>
              <w:jc w:val="right"/>
              <w:ind w:right="40"/>
              <w:spacing w:after="0"/>
              <w:rPr>
                <w:sz w:val="20"/>
                <w:szCs w:val="20"/>
                <w:color w:val="auto"/>
              </w:rPr>
            </w:pPr>
            <w:r>
              <w:rPr>
                <w:rFonts w:ascii="Arial" w:cs="Arial" w:eastAsia="Arial" w:hAnsi="Arial"/>
                <w:sz w:val="18"/>
                <w:szCs w:val="18"/>
                <w:color w:val="auto"/>
              </w:rPr>
              <w:t>3,917</w:t>
            </w:r>
          </w:p>
        </w:tc>
        <w:tc>
          <w:tcPr>
            <w:tcW w:w="540" w:type="dxa"/>
            <w:vAlign w:val="bottom"/>
            <w:shd w:val="clear" w:color="auto" w:fill="EAF9E8"/>
          </w:tcPr>
          <w:p>
            <w:pPr>
              <w:jc w:val="right"/>
              <w:ind w:right="264"/>
              <w:spacing w:after="0"/>
              <w:rPr>
                <w:sz w:val="20"/>
                <w:szCs w:val="20"/>
                <w:color w:val="auto"/>
              </w:rPr>
            </w:pPr>
            <w:r>
              <w:rPr>
                <w:rFonts w:ascii="Arial" w:cs="Arial" w:eastAsia="Arial" w:hAnsi="Arial"/>
                <w:sz w:val="18"/>
                <w:szCs w:val="18"/>
                <w:color w:val="auto"/>
              </w:rPr>
              <w:t>$</w:t>
            </w:r>
          </w:p>
        </w:tc>
        <w:tc>
          <w:tcPr>
            <w:tcW w:w="6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(571)</w:t>
            </w:r>
          </w:p>
        </w:tc>
        <w:tc>
          <w:tcPr>
            <w:tcW w:w="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AF9E8"/>
          </w:tcPr>
          <w:p>
            <w:pPr>
              <w:jc w:val="right"/>
              <w:ind w:right="36"/>
              <w:spacing w:after="0"/>
              <w:rPr>
                <w:sz w:val="20"/>
                <w:szCs w:val="20"/>
                <w:color w:val="auto"/>
              </w:rPr>
            </w:pPr>
            <w:r>
              <w:rPr>
                <w:rFonts w:ascii="Arial" w:cs="Arial" w:eastAsia="Arial" w:hAnsi="Arial"/>
                <w:sz w:val="18"/>
                <w:szCs w:val="18"/>
                <w:color w:val="auto"/>
                <w:w w:val="93"/>
              </w:rPr>
              <w:t>3,346</w:t>
            </w:r>
          </w:p>
        </w:tc>
        <w:tc>
          <w:tcPr>
            <w:tcW w:w="3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EAF9E8"/>
          </w:tcPr>
          <w:p>
            <w:pPr>
              <w:jc w:val="right"/>
              <w:ind w:right="36"/>
              <w:spacing w:after="0"/>
              <w:rPr>
                <w:sz w:val="20"/>
                <w:szCs w:val="20"/>
                <w:color w:val="auto"/>
              </w:rPr>
            </w:pPr>
            <w:r>
              <w:rPr>
                <w:rFonts w:ascii="Arial" w:cs="Arial" w:eastAsia="Arial" w:hAnsi="Arial"/>
                <w:sz w:val="18"/>
                <w:szCs w:val="18"/>
                <w:color w:val="auto"/>
              </w:rPr>
              <w:t>3,656</w:t>
            </w:r>
          </w:p>
        </w:tc>
        <w:tc>
          <w:tcPr>
            <w:tcW w:w="580" w:type="dxa"/>
            <w:vAlign w:val="bottom"/>
            <w:shd w:val="clear" w:color="auto" w:fill="EAF9E8"/>
          </w:tcPr>
          <w:p>
            <w:pPr>
              <w:jc w:val="right"/>
              <w:ind w:right="284"/>
              <w:spacing w:after="0"/>
              <w:rPr>
                <w:sz w:val="20"/>
                <w:szCs w:val="20"/>
                <w:color w:val="auto"/>
              </w:rPr>
            </w:pPr>
            <w:r>
              <w:rPr>
                <w:rFonts w:ascii="Arial" w:cs="Arial" w:eastAsia="Arial" w:hAnsi="Arial"/>
                <w:sz w:val="18"/>
                <w:szCs w:val="18"/>
                <w:color w:val="auto"/>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AF9E8"/>
          </w:tcPr>
          <w:p>
            <w:pPr>
              <w:jc w:val="right"/>
              <w:ind w:right="16"/>
              <w:spacing w:after="0"/>
              <w:rPr>
                <w:sz w:val="20"/>
                <w:szCs w:val="20"/>
                <w:color w:val="auto"/>
              </w:rPr>
            </w:pPr>
            <w:r>
              <w:rPr>
                <w:rFonts w:ascii="Arial" w:cs="Arial" w:eastAsia="Arial" w:hAnsi="Arial"/>
                <w:sz w:val="18"/>
                <w:szCs w:val="18"/>
                <w:color w:val="auto"/>
                <w:w w:val="97"/>
              </w:rPr>
              <w:t>3,547</w:t>
            </w:r>
          </w:p>
        </w:tc>
        <w:tc>
          <w:tcPr>
            <w:tcW w:w="20" w:type="dxa"/>
            <w:vAlign w:val="bottom"/>
          </w:tcPr>
          <w:p>
            <w:pPr>
              <w:spacing w:after="0"/>
              <w:rPr>
                <w:sz w:val="18"/>
                <w:szCs w:val="18"/>
                <w:color w:val="auto"/>
              </w:rPr>
            </w:pPr>
          </w:p>
        </w:tc>
      </w:tr>
      <w:tr>
        <w:trPr>
          <w:trHeight w:val="118"/>
        </w:trPr>
        <w:tc>
          <w:tcPr>
            <w:tcW w:w="12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-14605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right="2479"/>
        <w:spacing w:after="0" w:line="259" w:lineRule="auto"/>
        <w:rPr>
          <w:sz w:val="20"/>
          <w:szCs w:val="20"/>
          <w:color w:val="auto"/>
        </w:rPr>
      </w:pPr>
      <w:r>
        <w:rPr>
          <w:rFonts w:ascii="Arial" w:cs="Arial" w:eastAsia="Arial" w:hAnsi="Arial"/>
          <w:sz w:val="18"/>
          <w:szCs w:val="18"/>
          <w:color w:val="auto"/>
        </w:rPr>
        <w:t>For the years ended December 31, 2005 and 2004, amortization expense related to intangible assets was $0.5 million and $35 thousand, respectively. There was no intangible asset amortization expense for the year ended December 31, 2003.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Aggregate amortization expense for intangible assets for the periods shown will be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60" w:type="dxa"/>
            <w:vAlign w:val="bottom"/>
          </w:tcPr>
          <w:p>
            <w:pPr>
              <w:jc w:val="center"/>
              <w:ind w:right="356"/>
              <w:spacing w:after="0"/>
              <w:rPr>
                <w:sz w:val="20"/>
                <w:szCs w:val="20"/>
                <w:color w:val="auto"/>
              </w:rPr>
            </w:pPr>
            <w:r>
              <w:rPr>
                <w:rFonts w:ascii="Arial" w:cs="Arial" w:eastAsia="Arial" w:hAnsi="Arial"/>
                <w:sz w:val="14"/>
                <w:szCs w:val="14"/>
                <w:b w:val="1"/>
                <w:bCs w:val="1"/>
                <w:color w:val="auto"/>
                <w:w w:val="85"/>
              </w:rPr>
              <w:t>December 31,</w:t>
            </w:r>
          </w:p>
        </w:tc>
        <w:tc>
          <w:tcPr>
            <w:tcW w:w="9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Amount</w:t>
            </w:r>
          </w:p>
        </w:tc>
      </w:tr>
      <w:tr>
        <w:trPr>
          <w:trHeight w:val="95"/>
        </w:trPr>
        <w:tc>
          <w:tcPr>
            <w:tcW w:w="18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250"/>
        </w:trPr>
        <w:tc>
          <w:tcPr>
            <w:tcW w:w="18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i w:val="1"/>
                <w:iCs w:val="1"/>
                <w:color w:val="auto"/>
                <w:w w:val="82"/>
              </w:rPr>
              <w:t>(in thousands)</w:t>
            </w:r>
          </w:p>
        </w:tc>
      </w:tr>
      <w:tr>
        <w:trPr>
          <w:trHeight w:val="216"/>
        </w:trPr>
        <w:tc>
          <w:tcPr>
            <w:tcW w:w="1860" w:type="dxa"/>
            <w:vAlign w:val="bottom"/>
            <w:shd w:val="clear" w:color="auto" w:fill="EAF9E8"/>
          </w:tcPr>
          <w:p>
            <w:pPr>
              <w:jc w:val="center"/>
              <w:ind w:right="356"/>
              <w:spacing w:after="0"/>
              <w:rPr>
                <w:sz w:val="20"/>
                <w:szCs w:val="20"/>
                <w:color w:val="auto"/>
              </w:rPr>
            </w:pPr>
            <w:r>
              <w:rPr>
                <w:rFonts w:ascii="Arial" w:cs="Arial" w:eastAsia="Arial" w:hAnsi="Arial"/>
                <w:sz w:val="18"/>
                <w:szCs w:val="18"/>
                <w:color w:val="auto"/>
                <w:w w:val="84"/>
              </w:rPr>
              <w:t>2006</w:t>
            </w:r>
          </w:p>
        </w:tc>
        <w:tc>
          <w:tcPr>
            <w:tcW w:w="96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w:t>
            </w:r>
          </w:p>
        </w:tc>
        <w:tc>
          <w:tcPr>
            <w:tcW w:w="1240" w:type="dxa"/>
            <w:vAlign w:val="bottom"/>
            <w:shd w:val="clear" w:color="auto" w:fill="EAF9E8"/>
          </w:tcPr>
          <w:p>
            <w:pPr>
              <w:jc w:val="right"/>
              <w:ind w:right="58"/>
              <w:spacing w:after="0"/>
              <w:rPr>
                <w:sz w:val="20"/>
                <w:szCs w:val="20"/>
                <w:color w:val="auto"/>
              </w:rPr>
            </w:pPr>
            <w:r>
              <w:rPr>
                <w:rFonts w:ascii="Arial" w:cs="Arial" w:eastAsia="Arial" w:hAnsi="Arial"/>
                <w:sz w:val="18"/>
                <w:szCs w:val="18"/>
                <w:color w:val="auto"/>
              </w:rPr>
              <w:t>485</w:t>
            </w:r>
          </w:p>
        </w:tc>
        <w:tc>
          <w:tcPr>
            <w:tcW w:w="20" w:type="dxa"/>
            <w:vAlign w:val="bottom"/>
          </w:tcPr>
          <w:p>
            <w:pPr>
              <w:spacing w:after="0"/>
              <w:rPr>
                <w:sz w:val="18"/>
                <w:szCs w:val="18"/>
                <w:color w:val="auto"/>
              </w:rPr>
            </w:pPr>
          </w:p>
        </w:tc>
      </w:tr>
      <w:tr>
        <w:trPr>
          <w:trHeight w:val="216"/>
        </w:trPr>
        <w:tc>
          <w:tcPr>
            <w:tcW w:w="1860" w:type="dxa"/>
            <w:vAlign w:val="bottom"/>
          </w:tcPr>
          <w:p>
            <w:pPr>
              <w:jc w:val="center"/>
              <w:ind w:right="356"/>
              <w:spacing w:after="0"/>
              <w:rPr>
                <w:sz w:val="20"/>
                <w:szCs w:val="20"/>
                <w:color w:val="auto"/>
              </w:rPr>
            </w:pPr>
            <w:r>
              <w:rPr>
                <w:rFonts w:ascii="Arial" w:cs="Arial" w:eastAsia="Arial" w:hAnsi="Arial"/>
                <w:sz w:val="18"/>
                <w:szCs w:val="18"/>
                <w:color w:val="auto"/>
                <w:w w:val="84"/>
              </w:rPr>
              <w:t>2007</w:t>
            </w:r>
          </w:p>
        </w:tc>
        <w:tc>
          <w:tcPr>
            <w:tcW w:w="960" w:type="dxa"/>
            <w:vAlign w:val="bottom"/>
          </w:tcPr>
          <w:p>
            <w:pPr>
              <w:spacing w:after="0"/>
              <w:rPr>
                <w:sz w:val="18"/>
                <w:szCs w:val="18"/>
                <w:color w:val="auto"/>
              </w:rPr>
            </w:pPr>
          </w:p>
        </w:tc>
        <w:tc>
          <w:tcPr>
            <w:tcW w:w="1240" w:type="dxa"/>
            <w:vAlign w:val="bottom"/>
          </w:tcPr>
          <w:p>
            <w:pPr>
              <w:jc w:val="right"/>
              <w:ind w:right="58"/>
              <w:spacing w:after="0"/>
              <w:rPr>
                <w:sz w:val="20"/>
                <w:szCs w:val="20"/>
                <w:color w:val="auto"/>
              </w:rPr>
            </w:pPr>
            <w:r>
              <w:rPr>
                <w:rFonts w:ascii="Arial" w:cs="Arial" w:eastAsia="Arial" w:hAnsi="Arial"/>
                <w:sz w:val="18"/>
                <w:szCs w:val="18"/>
                <w:color w:val="auto"/>
              </w:rPr>
              <w:t>485</w:t>
            </w:r>
          </w:p>
        </w:tc>
        <w:tc>
          <w:tcPr>
            <w:tcW w:w="20" w:type="dxa"/>
            <w:vAlign w:val="bottom"/>
          </w:tcPr>
          <w:p>
            <w:pPr>
              <w:spacing w:after="0"/>
              <w:rPr>
                <w:sz w:val="18"/>
                <w:szCs w:val="18"/>
                <w:color w:val="auto"/>
              </w:rPr>
            </w:pPr>
          </w:p>
        </w:tc>
      </w:tr>
      <w:tr>
        <w:trPr>
          <w:trHeight w:val="216"/>
        </w:trPr>
        <w:tc>
          <w:tcPr>
            <w:tcW w:w="1860" w:type="dxa"/>
            <w:vAlign w:val="bottom"/>
            <w:shd w:val="clear" w:color="auto" w:fill="EAF9E8"/>
          </w:tcPr>
          <w:p>
            <w:pPr>
              <w:jc w:val="center"/>
              <w:ind w:right="356"/>
              <w:spacing w:after="0"/>
              <w:rPr>
                <w:sz w:val="20"/>
                <w:szCs w:val="20"/>
                <w:color w:val="auto"/>
              </w:rPr>
            </w:pPr>
            <w:r>
              <w:rPr>
                <w:rFonts w:ascii="Arial" w:cs="Arial" w:eastAsia="Arial" w:hAnsi="Arial"/>
                <w:sz w:val="18"/>
                <w:szCs w:val="18"/>
                <w:color w:val="auto"/>
                <w:w w:val="84"/>
              </w:rPr>
              <w:t>2008</w:t>
            </w:r>
          </w:p>
        </w:tc>
        <w:tc>
          <w:tcPr>
            <w:tcW w:w="960" w:type="dxa"/>
            <w:vAlign w:val="bottom"/>
            <w:shd w:val="clear" w:color="auto" w:fill="EAF9E8"/>
          </w:tcPr>
          <w:p>
            <w:pPr>
              <w:spacing w:after="0"/>
              <w:rPr>
                <w:sz w:val="18"/>
                <w:szCs w:val="18"/>
                <w:color w:val="auto"/>
              </w:rPr>
            </w:pPr>
          </w:p>
        </w:tc>
        <w:tc>
          <w:tcPr>
            <w:tcW w:w="1240" w:type="dxa"/>
            <w:vAlign w:val="bottom"/>
            <w:shd w:val="clear" w:color="auto" w:fill="EAF9E8"/>
          </w:tcPr>
          <w:p>
            <w:pPr>
              <w:jc w:val="right"/>
              <w:ind w:right="58"/>
              <w:spacing w:after="0"/>
              <w:rPr>
                <w:sz w:val="20"/>
                <w:szCs w:val="20"/>
                <w:color w:val="auto"/>
              </w:rPr>
            </w:pPr>
            <w:r>
              <w:rPr>
                <w:rFonts w:ascii="Arial" w:cs="Arial" w:eastAsia="Arial" w:hAnsi="Arial"/>
                <w:sz w:val="18"/>
                <w:szCs w:val="18"/>
                <w:color w:val="auto"/>
              </w:rPr>
              <w:t>476</w:t>
            </w:r>
          </w:p>
        </w:tc>
        <w:tc>
          <w:tcPr>
            <w:tcW w:w="20" w:type="dxa"/>
            <w:vAlign w:val="bottom"/>
          </w:tcPr>
          <w:p>
            <w:pPr>
              <w:spacing w:after="0"/>
              <w:rPr>
                <w:sz w:val="18"/>
                <w:szCs w:val="18"/>
                <w:color w:val="auto"/>
              </w:rPr>
            </w:pPr>
          </w:p>
        </w:tc>
      </w:tr>
      <w:tr>
        <w:trPr>
          <w:trHeight w:val="216"/>
        </w:trPr>
        <w:tc>
          <w:tcPr>
            <w:tcW w:w="1860" w:type="dxa"/>
            <w:vAlign w:val="bottom"/>
          </w:tcPr>
          <w:p>
            <w:pPr>
              <w:jc w:val="center"/>
              <w:ind w:right="356"/>
              <w:spacing w:after="0"/>
              <w:rPr>
                <w:sz w:val="20"/>
                <w:szCs w:val="20"/>
                <w:color w:val="auto"/>
              </w:rPr>
            </w:pPr>
            <w:r>
              <w:rPr>
                <w:rFonts w:ascii="Arial" w:cs="Arial" w:eastAsia="Arial" w:hAnsi="Arial"/>
                <w:sz w:val="18"/>
                <w:szCs w:val="18"/>
                <w:color w:val="auto"/>
                <w:w w:val="84"/>
              </w:rPr>
              <w:t>2009</w:t>
            </w:r>
          </w:p>
        </w:tc>
        <w:tc>
          <w:tcPr>
            <w:tcW w:w="960" w:type="dxa"/>
            <w:vAlign w:val="bottom"/>
          </w:tcPr>
          <w:p>
            <w:pPr>
              <w:spacing w:after="0"/>
              <w:rPr>
                <w:sz w:val="18"/>
                <w:szCs w:val="18"/>
                <w:color w:val="auto"/>
              </w:rPr>
            </w:pPr>
          </w:p>
        </w:tc>
        <w:tc>
          <w:tcPr>
            <w:tcW w:w="1240" w:type="dxa"/>
            <w:vAlign w:val="bottom"/>
          </w:tcPr>
          <w:p>
            <w:pPr>
              <w:jc w:val="right"/>
              <w:ind w:right="58"/>
              <w:spacing w:after="0"/>
              <w:rPr>
                <w:sz w:val="20"/>
                <w:szCs w:val="20"/>
                <w:color w:val="auto"/>
              </w:rPr>
            </w:pPr>
            <w:r>
              <w:rPr>
                <w:rFonts w:ascii="Arial" w:cs="Arial" w:eastAsia="Arial" w:hAnsi="Arial"/>
                <w:sz w:val="18"/>
                <w:szCs w:val="18"/>
                <w:color w:val="auto"/>
              </w:rPr>
              <w:t>267</w:t>
            </w:r>
          </w:p>
        </w:tc>
        <w:tc>
          <w:tcPr>
            <w:tcW w:w="20" w:type="dxa"/>
            <w:vAlign w:val="bottom"/>
          </w:tcPr>
          <w:p>
            <w:pPr>
              <w:spacing w:after="0"/>
              <w:rPr>
                <w:sz w:val="18"/>
                <w:szCs w:val="18"/>
                <w:color w:val="auto"/>
              </w:rPr>
            </w:pPr>
          </w:p>
        </w:tc>
      </w:tr>
      <w:tr>
        <w:trPr>
          <w:trHeight w:val="216"/>
        </w:trPr>
        <w:tc>
          <w:tcPr>
            <w:tcW w:w="1860" w:type="dxa"/>
            <w:vAlign w:val="bottom"/>
            <w:shd w:val="clear" w:color="auto" w:fill="EAF9E8"/>
          </w:tcPr>
          <w:p>
            <w:pPr>
              <w:jc w:val="center"/>
              <w:ind w:right="356"/>
              <w:spacing w:after="0"/>
              <w:rPr>
                <w:sz w:val="20"/>
                <w:szCs w:val="20"/>
                <w:color w:val="auto"/>
              </w:rPr>
            </w:pPr>
            <w:r>
              <w:rPr>
                <w:rFonts w:ascii="Arial" w:cs="Arial" w:eastAsia="Arial" w:hAnsi="Arial"/>
                <w:sz w:val="18"/>
                <w:szCs w:val="18"/>
                <w:color w:val="auto"/>
                <w:w w:val="84"/>
              </w:rPr>
              <w:t>2010</w:t>
            </w:r>
          </w:p>
        </w:tc>
        <w:tc>
          <w:tcPr>
            <w:tcW w:w="960" w:type="dxa"/>
            <w:vAlign w:val="bottom"/>
            <w:shd w:val="clear" w:color="auto" w:fill="EAF9E8"/>
          </w:tcPr>
          <w:p>
            <w:pPr>
              <w:spacing w:after="0"/>
              <w:rPr>
                <w:sz w:val="18"/>
                <w:szCs w:val="18"/>
                <w:color w:val="auto"/>
              </w:rPr>
            </w:pPr>
          </w:p>
        </w:tc>
        <w:tc>
          <w:tcPr>
            <w:tcW w:w="1240" w:type="dxa"/>
            <w:vAlign w:val="bottom"/>
            <w:shd w:val="clear" w:color="auto" w:fill="EAF9E8"/>
          </w:tcPr>
          <w:p>
            <w:pPr>
              <w:jc w:val="right"/>
              <w:ind w:right="58"/>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18"/>
                <w:szCs w:val="18"/>
                <w:color w:val="auto"/>
              </w:rPr>
            </w:pPr>
          </w:p>
        </w:tc>
      </w:tr>
    </w:tbl>
    <w:p>
      <w:pPr>
        <w:spacing w:after="0" w:line="208" w:lineRule="exact"/>
        <w:rPr>
          <w:sz w:val="20"/>
          <w:szCs w:val="20"/>
          <w:color w:val="auto"/>
        </w:rPr>
      </w:pPr>
    </w:p>
    <w:p>
      <w:pPr>
        <w:ind w:right="2599"/>
        <w:spacing w:after="0" w:line="370" w:lineRule="auto"/>
        <w:rPr>
          <w:sz w:val="20"/>
          <w:szCs w:val="20"/>
          <w:color w:val="auto"/>
        </w:rPr>
      </w:pPr>
      <w:r>
        <w:rPr>
          <w:rFonts w:ascii="Arial" w:cs="Arial" w:eastAsia="Arial" w:hAnsi="Arial"/>
          <w:sz w:val="15"/>
          <w:szCs w:val="15"/>
          <w:b w:val="1"/>
          <w:bCs w:val="1"/>
          <w:i w:val="1"/>
          <w:iCs w:val="1"/>
          <w:color w:val="auto"/>
        </w:rPr>
        <w:t xml:space="preserve">Retirement plans: </w:t>
      </w:r>
      <w:r>
        <w:rPr>
          <w:rFonts w:ascii="Arial" w:cs="Arial" w:eastAsia="Arial" w:hAnsi="Arial"/>
          <w:sz w:val="15"/>
          <w:szCs w:val="15"/>
          <w:color w:val="auto"/>
        </w:rPr>
        <w:t>The Company maintains a noncontributory defined benefit plan covering substantially all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employees. Pension benefits are based primarily on the employees’ compensation and years of service. The</w:t>
      </w:r>
    </w:p>
    <w:p>
      <w:pPr>
        <w:sectPr>
          <w:pgSz w:w="11900" w:h="16838" w:orient="portrait"/>
          <w:cols w:equalWidth="0" w:num="1">
            <w:col w:w="10219"/>
          </w:cols>
          <w:pgMar w:left="240" w:top="590" w:right="1440" w:bottom="0" w:gutter="0" w:footer="0" w:header="0"/>
        </w:sectPr>
      </w:pPr>
    </w:p>
    <w:bookmarkStart w:id="85" w:name="page86"/>
    <w:bookmarkEnd w:id="85"/>
    <w:p>
      <w:pPr>
        <w:spacing w:after="0"/>
        <w:rPr>
          <w:sz w:val="20"/>
          <w:szCs w:val="20"/>
          <w:color w:val="auto"/>
        </w:rPr>
      </w:pPr>
      <w:r>
        <w:rPr>
          <w:rFonts w:ascii="Arial" w:cs="Arial" w:eastAsia="Arial" w:hAnsi="Arial"/>
          <w:sz w:val="16"/>
          <w:szCs w:val="16"/>
          <w:color w:val="auto"/>
        </w:rPr>
        <w:t>Company’s policy is to fund the maximum allowable contribution calculated under federal income tax regulations.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2003, the Company adopted a Supplemental Executive Retirement Plan for</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6" w:name="page87"/>
    <w:bookmarkEnd w:id="86"/>
    <w:p>
      <w:pPr>
        <w:ind w:right="2259"/>
        <w:spacing w:after="0" w:line="294" w:lineRule="auto"/>
        <w:rPr>
          <w:sz w:val="20"/>
          <w:szCs w:val="20"/>
          <w:color w:val="auto"/>
        </w:rPr>
      </w:pPr>
      <w:r>
        <w:rPr>
          <w:rFonts w:ascii="Arial" w:cs="Arial" w:eastAsia="Arial" w:hAnsi="Arial"/>
          <w:sz w:val="16"/>
          <w:szCs w:val="16"/>
          <w:color w:val="auto"/>
        </w:rPr>
        <w:t>selected employees. This is an unfunded plan and is maintained primarily for the purpose of providing additional retirement benefits for a select group of management employees. The Company also maintains a defined contribution plan under which substantially all employees may defer a portion of their earnings on a pretax basis, up to the allowable federal maximum. The Company may make matching and discretionary contributions to this plan. Neither of the funded retirement plans holds Company stock in the plan’s portfolio.</w:t>
      </w:r>
    </w:p>
    <w:p>
      <w:pPr>
        <w:spacing w:after="0" w:line="170" w:lineRule="exact"/>
        <w:rPr>
          <w:sz w:val="20"/>
          <w:szCs w:val="20"/>
          <w:color w:val="auto"/>
        </w:rPr>
      </w:pPr>
    </w:p>
    <w:p>
      <w:pPr>
        <w:ind w:right="2159"/>
        <w:spacing w:after="0" w:line="309" w:lineRule="auto"/>
        <w:rPr>
          <w:sz w:val="20"/>
          <w:szCs w:val="20"/>
          <w:color w:val="auto"/>
        </w:rPr>
      </w:pPr>
      <w:r>
        <w:rPr>
          <w:rFonts w:ascii="Arial" w:cs="Arial" w:eastAsia="Arial" w:hAnsi="Arial"/>
          <w:sz w:val="15"/>
          <w:szCs w:val="15"/>
          <w:b w:val="1"/>
          <w:bCs w:val="1"/>
          <w:i w:val="1"/>
          <w:iCs w:val="1"/>
          <w:color w:val="auto"/>
        </w:rPr>
        <w:t xml:space="preserve">Income taxes: </w:t>
      </w:r>
      <w:r>
        <w:rPr>
          <w:rFonts w:ascii="Arial" w:cs="Arial" w:eastAsia="Arial" w:hAnsi="Arial"/>
          <w:sz w:val="15"/>
          <w:szCs w:val="15"/>
          <w:color w:val="auto"/>
        </w:rPr>
        <w:t>Income taxes are accounted for under the asset and liability method. Deferred tax assets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liabilities are recognized for the future tax consequences attributable to differences between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evaluates the recoverability of tax assets generated on a state-by-state basis from net operating losses apportioned to that state. Management uses a more likely than not threshold to make that determination and has concluded that at December 31, 2005, a valuation allowance against the deferred tax assets is no longer necessary (see Note 7).</w:t>
      </w:r>
    </w:p>
    <w:p>
      <w:pPr>
        <w:spacing w:after="0" w:line="162" w:lineRule="exact"/>
        <w:rPr>
          <w:sz w:val="20"/>
          <w:szCs w:val="20"/>
          <w:color w:val="auto"/>
        </w:rPr>
      </w:pPr>
    </w:p>
    <w:p>
      <w:pPr>
        <w:ind w:right="2259"/>
        <w:spacing w:after="0" w:line="294"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The Company recognizes revenue when persuasive evidence of an arrangement exists,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have been rendered or products have been delivered, the price to the buyer is fixed and determinable and collectibility is reasonably assured. Revenues are recognized by the Company based on the various types of transactions generating the revenue. For services, revenue is recognized as the services are performed. For equipment sales, revenue is recognized when the sales transaction is complete.</w:t>
      </w:r>
    </w:p>
    <w:p>
      <w:pPr>
        <w:spacing w:after="0" w:line="170" w:lineRule="exact"/>
        <w:rPr>
          <w:sz w:val="20"/>
          <w:szCs w:val="20"/>
          <w:color w:val="auto"/>
        </w:rPr>
      </w:pPr>
    </w:p>
    <w:p>
      <w:pPr>
        <w:ind w:right="2139"/>
        <w:spacing w:after="0" w:line="284" w:lineRule="auto"/>
        <w:rPr>
          <w:sz w:val="20"/>
          <w:szCs w:val="20"/>
          <w:color w:val="auto"/>
        </w:rPr>
      </w:pPr>
      <w:r>
        <w:rPr>
          <w:rFonts w:ascii="Arial" w:cs="Arial" w:eastAsia="Arial" w:hAnsi="Arial"/>
          <w:sz w:val="16"/>
          <w:szCs w:val="16"/>
          <w:color w:val="auto"/>
        </w:rPr>
        <w:t>Nonrefundable PCS activation fees and the portion of the activation costs deemed to be direct costs of acquiring new customers (primarily activation costs and credit analysis costs) are deferred and recognized ratably over the estimated life of the customer relationship of 30 months in accordance with the Securities and Exchange Commission’s Staff Accounting Bulletin (“SAB”) No. 104. Effective July 1, 2003, the Company adopted Emerging Issues Task Force (“EITF”) No. 00-21, “Accounting for Revenue Arrangements with Multiple Element Deliverables.” The EITF guidance addresses how to account for arrangements that may involve multiple revenue-generating activities, i.e., the delivery or performance of multiple products, services, and/or rights to use assets. In applying this guidance, separate contracts with the same party, entered into at or near the same time, will be presumed to be a bundled transaction, and the consideration will be measured and allocated to the separate units based on their relative fair values. The adoption of EITF 00-21 has required evaluation of each arrangement entered into by the Company for each sales channel. The Company will continue to monitor arrangements with its sales channels to determine if any changes in revenue recognition would need to be made in the future. The adoption of EITF 00-21 has resulted in substantially all of the activation fee revenue generated from Company-owned retail stores and associated direct costs being recognized at the time the related wireless handset is sold and is classified as equipment revenue and cost of goods and services, respectively. Upon adoption of EITF 00-21, previously deferred revenues and costs will continue to be amortized over the remaining estimated life of a subscriber, not to exceed 30 months. Revenue and costs for activations at other retail locations will continue to be deferred and amortized over their estimated lives as prescribed by SAB 104. The adoption of EITF 00-21 had the effect of increasing equipment revenue by $68 thousand and increasing costs of activation by $23 thousand in the year ended December 31, 2003, which otherwise would have been deferred and amortized. The amounts of deferred revenue under SAB 104 at December 31, 2005, 2004 and 2003 were $0.6 million, $0.8 million and $1.2 million, respectively. The deferred costs at December 31, 2005, 2004 and 2003 were $0.2 million, $0.3 million and $0.4 million, respectively.</w:t>
      </w:r>
    </w:p>
    <w:p>
      <w:pPr>
        <w:spacing w:after="0" w:line="179" w:lineRule="exact"/>
        <w:rPr>
          <w:sz w:val="20"/>
          <w:szCs w:val="20"/>
          <w:color w:val="auto"/>
        </w:rPr>
      </w:pPr>
    </w:p>
    <w:p>
      <w:pPr>
        <w:ind w:right="2119"/>
        <w:spacing w:after="0" w:line="286" w:lineRule="auto"/>
        <w:rPr>
          <w:sz w:val="20"/>
          <w:szCs w:val="20"/>
          <w:color w:val="auto"/>
        </w:rPr>
      </w:pPr>
      <w:r>
        <w:rPr>
          <w:rFonts w:ascii="Arial" w:cs="Arial" w:eastAsia="Arial" w:hAnsi="Arial"/>
          <w:sz w:val="16"/>
          <w:szCs w:val="16"/>
          <w:b w:val="1"/>
          <w:bCs w:val="1"/>
          <w:i w:val="1"/>
          <w:iCs w:val="1"/>
          <w:color w:val="auto"/>
        </w:rPr>
        <w:t xml:space="preserve">Stock Option Plan: </w:t>
      </w:r>
      <w:r>
        <w:rPr>
          <w:rFonts w:ascii="Arial" w:cs="Arial" w:eastAsia="Arial" w:hAnsi="Arial"/>
          <w:sz w:val="16"/>
          <w:szCs w:val="16"/>
          <w:color w:val="auto"/>
        </w:rPr>
        <w:t>To account for its stock options granted under the Company Stock Incentive Plan (the “Plan”),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applies the intrinsic value-based method of accounting prescribed by Accounting Principles Board (“APB”) Opinion No. 25, “Accounting for Stock Issued to Employees,” and related interpretations including FASB Interpretation No. 44, “Accounting for Certain Transactions involving Stock Compensation,” an interpretation of APB Opinion No. 25 issued in March 2000. Under this method, compensation expense is recorded on the date of the grant only if the current market price of the underlying stock exceeded the exercise price. SFAS No. 123, “Accounting for Stock-Based Compensation,” established accounting and disclosure requirements using a fair value-based method of accounting for stock-based employee compensation plans. As allowed by SFAS No. 123, the Company has elected to continue to apply the intrinsic value-based method of accounting described above, and has adopted the disclosure requirements of SFAS No. 123, as amended by SFAS No. 148, “Accounting for Stock-Based Compensation—Transition and Disclosure—an amendment of FASB Statement No. 123.”</w:t>
      </w:r>
    </w:p>
    <w:p>
      <w:pPr>
        <w:spacing w:after="0" w:line="181" w:lineRule="exact"/>
        <w:rPr>
          <w:sz w:val="20"/>
          <w:szCs w:val="20"/>
          <w:color w:val="auto"/>
        </w:rPr>
      </w:pPr>
    </w:p>
    <w:p>
      <w:pPr>
        <w:ind w:right="2199"/>
        <w:spacing w:after="0" w:line="259" w:lineRule="auto"/>
        <w:rPr>
          <w:sz w:val="20"/>
          <w:szCs w:val="20"/>
          <w:color w:val="auto"/>
        </w:rPr>
      </w:pPr>
      <w:r>
        <w:rPr>
          <w:rFonts w:ascii="Arial" w:cs="Arial" w:eastAsia="Arial" w:hAnsi="Arial"/>
          <w:sz w:val="18"/>
          <w:szCs w:val="18"/>
          <w:color w:val="auto"/>
        </w:rPr>
        <w:t>Grants of options under the Plan are accounted for in accordance with APB Opinion No. 25 and related interpretations. Accordingly, no compensation expense has been recognized under the Plan for years prior to 2004 since all such</w:t>
      </w:r>
    </w:p>
    <w:p>
      <w:pPr>
        <w:spacing w:after="0" w:line="19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90" w:right="1440" w:bottom="1440" w:gutter="0" w:footer="0" w:header="0"/>
        </w:sectPr>
      </w:pPr>
    </w:p>
    <w:bookmarkStart w:id="87" w:name="page88"/>
    <w:bookmarkEnd w:id="87"/>
    <w:p>
      <w:pPr>
        <w:ind w:right="2179"/>
        <w:spacing w:after="0" w:line="287" w:lineRule="auto"/>
        <w:rPr>
          <w:sz w:val="20"/>
          <w:szCs w:val="20"/>
          <w:color w:val="auto"/>
        </w:rPr>
      </w:pPr>
      <w:r>
        <w:rPr>
          <w:rFonts w:ascii="Arial" w:cs="Arial" w:eastAsia="Arial" w:hAnsi="Arial"/>
          <w:sz w:val="16"/>
          <w:szCs w:val="16"/>
          <w:color w:val="auto"/>
        </w:rPr>
        <w:t>options were granted with an exercise price equal to the market price at the date of the grant. During 2004, the Company issued tandem awards of stock options and stock appreciation rights. The awards have been accounted for as stock appreciation rights and, therefore, the Company recorded a liability for the related expense since it is assumed the awards will be settled in cash. During 2005, the Company issued tandem awards of stock options and stock appreciation rights with a net-share settlement feature. The cash-settlement feature has been eliminated for the 2005 option grants. However, due to the net-share settlement feature, the Company accounts for these awards, in the same manner as the 2004 grants, as stock appreciation rights and recognizes compensation expense over the vesting period to the extent the current stock price exceeds the exercise price of the options. As a result of the tandem awards, the Company recognized compensation expense for the vested portion of the awards of $1.3 million and $0.2 million for the years ended December 31, 2005 and 2004.</w:t>
      </w:r>
    </w:p>
    <w:p>
      <w:pPr>
        <w:spacing w:after="0" w:line="177" w:lineRule="exact"/>
        <w:rPr>
          <w:sz w:val="20"/>
          <w:szCs w:val="20"/>
          <w:color w:val="auto"/>
        </w:rPr>
      </w:pPr>
    </w:p>
    <w:p>
      <w:pPr>
        <w:ind w:right="2219"/>
        <w:spacing w:after="0" w:line="312" w:lineRule="auto"/>
        <w:rPr>
          <w:sz w:val="20"/>
          <w:szCs w:val="20"/>
          <w:color w:val="auto"/>
        </w:rPr>
      </w:pPr>
      <w:r>
        <w:rPr>
          <w:rFonts w:ascii="Arial" w:cs="Arial" w:eastAsia="Arial" w:hAnsi="Arial"/>
          <w:sz w:val="15"/>
          <w:szCs w:val="15"/>
          <w:color w:val="auto"/>
        </w:rPr>
        <w:t>The adjustments to net income in the table below reflect the impact of compensation related to the 2005 equity classified stock appreciation rights and the impact of the pro forma compensation expense, both net of the income tax effect. No adjustments to net income have been made for the 2004 liability classified stock appreciation rights since there are no differences between APB Opinion No. 25 and SFAS No. 123 pro forma compensation expense. Had compensation expense been recorded for the options based on fair values of the awards at the grant date (the method prescribed in SFAS No. 123), reported net income and earnings per share would have been reduced to the pro forma amounts shown in the following table for the years ended December 31, 2005, 2004 and 2003: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15"/>
                <w:szCs w:val="15"/>
                <w:color w:val="auto"/>
              </w:rPr>
            </w:pPr>
          </w:p>
        </w:tc>
        <w:tc>
          <w:tcPr>
            <w:tcW w:w="920" w:type="dxa"/>
            <w:vAlign w:val="bottom"/>
          </w:tcPr>
          <w:p>
            <w:pPr>
              <w:jc w:val="right"/>
              <w:ind w:right="16"/>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40" w:type="dxa"/>
            <w:vAlign w:val="bottom"/>
            <w:tcBorders>
              <w:bottom w:val="single" w:sz="8" w:color="808080"/>
            </w:tcBorders>
            <w:gridSpan w:val="5"/>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5"/>
          </w:tcPr>
          <w:p>
            <w:pPr>
              <w:jc w:val="right"/>
              <w:ind w:right="396"/>
              <w:spacing w:after="0"/>
              <w:rPr>
                <w:sz w:val="20"/>
                <w:szCs w:val="20"/>
                <w:color w:val="auto"/>
              </w:rPr>
            </w:pPr>
            <w:r>
              <w:rPr>
                <w:rFonts w:ascii="Arial" w:cs="Arial" w:eastAsia="Arial" w:hAnsi="Arial"/>
                <w:sz w:val="14"/>
                <w:szCs w:val="14"/>
                <w:b w:val="1"/>
                <w:bCs w:val="1"/>
                <w:i w:val="1"/>
                <w:iCs w:val="1"/>
                <w:color w:val="auto"/>
                <w:w w:val="91"/>
              </w:rPr>
              <w:t>(in thousands, except per share amounts)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9"/>
              </w:rPr>
              <w:t>(Restated)</w:t>
            </w:r>
          </w:p>
        </w:tc>
        <w:tc>
          <w:tcPr>
            <w:tcW w:w="420" w:type="dxa"/>
            <w:vAlign w:val="bottom"/>
          </w:tcPr>
          <w:p>
            <w:pPr>
              <w:spacing w:after="0"/>
              <w:rPr>
                <w:sz w:val="14"/>
                <w:szCs w:val="14"/>
                <w:color w:val="auto"/>
              </w:rPr>
            </w:pPr>
          </w:p>
        </w:tc>
        <w:tc>
          <w:tcPr>
            <w:tcW w:w="920" w:type="dxa"/>
            <w:vAlign w:val="bottom"/>
          </w:tcPr>
          <w:p>
            <w:pPr>
              <w:jc w:val="right"/>
              <w:ind w:right="16"/>
              <w:spacing w:after="0"/>
              <w:rPr>
                <w:sz w:val="20"/>
                <w:szCs w:val="20"/>
                <w:color w:val="auto"/>
              </w:rPr>
            </w:pPr>
            <w:r>
              <w:rPr>
                <w:rFonts w:ascii="Arial" w:cs="Arial" w:eastAsia="Arial" w:hAnsi="Arial"/>
                <w:sz w:val="14"/>
                <w:szCs w:val="14"/>
                <w:b w:val="1"/>
                <w:bCs w:val="1"/>
                <w:color w:val="auto"/>
              </w:rPr>
              <w:t>(Restated)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EAF9E8"/>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60"/>
              <w:spacing w:after="0"/>
              <w:rPr>
                <w:sz w:val="20"/>
                <w:szCs w:val="20"/>
                <w:color w:val="auto"/>
              </w:rPr>
            </w:pPr>
            <w:r>
              <w:rPr>
                <w:rFonts w:ascii="Arial" w:cs="Arial" w:eastAsia="Arial" w:hAnsi="Arial"/>
                <w:sz w:val="18"/>
                <w:szCs w:val="18"/>
                <w:color w:val="auto"/>
              </w:rPr>
              <w:t>As reported</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10,735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10,038</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31,852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8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1"/>
              </w:rPr>
              <w:t>Add: Recorded stock based compensation expense included in</w:t>
            </w: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reported net income, net of related income tax effects.</w:t>
            </w: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211</w:t>
            </w:r>
          </w:p>
        </w:tc>
        <w:tc>
          <w:tcPr>
            <w:tcW w:w="260" w:type="dxa"/>
            <w:vAlign w:val="bottom"/>
            <w:shd w:val="clear" w:color="auto" w:fill="EAF9E8"/>
          </w:tcPr>
          <w:p>
            <w:pPr>
              <w:spacing w:after="0"/>
              <w:rPr>
                <w:sz w:val="19"/>
                <w:szCs w:val="19"/>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AF9E8"/>
          </w:tcPr>
          <w:p>
            <w:pPr>
              <w:spacing w:after="0"/>
              <w:rPr>
                <w:sz w:val="19"/>
                <w:szCs w:val="19"/>
                <w:color w:val="auto"/>
              </w:rPr>
            </w:pPr>
          </w:p>
        </w:tc>
        <w:tc>
          <w:tcPr>
            <w:tcW w:w="920" w:type="dxa"/>
            <w:vAlign w:val="bottom"/>
            <w:shd w:val="clear" w:color="auto" w:fill="EAF9E8"/>
          </w:tcPr>
          <w:p>
            <w:pPr>
              <w:jc w:val="right"/>
              <w:ind w:right="1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780" w:type="dxa"/>
            <w:vAlign w:val="bottom"/>
          </w:tcPr>
          <w:p>
            <w:pPr>
              <w:ind w:left="160"/>
              <w:spacing w:after="0"/>
              <w:rPr>
                <w:sz w:val="20"/>
                <w:szCs w:val="20"/>
                <w:color w:val="auto"/>
              </w:rPr>
            </w:pPr>
            <w:r>
              <w:rPr>
                <w:rFonts w:ascii="Arial" w:cs="Arial" w:eastAsia="Arial" w:hAnsi="Arial"/>
                <w:sz w:val="18"/>
                <w:szCs w:val="18"/>
                <w:color w:val="auto"/>
                <w:w w:val="89"/>
              </w:rPr>
              <w:t>Deduct: Pro forma compensation expense, net of related income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80" w:type="dxa"/>
            <w:vAlign w:val="bottom"/>
          </w:tcPr>
          <w:p>
            <w:pPr>
              <w:ind w:left="320"/>
              <w:spacing w:after="0"/>
              <w:rPr>
                <w:sz w:val="20"/>
                <w:szCs w:val="20"/>
                <w:color w:val="auto"/>
              </w:rPr>
            </w:pPr>
            <w:r>
              <w:rPr>
                <w:rFonts w:ascii="Arial" w:cs="Arial" w:eastAsia="Arial" w:hAnsi="Arial"/>
                <w:sz w:val="18"/>
                <w:szCs w:val="18"/>
                <w:color w:val="auto"/>
              </w:rPr>
              <w:t>tax effects.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199</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w:t>
            </w:r>
          </w:p>
        </w:tc>
        <w:tc>
          <w:tcPr>
            <w:tcW w:w="420" w:type="dxa"/>
            <w:vAlign w:val="bottom"/>
          </w:tcPr>
          <w:p>
            <w:pPr>
              <w:spacing w:after="0"/>
              <w:rPr>
                <w:sz w:val="19"/>
                <w:szCs w:val="19"/>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 forma</w:t>
            </w:r>
          </w:p>
        </w:tc>
        <w:tc>
          <w:tcPr>
            <w:tcW w:w="3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10,747</w:t>
            </w:r>
          </w:p>
        </w:tc>
        <w:tc>
          <w:tcPr>
            <w:tcW w:w="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9,895</w:t>
            </w:r>
          </w:p>
        </w:tc>
        <w:tc>
          <w:tcPr>
            <w:tcW w:w="42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ind w:right="16"/>
              <w:spacing w:after="0"/>
              <w:rPr>
                <w:sz w:val="20"/>
                <w:szCs w:val="20"/>
                <w:color w:val="auto"/>
              </w:rPr>
            </w:pPr>
            <w:r>
              <w:rPr>
                <w:rFonts w:ascii="Arial" w:cs="Arial" w:eastAsia="Arial" w:hAnsi="Arial"/>
                <w:sz w:val="18"/>
                <w:szCs w:val="18"/>
                <w:color w:val="auto"/>
              </w:rPr>
              <w:t>31,667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780" w:type="dxa"/>
            <w:vAlign w:val="bottom"/>
            <w:vMerge w:val="restart"/>
          </w:tcPr>
          <w:p>
            <w:pPr>
              <w:spacing w:after="0"/>
              <w:rPr>
                <w:sz w:val="20"/>
                <w:szCs w:val="20"/>
                <w:color w:val="auto"/>
              </w:rPr>
            </w:pPr>
            <w:r>
              <w:rPr>
                <w:rFonts w:ascii="Arial" w:cs="Arial" w:eastAsia="Arial" w:hAnsi="Arial"/>
                <w:sz w:val="18"/>
                <w:szCs w:val="18"/>
                <w:color w:val="auto"/>
              </w:rPr>
              <w:t>Earnings per share, basic and diluted</w:t>
            </w: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468"/>
        </w:trPr>
        <w:tc>
          <w:tcPr>
            <w:tcW w:w="4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As reported, basic</w:t>
            </w:r>
          </w:p>
        </w:tc>
        <w:tc>
          <w:tcPr>
            <w:tcW w:w="3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1.40</w:t>
            </w:r>
          </w:p>
        </w:tc>
        <w:tc>
          <w:tcPr>
            <w:tcW w:w="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1.32</w:t>
            </w:r>
          </w:p>
        </w:tc>
        <w:tc>
          <w:tcPr>
            <w:tcW w:w="42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ind w:right="16"/>
              <w:spacing w:after="0"/>
              <w:rPr>
                <w:sz w:val="20"/>
                <w:szCs w:val="20"/>
                <w:color w:val="auto"/>
              </w:rPr>
            </w:pPr>
            <w:r>
              <w:rPr>
                <w:rFonts w:ascii="Arial" w:cs="Arial" w:eastAsia="Arial" w:hAnsi="Arial"/>
                <w:sz w:val="18"/>
                <w:szCs w:val="18"/>
                <w:color w:val="auto"/>
              </w:rPr>
              <w:t>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60"/>
              <w:spacing w:after="0"/>
              <w:rPr>
                <w:sz w:val="20"/>
                <w:szCs w:val="20"/>
                <w:color w:val="auto"/>
              </w:rPr>
            </w:pPr>
            <w:r>
              <w:rPr>
                <w:rFonts w:ascii="Arial" w:cs="Arial" w:eastAsia="Arial" w:hAnsi="Arial"/>
                <w:sz w:val="18"/>
                <w:szCs w:val="18"/>
                <w:color w:val="auto"/>
              </w:rPr>
              <w:t>As reported, diluted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w:t>
            </w:r>
          </w:p>
        </w:tc>
        <w:tc>
          <w:tcPr>
            <w:tcW w:w="420" w:type="dxa"/>
            <w:vAlign w:val="bottom"/>
          </w:tcPr>
          <w:p>
            <w:pPr>
              <w:spacing w:after="0"/>
              <w:rPr>
                <w:sz w:val="18"/>
                <w:szCs w:val="18"/>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 forma, basic</w:t>
            </w: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1.40</w:t>
            </w:r>
          </w:p>
        </w:tc>
        <w:tc>
          <w:tcPr>
            <w:tcW w:w="260" w:type="dxa"/>
            <w:vAlign w:val="bottom"/>
            <w:shd w:val="clear" w:color="auto" w:fill="EAF9E8"/>
          </w:tcPr>
          <w:p>
            <w:pPr>
              <w:spacing w:after="0"/>
              <w:rPr>
                <w:sz w:val="18"/>
                <w:szCs w:val="18"/>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1.30</w:t>
            </w:r>
          </w:p>
        </w:tc>
        <w:tc>
          <w:tcPr>
            <w:tcW w:w="420" w:type="dxa"/>
            <w:vAlign w:val="bottom"/>
            <w:shd w:val="clear" w:color="auto" w:fill="EAF9E8"/>
          </w:tcPr>
          <w:p>
            <w:pPr>
              <w:spacing w:after="0"/>
              <w:rPr>
                <w:sz w:val="18"/>
                <w:szCs w:val="18"/>
                <w:color w:val="auto"/>
              </w:rPr>
            </w:pPr>
          </w:p>
        </w:tc>
        <w:tc>
          <w:tcPr>
            <w:tcW w:w="920" w:type="dxa"/>
            <w:vAlign w:val="bottom"/>
            <w:shd w:val="clear" w:color="auto" w:fill="EAF9E8"/>
          </w:tcPr>
          <w:p>
            <w:pPr>
              <w:jc w:val="right"/>
              <w:ind w:right="16"/>
              <w:spacing w:after="0"/>
              <w:rPr>
                <w:sz w:val="20"/>
                <w:szCs w:val="20"/>
                <w:color w:val="auto"/>
              </w:rPr>
            </w:pPr>
            <w:r>
              <w:rPr>
                <w:rFonts w:ascii="Arial" w:cs="Arial" w:eastAsia="Arial" w:hAnsi="Arial"/>
                <w:sz w:val="18"/>
                <w:szCs w:val="18"/>
                <w:color w:val="auto"/>
              </w:rPr>
              <w:t>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80" w:type="dxa"/>
            <w:vAlign w:val="bottom"/>
          </w:tcPr>
          <w:p>
            <w:pPr>
              <w:ind w:left="160"/>
              <w:spacing w:after="0"/>
              <w:rPr>
                <w:sz w:val="20"/>
                <w:szCs w:val="20"/>
                <w:color w:val="auto"/>
              </w:rPr>
            </w:pPr>
            <w:r>
              <w:rPr>
                <w:rFonts w:ascii="Arial" w:cs="Arial" w:eastAsia="Arial" w:hAnsi="Arial"/>
                <w:sz w:val="18"/>
                <w:szCs w:val="18"/>
                <w:color w:val="auto"/>
              </w:rPr>
              <w:t>Pro forma, diluted</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1.40</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w:t>
            </w:r>
          </w:p>
        </w:tc>
        <w:tc>
          <w:tcPr>
            <w:tcW w:w="420" w:type="dxa"/>
            <w:vAlign w:val="bottom"/>
          </w:tcPr>
          <w:p>
            <w:pPr>
              <w:spacing w:after="0"/>
              <w:rPr>
                <w:sz w:val="19"/>
                <w:szCs w:val="19"/>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-865505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-865505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2179"/>
        <w:spacing w:after="0" w:line="312" w:lineRule="auto"/>
        <w:rPr>
          <w:sz w:val="20"/>
          <w:szCs w:val="20"/>
          <w:color w:val="auto"/>
        </w:rPr>
      </w:pPr>
      <w:r>
        <w:rPr>
          <w:rFonts w:ascii="Arial" w:cs="Arial" w:eastAsia="Arial" w:hAnsi="Arial"/>
          <w:sz w:val="15"/>
          <w:szCs w:val="15"/>
          <w:b w:val="1"/>
          <w:bCs w:val="1"/>
          <w:i w:val="1"/>
          <w:iCs w:val="1"/>
          <w:color w:val="auto"/>
        </w:rPr>
        <w:t xml:space="preserve">Earnings per share: </w:t>
      </w:r>
      <w:r>
        <w:rPr>
          <w:rFonts w:ascii="Arial" w:cs="Arial" w:eastAsia="Arial" w:hAnsi="Arial"/>
          <w:sz w:val="15"/>
          <w:szCs w:val="15"/>
          <w:color w:val="auto"/>
        </w:rPr>
        <w:t>Basic net income per share was computed on the weighted average number of shares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outstanding. Diluted net income per share was computed under the treasury stock method, assuming the conversion as of the beginning of the period, for all dilutive stock options. For the year ended December 31, 2005, the dilutive net income per share was exclusive of approximately 160,000 stock options that were anti-dilutive. In the years ended December 31, 2004 and 2003, all options were dilutive. There were no adjustments to net income (loss) in the computation of diluted earnings per share for any of the years presented. The following tables show the computation of basic and diluted earnings per share for the years ended December 31, 2005, 2004 and 2003: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396"/>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1000" w:type="dxa"/>
            <w:vAlign w:val="bottom"/>
          </w:tcPr>
          <w:p>
            <w:pPr>
              <w:jc w:val="right"/>
              <w:ind w:right="436"/>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5"/>
                <w:szCs w:val="15"/>
                <w:color w:val="auto"/>
              </w:rPr>
            </w:pPr>
          </w:p>
        </w:tc>
        <w:tc>
          <w:tcPr>
            <w:tcW w:w="960" w:type="dxa"/>
            <w:vAlign w:val="bottom"/>
          </w:tcPr>
          <w:p>
            <w:pPr>
              <w:jc w:val="right"/>
              <w:ind w:right="336"/>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76"/>
              <w:spacing w:after="0"/>
              <w:rPr>
                <w:sz w:val="20"/>
                <w:szCs w:val="20"/>
                <w:color w:val="auto"/>
              </w:rPr>
            </w:pPr>
            <w:r>
              <w:rPr>
                <w:rFonts w:ascii="Arial" w:cs="Arial" w:eastAsia="Arial" w:hAnsi="Arial"/>
                <w:sz w:val="14"/>
                <w:szCs w:val="14"/>
                <w:b w:val="1"/>
                <w:bCs w:val="1"/>
                <w:color w:val="auto"/>
              </w:rPr>
              <w:t>(Restated)</w:t>
            </w:r>
          </w:p>
        </w:tc>
        <w:tc>
          <w:tcPr>
            <w:tcW w:w="160" w:type="dxa"/>
            <w:vAlign w:val="bottom"/>
          </w:tcPr>
          <w:p>
            <w:pPr>
              <w:spacing w:after="0"/>
              <w:rPr>
                <w:sz w:val="20"/>
                <w:szCs w:val="20"/>
                <w:color w:val="auto"/>
              </w:rPr>
            </w:pPr>
          </w:p>
        </w:tc>
        <w:tc>
          <w:tcPr>
            <w:tcW w:w="960" w:type="dxa"/>
            <w:vAlign w:val="bottom"/>
          </w:tcPr>
          <w:p>
            <w:pPr>
              <w:jc w:val="right"/>
              <w:ind w:right="96"/>
              <w:spacing w:after="0"/>
              <w:rPr>
                <w:sz w:val="20"/>
                <w:szCs w:val="20"/>
                <w:color w:val="auto"/>
              </w:rPr>
            </w:pPr>
            <w:r>
              <w:rPr>
                <w:rFonts w:ascii="Arial" w:cs="Arial" w:eastAsia="Arial" w:hAnsi="Arial"/>
                <w:sz w:val="14"/>
                <w:szCs w:val="14"/>
                <w:b w:val="1"/>
                <w:bCs w:val="1"/>
                <w:color w:val="auto"/>
              </w:rPr>
              <w:t>(Restated)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80" w:type="dxa"/>
            <w:vAlign w:val="bottom"/>
            <w:gridSpan w:val="5"/>
          </w:tcPr>
          <w:p>
            <w:pPr>
              <w:jc w:val="right"/>
              <w:ind w:right="496"/>
              <w:spacing w:after="0" w:line="159" w:lineRule="exact"/>
              <w:rPr>
                <w:sz w:val="20"/>
                <w:szCs w:val="20"/>
                <w:color w:val="auto"/>
              </w:rPr>
            </w:pPr>
            <w:r>
              <w:rPr>
                <w:rFonts w:ascii="Arial" w:cs="Arial" w:eastAsia="Arial" w:hAnsi="Arial"/>
                <w:sz w:val="14"/>
                <w:szCs w:val="14"/>
                <w:b w:val="1"/>
                <w:bCs w:val="1"/>
                <w:i w:val="1"/>
                <w:iCs w:val="1"/>
                <w:color w:val="auto"/>
                <w:w w:val="96"/>
              </w:rPr>
              <w:t>(in thousands, except per share amounts)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EAF9E8"/>
          </w:tcPr>
          <w:p>
            <w:pPr>
              <w:spacing w:after="0"/>
              <w:rPr>
                <w:sz w:val="20"/>
                <w:szCs w:val="20"/>
                <w:color w:val="auto"/>
              </w:rPr>
            </w:pPr>
            <w:r>
              <w:rPr>
                <w:rFonts w:ascii="Arial" w:cs="Arial" w:eastAsia="Arial" w:hAnsi="Arial"/>
                <w:sz w:val="18"/>
                <w:szCs w:val="18"/>
                <w:color w:val="auto"/>
              </w:rPr>
              <w:t>Basic income per share</w:t>
            </w:r>
          </w:p>
        </w:tc>
        <w:tc>
          <w:tcPr>
            <w:tcW w:w="16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ind w:left="140"/>
              <w:spacing w:after="0"/>
              <w:rPr>
                <w:sz w:val="20"/>
                <w:szCs w:val="20"/>
                <w:color w:val="auto"/>
              </w:rPr>
            </w:pPr>
            <w:r>
              <w:rPr>
                <w:rFonts w:ascii="Arial" w:cs="Arial" w:eastAsia="Arial" w:hAnsi="Arial"/>
                <w:sz w:val="18"/>
                <w:szCs w:val="18"/>
                <w:color w:val="auto"/>
              </w:rPr>
              <w:t>Net income from continuing operations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10,735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10,038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9,539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shd w:val="clear" w:color="auto" w:fill="EAF9E8"/>
          </w:tcPr>
          <w:p>
            <w:pPr>
              <w:spacing w:after="0"/>
              <w:rPr>
                <w:sz w:val="18"/>
                <w:szCs w:val="18"/>
                <w:color w:val="auto"/>
              </w:rPr>
            </w:pPr>
          </w:p>
        </w:tc>
        <w:tc>
          <w:tcPr>
            <w:tcW w:w="960" w:type="dxa"/>
            <w:vAlign w:val="bottom"/>
            <w:shd w:val="clear" w:color="auto" w:fill="EAF9E8"/>
          </w:tcPr>
          <w:p>
            <w:pPr>
              <w:jc w:val="right"/>
              <w:ind w:right="36"/>
              <w:spacing w:after="0"/>
              <w:rPr>
                <w:sz w:val="20"/>
                <w:szCs w:val="20"/>
                <w:color w:val="auto"/>
              </w:rPr>
            </w:pPr>
            <w:r>
              <w:rPr>
                <w:rFonts w:ascii="Arial" w:cs="Arial" w:eastAsia="Arial" w:hAnsi="Arial"/>
                <w:sz w:val="18"/>
                <w:szCs w:val="18"/>
                <w:color w:val="auto"/>
              </w:rPr>
              <w:t>7,659</w:t>
            </w:r>
          </w:p>
        </w:tc>
        <w:tc>
          <w:tcPr>
            <w:tcW w:w="200" w:type="dxa"/>
            <w:vAlign w:val="bottom"/>
            <w:shd w:val="clear" w:color="auto" w:fill="EAF9E8"/>
          </w:tcPr>
          <w:p>
            <w:pPr>
              <w:spacing w:after="0"/>
              <w:rPr>
                <w:sz w:val="18"/>
                <w:szCs w:val="18"/>
                <w:color w:val="auto"/>
              </w:rPr>
            </w:pPr>
          </w:p>
        </w:tc>
        <w:tc>
          <w:tcPr>
            <w:tcW w:w="1000" w:type="dxa"/>
            <w:vAlign w:val="bottom"/>
            <w:shd w:val="clear" w:color="auto" w:fill="EAF9E8"/>
          </w:tcPr>
          <w:p>
            <w:pPr>
              <w:jc w:val="right"/>
              <w:ind w:right="76"/>
              <w:spacing w:after="0"/>
              <w:rPr>
                <w:sz w:val="20"/>
                <w:szCs w:val="20"/>
                <w:color w:val="auto"/>
              </w:rPr>
            </w:pPr>
            <w:r>
              <w:rPr>
                <w:rFonts w:ascii="Arial" w:cs="Arial" w:eastAsia="Arial" w:hAnsi="Arial"/>
                <w:sz w:val="18"/>
                <w:szCs w:val="18"/>
                <w:color w:val="auto"/>
              </w:rPr>
              <w:t>7,611</w:t>
            </w:r>
          </w:p>
        </w:tc>
        <w:tc>
          <w:tcPr>
            <w:tcW w:w="160" w:type="dxa"/>
            <w:vAlign w:val="bottom"/>
            <w:shd w:val="clear" w:color="auto" w:fill="EAF9E8"/>
          </w:tcPr>
          <w:p>
            <w:pPr>
              <w:spacing w:after="0"/>
              <w:rPr>
                <w:sz w:val="18"/>
                <w:szCs w:val="18"/>
                <w:color w:val="auto"/>
              </w:rPr>
            </w:pPr>
          </w:p>
        </w:tc>
        <w:tc>
          <w:tcPr>
            <w:tcW w:w="960" w:type="dxa"/>
            <w:vAlign w:val="bottom"/>
            <w:shd w:val="clear" w:color="auto" w:fill="EAF9E8"/>
          </w:tcPr>
          <w:p>
            <w:pPr>
              <w:jc w:val="right"/>
              <w:ind w:right="96"/>
              <w:spacing w:after="0"/>
              <w:rPr>
                <w:sz w:val="20"/>
                <w:szCs w:val="20"/>
                <w:color w:val="auto"/>
              </w:rPr>
            </w:pPr>
            <w:r>
              <w:rPr>
                <w:rFonts w:ascii="Arial" w:cs="Arial" w:eastAsia="Arial" w:hAnsi="Arial"/>
                <w:sz w:val="18"/>
                <w:szCs w:val="18"/>
                <w:color w:val="auto"/>
              </w:rPr>
              <w:t>7,577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680" w:type="dxa"/>
            <w:vAlign w:val="bottom"/>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80" w:type="dxa"/>
            <w:vAlign w:val="bottom"/>
            <w:gridSpan w:val="2"/>
          </w:tcPr>
          <w:p>
            <w:pPr>
              <w:spacing w:after="0"/>
              <w:rPr>
                <w:sz w:val="20"/>
                <w:szCs w:val="20"/>
                <w:color w:val="auto"/>
              </w:rPr>
            </w:pPr>
            <w:r>
              <w:rPr>
                <w:rFonts w:ascii="Arial" w:cs="Arial" w:eastAsia="Arial" w:hAnsi="Arial"/>
                <w:sz w:val="18"/>
                <w:szCs w:val="18"/>
                <w:color w:val="auto"/>
              </w:rPr>
              <w:t>Basic income per share - continuing operations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1.40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1.32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EAF9E8"/>
          </w:tcPr>
          <w:p>
            <w:pPr>
              <w:spacing w:after="0"/>
              <w:rPr>
                <w:sz w:val="20"/>
                <w:szCs w:val="20"/>
                <w:color w:val="auto"/>
              </w:rPr>
            </w:pPr>
            <w:r>
              <w:rPr>
                <w:rFonts w:ascii="Arial" w:cs="Arial" w:eastAsia="Arial" w:hAnsi="Arial"/>
                <w:sz w:val="18"/>
                <w:szCs w:val="18"/>
                <w:color w:val="auto"/>
              </w:rPr>
              <w:t>Effect of stock options outstanding:</w:t>
            </w:r>
          </w:p>
        </w:tc>
        <w:tc>
          <w:tcPr>
            <w:tcW w:w="16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tcPr>
          <w:p>
            <w:pPr>
              <w:spacing w:after="0"/>
              <w:rPr>
                <w:sz w:val="18"/>
                <w:szCs w:val="18"/>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7,659</w:t>
            </w:r>
          </w:p>
        </w:tc>
        <w:tc>
          <w:tcPr>
            <w:tcW w:w="200" w:type="dxa"/>
            <w:vAlign w:val="bottom"/>
          </w:tcPr>
          <w:p>
            <w:pPr>
              <w:spacing w:after="0"/>
              <w:rPr>
                <w:sz w:val="18"/>
                <w:szCs w:val="18"/>
                <w:color w:val="auto"/>
              </w:rPr>
            </w:pP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7,611</w:t>
            </w:r>
          </w:p>
        </w:tc>
        <w:tc>
          <w:tcPr>
            <w:tcW w:w="160" w:type="dxa"/>
            <w:vAlign w:val="bottom"/>
          </w:tcPr>
          <w:p>
            <w:pPr>
              <w:spacing w:after="0"/>
              <w:rPr>
                <w:sz w:val="18"/>
                <w:szCs w:val="18"/>
                <w:color w:val="auto"/>
              </w:rPr>
            </w:pP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7,577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EAF9E8"/>
          </w:tcPr>
          <w:p>
            <w:pPr>
              <w:spacing w:after="0"/>
              <w:rPr>
                <w:sz w:val="20"/>
                <w:szCs w:val="20"/>
                <w:color w:val="auto"/>
              </w:rPr>
            </w:pPr>
            <w:r>
              <w:rPr>
                <w:rFonts w:ascii="Arial" w:cs="Arial" w:eastAsia="Arial" w:hAnsi="Arial"/>
                <w:sz w:val="18"/>
                <w:szCs w:val="18"/>
                <w:color w:val="auto"/>
                <w:w w:val="95"/>
              </w:rPr>
              <w:t>Assumed exercise, at the strike price at the beginning of year</w:t>
            </w:r>
          </w:p>
        </w:tc>
        <w:tc>
          <w:tcPr>
            <w:tcW w:w="160" w:type="dxa"/>
            <w:vAlign w:val="bottom"/>
            <w:shd w:val="clear" w:color="auto" w:fill="EAF9E8"/>
          </w:tcPr>
          <w:p>
            <w:pPr>
              <w:spacing w:after="0"/>
              <w:rPr>
                <w:sz w:val="18"/>
                <w:szCs w:val="18"/>
                <w:color w:val="auto"/>
              </w:rPr>
            </w:pPr>
          </w:p>
        </w:tc>
        <w:tc>
          <w:tcPr>
            <w:tcW w:w="960" w:type="dxa"/>
            <w:vAlign w:val="bottom"/>
            <w:shd w:val="clear" w:color="auto" w:fill="EAF9E8"/>
          </w:tcPr>
          <w:p>
            <w:pPr>
              <w:jc w:val="right"/>
              <w:ind w:right="36"/>
              <w:spacing w:after="0"/>
              <w:rPr>
                <w:sz w:val="20"/>
                <w:szCs w:val="20"/>
                <w:color w:val="auto"/>
              </w:rPr>
            </w:pPr>
            <w:r>
              <w:rPr>
                <w:rFonts w:ascii="Arial" w:cs="Arial" w:eastAsia="Arial" w:hAnsi="Arial"/>
                <w:sz w:val="18"/>
                <w:szCs w:val="18"/>
                <w:color w:val="auto"/>
              </w:rPr>
              <w:t>96</w:t>
            </w:r>
          </w:p>
        </w:tc>
        <w:tc>
          <w:tcPr>
            <w:tcW w:w="200" w:type="dxa"/>
            <w:vAlign w:val="bottom"/>
            <w:shd w:val="clear" w:color="auto" w:fill="EAF9E8"/>
          </w:tcPr>
          <w:p>
            <w:pPr>
              <w:spacing w:after="0"/>
              <w:rPr>
                <w:sz w:val="18"/>
                <w:szCs w:val="18"/>
                <w:color w:val="auto"/>
              </w:rPr>
            </w:pPr>
          </w:p>
        </w:tc>
        <w:tc>
          <w:tcPr>
            <w:tcW w:w="1000" w:type="dxa"/>
            <w:vAlign w:val="bottom"/>
            <w:shd w:val="clear" w:color="auto" w:fill="EAF9E8"/>
          </w:tcPr>
          <w:p>
            <w:pPr>
              <w:jc w:val="right"/>
              <w:ind w:right="76"/>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EAF9E8"/>
          </w:tcPr>
          <w:p>
            <w:pPr>
              <w:spacing w:after="0"/>
              <w:rPr>
                <w:sz w:val="18"/>
                <w:szCs w:val="18"/>
                <w:color w:val="auto"/>
              </w:rPr>
            </w:pPr>
          </w:p>
        </w:tc>
        <w:tc>
          <w:tcPr>
            <w:tcW w:w="960" w:type="dxa"/>
            <w:vAlign w:val="bottom"/>
            <w:shd w:val="clear" w:color="auto" w:fill="EAF9E8"/>
          </w:tcPr>
          <w:p>
            <w:pPr>
              <w:jc w:val="right"/>
              <w:ind w:right="96"/>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5"/>
              </w:rPr>
              <w:t>Assumed repurchase of options under treasury stock method</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9"/>
                <w:szCs w:val="19"/>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EAF9E8"/>
          </w:tcPr>
          <w:p>
            <w:pPr>
              <w:spacing w:after="0"/>
              <w:rPr>
                <w:sz w:val="20"/>
                <w:szCs w:val="20"/>
                <w:color w:val="auto"/>
              </w:rPr>
            </w:pPr>
            <w:r>
              <w:rPr>
                <w:rFonts w:ascii="Arial" w:cs="Arial" w:eastAsia="Arial" w:hAnsi="Arial"/>
                <w:sz w:val="18"/>
                <w:szCs w:val="18"/>
                <w:color w:val="auto"/>
              </w:rPr>
              <w:t>Diluted weighted average shares</w:t>
            </w:r>
          </w:p>
        </w:tc>
        <w:tc>
          <w:tcPr>
            <w:tcW w:w="160" w:type="dxa"/>
            <w:vAlign w:val="bottom"/>
            <w:shd w:val="clear" w:color="auto" w:fill="EAF9E8"/>
          </w:tcPr>
          <w:p>
            <w:pPr>
              <w:spacing w:after="0"/>
              <w:rPr>
                <w:sz w:val="18"/>
                <w:szCs w:val="18"/>
                <w:color w:val="auto"/>
              </w:rPr>
            </w:pPr>
          </w:p>
        </w:tc>
        <w:tc>
          <w:tcPr>
            <w:tcW w:w="960" w:type="dxa"/>
            <w:vAlign w:val="bottom"/>
            <w:shd w:val="clear" w:color="auto" w:fill="EAF9E8"/>
          </w:tcPr>
          <w:p>
            <w:pPr>
              <w:jc w:val="right"/>
              <w:ind w:right="36"/>
              <w:spacing w:after="0"/>
              <w:rPr>
                <w:sz w:val="20"/>
                <w:szCs w:val="20"/>
                <w:color w:val="auto"/>
              </w:rPr>
            </w:pPr>
            <w:r>
              <w:rPr>
                <w:rFonts w:ascii="Arial" w:cs="Arial" w:eastAsia="Arial" w:hAnsi="Arial"/>
                <w:sz w:val="18"/>
                <w:szCs w:val="18"/>
                <w:color w:val="auto"/>
              </w:rPr>
              <w:t>7,703</w:t>
            </w:r>
          </w:p>
        </w:tc>
        <w:tc>
          <w:tcPr>
            <w:tcW w:w="200" w:type="dxa"/>
            <w:vAlign w:val="bottom"/>
            <w:shd w:val="clear" w:color="auto" w:fill="EAF9E8"/>
          </w:tcPr>
          <w:p>
            <w:pPr>
              <w:spacing w:after="0"/>
              <w:rPr>
                <w:sz w:val="18"/>
                <w:szCs w:val="18"/>
                <w:color w:val="auto"/>
              </w:rPr>
            </w:pPr>
          </w:p>
        </w:tc>
        <w:tc>
          <w:tcPr>
            <w:tcW w:w="1000" w:type="dxa"/>
            <w:vAlign w:val="bottom"/>
            <w:shd w:val="clear" w:color="auto" w:fill="EAF9E8"/>
          </w:tcPr>
          <w:p>
            <w:pPr>
              <w:jc w:val="right"/>
              <w:ind w:right="76"/>
              <w:spacing w:after="0"/>
              <w:rPr>
                <w:sz w:val="20"/>
                <w:szCs w:val="20"/>
                <w:color w:val="auto"/>
              </w:rPr>
            </w:pPr>
            <w:r>
              <w:rPr>
                <w:rFonts w:ascii="Arial" w:cs="Arial" w:eastAsia="Arial" w:hAnsi="Arial"/>
                <w:sz w:val="18"/>
                <w:szCs w:val="18"/>
                <w:color w:val="auto"/>
              </w:rPr>
              <w:t>7,657</w:t>
            </w:r>
          </w:p>
        </w:tc>
        <w:tc>
          <w:tcPr>
            <w:tcW w:w="160" w:type="dxa"/>
            <w:vAlign w:val="bottom"/>
            <w:shd w:val="clear" w:color="auto" w:fill="EAF9E8"/>
          </w:tcPr>
          <w:p>
            <w:pPr>
              <w:spacing w:after="0"/>
              <w:rPr>
                <w:sz w:val="18"/>
                <w:szCs w:val="18"/>
                <w:color w:val="auto"/>
              </w:rPr>
            </w:pPr>
          </w:p>
        </w:tc>
        <w:tc>
          <w:tcPr>
            <w:tcW w:w="960" w:type="dxa"/>
            <w:vAlign w:val="bottom"/>
            <w:shd w:val="clear" w:color="auto" w:fill="EAF9E8"/>
          </w:tcPr>
          <w:p>
            <w:pPr>
              <w:jc w:val="right"/>
              <w:ind w:right="96"/>
              <w:spacing w:after="0"/>
              <w:rPr>
                <w:sz w:val="20"/>
                <w:szCs w:val="20"/>
                <w:color w:val="auto"/>
              </w:rPr>
            </w:pPr>
            <w:r>
              <w:rPr>
                <w:rFonts w:ascii="Arial" w:cs="Arial" w:eastAsia="Arial" w:hAnsi="Arial"/>
                <w:sz w:val="18"/>
                <w:szCs w:val="18"/>
                <w:color w:val="auto"/>
              </w:rPr>
              <w:t>7,608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680" w:type="dxa"/>
            <w:vAlign w:val="bottom"/>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80" w:type="dxa"/>
            <w:vAlign w:val="bottom"/>
            <w:gridSpan w:val="2"/>
          </w:tcPr>
          <w:p>
            <w:pPr>
              <w:spacing w:after="0"/>
              <w:rPr>
                <w:sz w:val="20"/>
                <w:szCs w:val="20"/>
                <w:color w:val="auto"/>
              </w:rPr>
            </w:pPr>
            <w:r>
              <w:rPr>
                <w:rFonts w:ascii="Arial" w:cs="Arial" w:eastAsia="Arial" w:hAnsi="Arial"/>
                <w:sz w:val="18"/>
                <w:szCs w:val="18"/>
                <w:color w:val="auto"/>
              </w:rPr>
              <w:t>Diluted income per share - continuing operations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1.39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1.31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-1283335</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-1283335</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-14605</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-14605</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-14605</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-14605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-14605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-14605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-14605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-14605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-14605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590" w:right="1440" w:bottom="1087" w:gutter="0" w:footer="0" w:header="0"/>
        </w:sectPr>
      </w:pPr>
    </w:p>
    <w:p>
      <w:pPr>
        <w:spacing w:after="0" w:line="313" w:lineRule="exact"/>
        <w:rPr>
          <w:sz w:val="20"/>
          <w:szCs w:val="20"/>
          <w:color w:val="auto"/>
        </w:rPr>
      </w:pPr>
    </w:p>
    <w:p>
      <w:pPr>
        <w:ind w:left="3900"/>
        <w:spacing w:after="0"/>
        <w:rPr>
          <w:sz w:val="20"/>
          <w:szCs w:val="20"/>
          <w:color w:val="auto"/>
        </w:rPr>
      </w:pPr>
      <w:r>
        <w:rPr>
          <w:rFonts w:ascii="Arial" w:cs="Arial" w:eastAsia="Arial" w:hAnsi="Arial"/>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5166995" cy="469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90" w:right="1440" w:bottom="1087"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right="2159"/>
        <w:spacing w:after="0" w:line="287" w:lineRule="auto"/>
        <w:rPr>
          <w:sz w:val="20"/>
          <w:szCs w:val="20"/>
          <w:color w:val="auto"/>
        </w:rPr>
      </w:pPr>
      <w:r>
        <w:rPr>
          <w:rFonts w:ascii="Arial" w:cs="Arial" w:eastAsia="Arial" w:hAnsi="Arial"/>
          <w:sz w:val="16"/>
          <w:szCs w:val="16"/>
          <w:color w:val="auto"/>
        </w:rPr>
        <w:t>In December 2004, the FASB issued SFAS No. 123 (revised 2004), “Share Based Payment,” which is a revision of SFAS No. 123, “Accounting for Stock-Based Compensation.” SFAS No. 123 (R) replaces SFAS No. 123, and supersedes APB Opinion No. 25, “Accounting for Stock Issued to Employees,” and amends SFAS No. 95, “Statement of Cash Flows.” The approach in SFAS 123 (R) is similar to the approach described in SFAS No. 123, except that SFAS No. 123 (R) requires all share-based payments to employees, including grants of employee stock options, to be recognized in the income statement based on their fair values. Pro forma disclosure is no longer an alternative. SFAS No. 123 (R) will be effective for the Company beginning January 1, 2006. The Company will record a cumulative effect of a change in accounting principle for its stock appreciation rights upon application of SFAS 123 (R). The Company does not anticipate that the implementation of SFAS 123 (R) will have a material impact on its consolidated statement of income for 2006.</w:t>
      </w:r>
    </w:p>
    <w:p>
      <w:pPr>
        <w:spacing w:after="0" w:line="177" w:lineRule="exact"/>
        <w:rPr>
          <w:sz w:val="20"/>
          <w:szCs w:val="20"/>
          <w:color w:val="auto"/>
        </w:rPr>
      </w:pPr>
    </w:p>
    <w:p>
      <w:pPr>
        <w:ind w:right="2259"/>
        <w:spacing w:after="0" w:line="291" w:lineRule="auto"/>
        <w:rPr>
          <w:sz w:val="20"/>
          <w:szCs w:val="20"/>
          <w:color w:val="auto"/>
        </w:rPr>
      </w:pPr>
      <w:r>
        <w:rPr>
          <w:rFonts w:ascii="Arial" w:cs="Arial" w:eastAsia="Arial" w:hAnsi="Arial"/>
          <w:sz w:val="16"/>
          <w:szCs w:val="16"/>
          <w:color w:val="auto"/>
        </w:rPr>
        <w:t>In March 2005, the FASB issued FASB Interpretation (“FIN”) No. 47 “Accounting for Conditional Asset Retirement Obligations—an Interpretation of FASB Statement No. 143” (“FIN No. 47”). FIN No. 47 clarifies the timing of liability recognition for legal obligations associated with the retirement of a tangible long-lived asset when the timing and/or method of settlement are conditional on a future event. FIN No. 47 is effective for us no later than December 31, 2005. The adoption of FIN No. 47 did not have a material impact on the Company’s consolidated results of operations or financial position.</w:t>
      </w:r>
    </w:p>
    <w:p>
      <w:pPr>
        <w:spacing w:after="0" w:line="174" w:lineRule="exact"/>
        <w:rPr>
          <w:sz w:val="20"/>
          <w:szCs w:val="20"/>
          <w:color w:val="auto"/>
        </w:rPr>
      </w:pPr>
    </w:p>
    <w:p>
      <w:pPr>
        <w:ind w:right="2119"/>
        <w:spacing w:after="0" w:line="288" w:lineRule="auto"/>
        <w:rPr>
          <w:sz w:val="20"/>
          <w:szCs w:val="20"/>
          <w:color w:val="auto"/>
        </w:rPr>
      </w:pPr>
      <w:r>
        <w:rPr>
          <w:rFonts w:ascii="Arial" w:cs="Arial" w:eastAsia="Arial" w:hAnsi="Arial"/>
          <w:sz w:val="16"/>
          <w:szCs w:val="16"/>
          <w:color w:val="auto"/>
        </w:rPr>
        <w:t>In May 2005, the FASB issued SFAS No. 154, “Accounting Changes and Error Corrections—a replacement of APB Opinion No. 20 and FASB Statement No. 3” (“SFAS No. 154”). This Statement replaces APB Opinion No. 20, “Accounting Changes” and FASB Statement No. 3, “Reporting Accounting Changes in Interim Financial Statements,” and changes the requirements for the accounting for and reporting of a change in accounting principle. SFAS No. 154 applies to all voluntary changes in an accounting principle. It also applies to changes required by an accounting pronouncement in the unusual instance that the pronouncement does not include specific transition provisions. When a pronouncement includes specific transition provisions, those provisions should be followed. SFAS No. 154 is effective for accounting changes and error corrections occurring in fiscal years beginning after December 15, 2005.</w:t>
      </w:r>
    </w:p>
    <w:p>
      <w:pPr>
        <w:spacing w:after="0" w:line="174" w:lineRule="exact"/>
        <w:rPr>
          <w:sz w:val="20"/>
          <w:szCs w:val="20"/>
          <w:color w:val="auto"/>
        </w:rPr>
      </w:pPr>
    </w:p>
    <w:p>
      <w:pPr>
        <w:jc w:val="both"/>
        <w:ind w:right="2479"/>
        <w:spacing w:after="0" w:line="259" w:lineRule="auto"/>
        <w:rPr>
          <w:sz w:val="20"/>
          <w:szCs w:val="20"/>
          <w:color w:val="auto"/>
        </w:rPr>
      </w:pPr>
      <w:r>
        <w:rPr>
          <w:rFonts w:ascii="Arial" w:cs="Arial" w:eastAsia="Arial" w:hAnsi="Arial"/>
          <w:sz w:val="18"/>
          <w:szCs w:val="18"/>
          <w:b w:val="1"/>
          <w:bCs w:val="1"/>
          <w:i w:val="1"/>
          <w:iCs w:val="1"/>
          <w:color w:val="auto"/>
        </w:rPr>
        <w:t xml:space="preserve">Reclassifications: </w:t>
      </w:r>
      <w:r>
        <w:rPr>
          <w:rFonts w:ascii="Arial" w:cs="Arial" w:eastAsia="Arial" w:hAnsi="Arial"/>
          <w:sz w:val="18"/>
          <w:szCs w:val="18"/>
          <w:color w:val="auto"/>
        </w:rPr>
        <w:t>Certain amounts reported in the prior period financial statements have been reclassified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conform to the current period presentation, with no effect on net income or shareholders’ equity, including the following reclassifications and changes in presentation:</w:t>
      </w:r>
    </w:p>
    <w:p>
      <w:pPr>
        <w:spacing w:after="0" w:line="208" w:lineRule="exact"/>
        <w:rPr>
          <w:sz w:val="20"/>
          <w:szCs w:val="20"/>
          <w:color w:val="auto"/>
        </w:rPr>
      </w:pPr>
    </w:p>
    <w:p>
      <w:pPr>
        <w:ind w:left="980" w:right="2159" w:hanging="486"/>
        <w:spacing w:after="0" w:line="290" w:lineRule="auto"/>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 combined, for all periods presented, the income statement line items “network operating costs” and “costs of goods and services.” Costs of goods and services consists primarily of the cost of equipment sold, cost of long distance service resold, cost of video, phone and network services, cost of PCS travel and roaming services and cost of operating and maintaining the various networks. To conform to the current period presentation, for the years ended December 31, 2004 and 2003, the Company reclassified $29.2 million and $26.0 million, respectively, in network operating costs to costs of goods and services.</w:t>
      </w:r>
    </w:p>
    <w:p>
      <w:pPr>
        <w:spacing w:after="0" w:line="104" w:lineRule="exact"/>
        <w:rPr>
          <w:rFonts w:ascii="Arial" w:cs="Arial" w:eastAsia="Arial" w:hAnsi="Arial"/>
          <w:sz w:val="16"/>
          <w:szCs w:val="16"/>
          <w:color w:val="auto"/>
        </w:rPr>
      </w:pPr>
    </w:p>
    <w:p>
      <w:pPr>
        <w:ind w:left="980" w:right="2219" w:hanging="486"/>
        <w:spacing w:after="0" w:line="294" w:lineRule="auto"/>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During 2005, the Company recorded commission expense to selling, general and administrative expense. In prior periods, a portion of these costs was recorded to costs of goods and services. To conform to the current period presentation, for the years ended December 31, 2004 and 2003, the Company reclassified $0.7 million and $0.4 million, respectively, in commission expense to selling, general and administrative expense.</w:t>
      </w:r>
    </w:p>
    <w:p>
      <w:pPr>
        <w:spacing w:after="0" w:line="102" w:lineRule="exact"/>
        <w:rPr>
          <w:rFonts w:ascii="Arial" w:cs="Arial" w:eastAsia="Arial" w:hAnsi="Arial"/>
          <w:sz w:val="16"/>
          <w:szCs w:val="16"/>
          <w:color w:val="auto"/>
        </w:rPr>
      </w:pPr>
    </w:p>
    <w:p>
      <w:pPr>
        <w:ind w:left="980" w:right="2119" w:hanging="486"/>
        <w:spacing w:after="0" w:line="286" w:lineRule="auto"/>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January, 2005 the Company implemented a new affiliate agreement approved by the Virginia State Corporation Commission that moved all of the Company’s employees and shared expenses into a new company to provide services to all the Company’s operating segments. The new method was designed to provide a more equitable allocation of shared resources and costs between the Company’s segments. The change allocates to each segment employees’ time and shared costs on drivers that are representative of the level of benefit each segment receives. The new method has moved costs between segments and expense classifications in a different pattern than the previous allocation method, causing expenses to increase in one classification while decreasing in another classification. To conform to the current period presentation, for the years ended December 31, 2004 and 2003, the Company reclassified $7.1million and $5.6 million, respectively, of labor and benefit expenses from the income statement line items “Network operating costs” and “Cost of goods and services” to “Selling, general and administrative.”</w:t>
      </w:r>
    </w:p>
    <w:p>
      <w:pPr>
        <w:spacing w:after="0" w:line="110" w:lineRule="exact"/>
        <w:rPr>
          <w:rFonts w:ascii="Arial" w:cs="Arial" w:eastAsia="Arial" w:hAnsi="Arial"/>
          <w:sz w:val="16"/>
          <w:szCs w:val="16"/>
          <w:color w:val="auto"/>
        </w:rPr>
      </w:pPr>
    </w:p>
    <w:p>
      <w:pPr>
        <w:ind w:left="980" w:right="2239" w:hanging="486"/>
        <w:spacing w:after="0" w:line="298" w:lineRule="auto"/>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During 2005, the Company recorded gains and losses on the sale of equipment in the income statement line item “Cost of goods and services.” To conform to the current period presentation, for the years ended December 31, 2004 and 2003, the Company reclassified $1.3 million and $0.4 million, respectively, from “Non-operating income, net” to “Cost of goods and services.”</w:t>
      </w:r>
    </w:p>
    <w:p>
      <w:pPr>
        <w:spacing w:after="0" w:line="16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90" w:right="1440" w:bottom="1440" w:gutter="0" w:footer="0" w:header="0"/>
        </w:sectPr>
      </w:pPr>
    </w:p>
    <w:bookmarkStart w:id="89" w:name="page90"/>
    <w:bookmarkEnd w:id="89"/>
    <w:p>
      <w:pPr>
        <w:ind w:left="980" w:right="2479" w:hanging="486"/>
        <w:spacing w:after="0" w:line="255"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During 2005, the Company recorded gains and losses on the sale of investments and partnership equity in the income statement line item “Loss on investments, net.” To conform to the current period presentation, for the years ended December 31, 2004 and 2003, the Company reclassified $149 thousand and $379 thousand, respectively, from “Non-operating income, net” to “Loss on investments, net.”</w:t>
      </w:r>
    </w:p>
    <w:p>
      <w:pPr>
        <w:spacing w:after="0" w:line="196" w:lineRule="exact"/>
        <w:rPr>
          <w:rFonts w:ascii="Arial" w:cs="Arial" w:eastAsia="Arial" w:hAnsi="Arial"/>
          <w:sz w:val="18"/>
          <w:szCs w:val="18"/>
          <w:color w:val="auto"/>
        </w:rPr>
      </w:pPr>
    </w:p>
    <w:p>
      <w:pPr>
        <w:ind w:left="980" w:right="2159" w:hanging="486"/>
        <w:spacing w:after="0" w:line="323" w:lineRule="auto"/>
        <w:tabs>
          <w:tab w:leader="none" w:pos="9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In 2005, the company has separately disclosed the operating and investing portions of the cash flows attributable to its discontinued operations, which in prior periods were reported on a combined basis as a single amount. For all years presented, there were no cash flows from financing activities for discontinued operations. Amounts in 2003 have been revised to conform with the 2005 presentation.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Restatements</w:t>
      </w:r>
    </w:p>
    <w:p>
      <w:pPr>
        <w:spacing w:after="0" w:line="231" w:lineRule="exact"/>
        <w:rPr>
          <w:sz w:val="20"/>
          <w:szCs w:val="20"/>
          <w:color w:val="auto"/>
        </w:rPr>
      </w:pPr>
    </w:p>
    <w:p>
      <w:pPr>
        <w:ind w:right="2179"/>
        <w:spacing w:after="0" w:line="291" w:lineRule="auto"/>
        <w:rPr>
          <w:sz w:val="20"/>
          <w:szCs w:val="20"/>
          <w:color w:val="auto"/>
        </w:rPr>
      </w:pPr>
      <w:r>
        <w:rPr>
          <w:rFonts w:ascii="Arial" w:cs="Arial" w:eastAsia="Arial" w:hAnsi="Arial"/>
          <w:sz w:val="16"/>
          <w:szCs w:val="16"/>
          <w:color w:val="auto"/>
        </w:rPr>
        <w:t>The Company’s financial statements as of and for the years ended December 31, 2004 and 2003, including the beginning retained earnings for the year ended December 31, 2003, all quarters in 2004 and the first three quarters of the year ended December 31, 2005, have been restated to correct errors relating to the Company’s accounting for operating leases. While management believes that the impact of this error is not material to any previously issued financial statements, it determined that the cumulative adjustment required to correct this error was too large to record in 2005.</w:t>
      </w:r>
    </w:p>
    <w:p>
      <w:pPr>
        <w:spacing w:after="0" w:line="174" w:lineRule="exact"/>
        <w:rPr>
          <w:sz w:val="20"/>
          <w:szCs w:val="20"/>
          <w:color w:val="auto"/>
        </w:rPr>
      </w:pPr>
    </w:p>
    <w:p>
      <w:pPr>
        <w:ind w:right="2119"/>
        <w:spacing w:after="0" w:line="286" w:lineRule="auto"/>
        <w:rPr>
          <w:sz w:val="20"/>
          <w:szCs w:val="20"/>
          <w:color w:val="auto"/>
        </w:rPr>
      </w:pPr>
      <w:r>
        <w:rPr>
          <w:rFonts w:ascii="Arial" w:cs="Arial" w:eastAsia="Arial" w:hAnsi="Arial"/>
          <w:sz w:val="16"/>
          <w:szCs w:val="16"/>
          <w:color w:val="auto"/>
        </w:rPr>
        <w:t>The Company’s method of accounting for operating leases did not comply with the requirements of SFAS No. 13, “Accounting for Leases” and FASB Technical Bulletin No. 85-3, “Accounting for Operating Leases with Scheduled Rent Increases.” Historically, the Company has not assumed the exercise of available renewal options in accounting for operating leases. The Company has operating leases, primarily for cell sites owned by third parties, land leases for towers owned by the Company and leases with third parties for space on the Company’s towers that have escalating rentals during the initial lease term and during succeeding optional renewal periods. In light of the Company’s investment in each site, including acquisition costs and leasehold improvements, the Company determined that the exercise of certain renewal options was reasonably assured at the inception of the leases. Accordingly, the Company will correct its accounting to recognize rent expense on a straight-line basis over the initial lease term and renewal periods that are reasonably assured. Where the Company is the lessor, it will recognize revenue on a straight-line basis over the current term of the lease.</w:t>
      </w:r>
    </w:p>
    <w:p>
      <w:pPr>
        <w:spacing w:after="0" w:line="181" w:lineRule="exact"/>
        <w:rPr>
          <w:sz w:val="20"/>
          <w:szCs w:val="20"/>
          <w:color w:val="auto"/>
        </w:rPr>
      </w:pPr>
    </w:p>
    <w:p>
      <w:pPr>
        <w:ind w:right="2119"/>
        <w:spacing w:after="0" w:line="287" w:lineRule="auto"/>
        <w:rPr>
          <w:sz w:val="20"/>
          <w:szCs w:val="20"/>
          <w:color w:val="auto"/>
        </w:rPr>
      </w:pPr>
      <w:r>
        <w:rPr>
          <w:rFonts w:ascii="Arial" w:cs="Arial" w:eastAsia="Arial" w:hAnsi="Arial"/>
          <w:sz w:val="16"/>
          <w:szCs w:val="16"/>
          <w:color w:val="auto"/>
        </w:rPr>
        <w:t>The impact of these restatements to the Company’s statements of income for the years ended December 31, 2004 and December 31, 2003 was a decrease to net income of $0.2 million for both years. The impact associated with correcting the Company’s accounting for operating leases was an increase to lease expense of $0.4 million reflected in “Cost of goods and services” for both years. The restatements also impacted the consolidated balance sheet lines for “Deferred charges and other assets, net,” “Deferred income taxes,” “Deferred lease payable” and “Retained earnings.” For the years ended December 31, 2004 and 2003, the Company’s consolidated statements of shareholders’ equity and comprehensive income were impacted by the restatement adjustments by a decrease in net income of $0.2 million for both years, as well as a decrease to retained earnings of $0.6 million as of December 31, 2002. The adjustments do not affect historical net cash flows from operating, investing or financing activities, future cash flows or the timing of payments under related leases.</w:t>
      </w:r>
    </w:p>
    <w:p>
      <w:pPr>
        <w:spacing w:after="0" w:line="177" w:lineRule="exact"/>
        <w:rPr>
          <w:sz w:val="20"/>
          <w:szCs w:val="20"/>
          <w:color w:val="auto"/>
        </w:rPr>
      </w:pPr>
    </w:p>
    <w:p>
      <w:pPr>
        <w:ind w:right="2179"/>
        <w:spacing w:after="0" w:line="259" w:lineRule="auto"/>
        <w:rPr>
          <w:sz w:val="20"/>
          <w:szCs w:val="20"/>
          <w:color w:val="auto"/>
        </w:rPr>
      </w:pPr>
      <w:r>
        <w:rPr>
          <w:rFonts w:ascii="Arial" w:cs="Arial" w:eastAsia="Arial" w:hAnsi="Arial"/>
          <w:sz w:val="18"/>
          <w:szCs w:val="18"/>
          <w:color w:val="auto"/>
        </w:rPr>
        <w:t>In the “Reclassifications” column, in the tables presented below, certain amounts reported in prior period financial statements have been reclassified to conform to the current year presentation, with no effect on net income or shareholders’ equity.</w:t>
      </w:r>
    </w:p>
    <w:p>
      <w:pPr>
        <w:spacing w:after="0" w:line="19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388" w:right="1440" w:bottom="1440" w:gutter="0" w:footer="0" w:header="0"/>
        </w:sectPr>
      </w:pPr>
    </w:p>
    <w:bookmarkStart w:id="90" w:name="page91"/>
    <w:bookmarkEnd w:id="90"/>
    <w:p>
      <w:pPr>
        <w:ind w:right="2139"/>
        <w:spacing w:after="0" w:line="268" w:lineRule="auto"/>
        <w:rPr>
          <w:sz w:val="20"/>
          <w:szCs w:val="20"/>
          <w:color w:val="auto"/>
        </w:rPr>
      </w:pPr>
      <w:r>
        <w:rPr>
          <w:rFonts w:ascii="Arial" w:cs="Arial" w:eastAsia="Arial" w:hAnsi="Arial"/>
          <w:sz w:val="18"/>
          <w:szCs w:val="18"/>
          <w:color w:val="auto"/>
        </w:rPr>
        <w:t>The reclassification and restatement adjustments to amounts previously presented in the consolidated statements of income are summarized below (in thousands except per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2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w w:val="95"/>
              </w:rPr>
              <w:t>Year Ended December 31, 2004</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40" w:type="dxa"/>
            <w:vAlign w:val="bottom"/>
            <w:tcBorders>
              <w:bottom w:val="single" w:sz="8" w:color="808080"/>
            </w:tcBorders>
          </w:tcPr>
          <w:p>
            <w:pPr>
              <w:spacing w:after="0"/>
              <w:rPr>
                <w:sz w:val="8"/>
                <w:szCs w:val="8"/>
                <w:color w:val="auto"/>
              </w:rPr>
            </w:pPr>
          </w:p>
        </w:tc>
        <w:tc>
          <w:tcPr>
            <w:tcW w:w="29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gridSpan w:val="2"/>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w w:val="99"/>
              </w:rPr>
              <w:t>Restatement</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jc w:val="right"/>
              <w:ind w:right="34"/>
              <w:spacing w:after="0"/>
              <w:rPr>
                <w:sz w:val="20"/>
                <w:szCs w:val="20"/>
                <w:color w:val="auto"/>
              </w:rPr>
            </w:pPr>
            <w:r>
              <w:rPr>
                <w:rFonts w:ascii="Arial" w:cs="Arial" w:eastAsia="Arial" w:hAnsi="Arial"/>
                <w:sz w:val="14"/>
                <w:szCs w:val="14"/>
                <w:b w:val="1"/>
                <w:bCs w:val="1"/>
                <w:color w:val="auto"/>
                <w:w w:val="93"/>
              </w:rPr>
              <w:t>(Reported)</w:t>
            </w:r>
          </w:p>
        </w:tc>
        <w:tc>
          <w:tcPr>
            <w:tcW w:w="124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w w:val="87"/>
              </w:rPr>
              <w:t>Reclassifications</w:t>
            </w: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w w:val="99"/>
              </w:rPr>
              <w:t>Adjustments</w:t>
            </w:r>
          </w:p>
        </w:tc>
        <w:tc>
          <w:tcPr>
            <w:tcW w:w="26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36"/>
        </w:trPr>
        <w:tc>
          <w:tcPr>
            <w:tcW w:w="440" w:type="dxa"/>
            <w:vAlign w:val="bottom"/>
            <w:vMerge w:val="restart"/>
          </w:tcPr>
          <w:p>
            <w:pPr>
              <w:spacing w:after="0"/>
              <w:rPr>
                <w:sz w:val="11"/>
                <w:szCs w:val="11"/>
                <w:color w:val="auto"/>
              </w:rPr>
            </w:pPr>
          </w:p>
        </w:tc>
        <w:tc>
          <w:tcPr>
            <w:tcW w:w="2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2940" w:type="dxa"/>
            <w:vAlign w:val="bottom"/>
            <w:shd w:val="clear" w:color="auto" w:fill="EAF9E8"/>
          </w:tcPr>
          <w:p>
            <w:pPr>
              <w:spacing w:after="0"/>
              <w:rPr>
                <w:sz w:val="20"/>
                <w:szCs w:val="20"/>
                <w:color w:val="auto"/>
              </w:rPr>
            </w:pPr>
            <w:r>
              <w:rPr>
                <w:rFonts w:ascii="Arial" w:cs="Arial" w:eastAsia="Arial" w:hAnsi="Arial"/>
                <w:sz w:val="18"/>
                <w:szCs w:val="18"/>
                <w:color w:val="auto"/>
              </w:rPr>
              <w:t>Operating revenues</w:t>
            </w: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AF9E8"/>
          </w:tcPr>
          <w:p>
            <w:pPr>
              <w:jc w:val="right"/>
              <w:ind w:right="34"/>
              <w:spacing w:after="0"/>
              <w:rPr>
                <w:sz w:val="20"/>
                <w:szCs w:val="20"/>
                <w:color w:val="auto"/>
              </w:rPr>
            </w:pPr>
            <w:r>
              <w:rPr>
                <w:rFonts w:ascii="Arial" w:cs="Arial" w:eastAsia="Arial" w:hAnsi="Arial"/>
                <w:sz w:val="18"/>
                <w:szCs w:val="18"/>
                <w:color w:val="auto"/>
              </w:rPr>
              <w:t>120,974</w:t>
            </w:r>
          </w:p>
        </w:tc>
        <w:tc>
          <w:tcPr>
            <w:tcW w:w="420" w:type="dxa"/>
            <w:vAlign w:val="bottom"/>
            <w:shd w:val="clear" w:color="auto" w:fill="EAF9E8"/>
          </w:tcPr>
          <w:p>
            <w:pPr>
              <w:ind w:lef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shd w:val="clear" w:color="auto" w:fill="EAF9E8"/>
          </w:tcPr>
          <w:p>
            <w:pPr>
              <w:jc w:val="right"/>
              <w:ind w:right="19"/>
              <w:spacing w:after="0"/>
              <w:rPr>
                <w:sz w:val="20"/>
                <w:szCs w:val="20"/>
                <w:color w:val="auto"/>
              </w:rPr>
            </w:pPr>
            <w:r>
              <w:rPr>
                <w:rFonts w:ascii="Arial" w:cs="Arial" w:eastAsia="Arial" w:hAnsi="Arial"/>
                <w:sz w:val="18"/>
                <w:szCs w:val="18"/>
                <w:color w:val="auto"/>
              </w:rPr>
              <w:t>$</w:t>
            </w:r>
          </w:p>
        </w:tc>
        <w:tc>
          <w:tcPr>
            <w:tcW w:w="60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rPr>
              <w:t>20</w:t>
            </w:r>
          </w:p>
        </w:tc>
        <w:tc>
          <w:tcPr>
            <w:tcW w:w="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120,994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Cost of goods and services</w:t>
            </w:r>
          </w:p>
        </w:tc>
        <w:tc>
          <w:tcPr>
            <w:tcW w:w="68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15,793</w:t>
            </w:r>
          </w:p>
        </w:tc>
        <w:tc>
          <w:tcPr>
            <w:tcW w:w="420" w:type="dxa"/>
            <w:vAlign w:val="bottom"/>
          </w:tcPr>
          <w:p>
            <w:pPr>
              <w:spacing w:after="0"/>
              <w:rPr>
                <w:sz w:val="18"/>
                <w:szCs w:val="18"/>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29,672</w:t>
            </w:r>
          </w:p>
        </w:tc>
        <w:tc>
          <w:tcPr>
            <w:tcW w:w="380" w:type="dxa"/>
            <w:vAlign w:val="bottom"/>
          </w:tcPr>
          <w:p>
            <w:pPr>
              <w:spacing w:after="0"/>
              <w:rPr>
                <w:sz w:val="18"/>
                <w:szCs w:val="18"/>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382</w:t>
            </w:r>
          </w:p>
        </w:tc>
        <w:tc>
          <w:tcPr>
            <w:tcW w:w="26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45,847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940" w:type="dxa"/>
            <w:vAlign w:val="bottom"/>
            <w:shd w:val="clear" w:color="auto" w:fill="EAF9E8"/>
          </w:tcPr>
          <w:p>
            <w:pPr>
              <w:spacing w:after="0"/>
              <w:rPr>
                <w:sz w:val="20"/>
                <w:szCs w:val="20"/>
                <w:color w:val="auto"/>
              </w:rPr>
            </w:pPr>
            <w:r>
              <w:rPr>
                <w:rFonts w:ascii="Arial" w:cs="Arial" w:eastAsia="Arial" w:hAnsi="Arial"/>
                <w:sz w:val="18"/>
                <w:szCs w:val="18"/>
                <w:color w:val="auto"/>
              </w:rPr>
              <w:t>Network operating costs</w:t>
            </w:r>
          </w:p>
        </w:tc>
        <w:tc>
          <w:tcPr>
            <w:tcW w:w="68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34"/>
              <w:spacing w:after="0"/>
              <w:rPr>
                <w:sz w:val="20"/>
                <w:szCs w:val="20"/>
                <w:color w:val="auto"/>
              </w:rPr>
            </w:pPr>
            <w:r>
              <w:rPr>
                <w:rFonts w:ascii="Arial" w:cs="Arial" w:eastAsia="Arial" w:hAnsi="Arial"/>
                <w:sz w:val="18"/>
                <w:szCs w:val="18"/>
                <w:color w:val="auto"/>
              </w:rPr>
              <w:t>36,220</w:t>
            </w:r>
          </w:p>
        </w:tc>
        <w:tc>
          <w:tcPr>
            <w:tcW w:w="420" w:type="dxa"/>
            <w:vAlign w:val="bottom"/>
            <w:shd w:val="clear" w:color="auto" w:fill="EAF9E8"/>
          </w:tcPr>
          <w:p>
            <w:pPr>
              <w:spacing w:after="0"/>
              <w:rPr>
                <w:sz w:val="18"/>
                <w:szCs w:val="18"/>
                <w:color w:val="auto"/>
              </w:rPr>
            </w:pPr>
          </w:p>
        </w:tc>
        <w:tc>
          <w:tcPr>
            <w:tcW w:w="82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w w:val="92"/>
              </w:rPr>
              <w:t>(36,220)</w:t>
            </w:r>
          </w:p>
        </w:tc>
        <w:tc>
          <w:tcPr>
            <w:tcW w:w="380" w:type="dxa"/>
            <w:vAlign w:val="bottom"/>
            <w:shd w:val="clear" w:color="auto" w:fill="EAF9E8"/>
          </w:tcPr>
          <w:p>
            <w:pPr>
              <w:spacing w:after="0"/>
              <w:rPr>
                <w:sz w:val="18"/>
                <w:szCs w:val="18"/>
                <w:color w:val="auto"/>
              </w:rPr>
            </w:pPr>
          </w:p>
        </w:tc>
        <w:tc>
          <w:tcPr>
            <w:tcW w:w="60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shd w:val="clear" w:color="auto" w:fill="EAF9E8"/>
          </w:tcPr>
          <w:p>
            <w:pPr>
              <w:spacing w:after="0"/>
              <w:rPr>
                <w:sz w:val="18"/>
                <w:szCs w:val="18"/>
                <w:color w:val="auto"/>
              </w:rPr>
            </w:pPr>
          </w:p>
        </w:tc>
        <w:tc>
          <w:tcPr>
            <w:tcW w:w="78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30,316</w:t>
            </w:r>
          </w:p>
        </w:tc>
        <w:tc>
          <w:tcPr>
            <w:tcW w:w="420" w:type="dxa"/>
            <w:vAlign w:val="bottom"/>
          </w:tcPr>
          <w:p>
            <w:pPr>
              <w:spacing w:after="0"/>
              <w:rPr>
                <w:sz w:val="18"/>
                <w:szCs w:val="18"/>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7,800</w:t>
            </w:r>
          </w:p>
        </w:tc>
        <w:tc>
          <w:tcPr>
            <w:tcW w:w="380" w:type="dxa"/>
            <w:vAlign w:val="bottom"/>
          </w:tcPr>
          <w:p>
            <w:pPr>
              <w:spacing w:after="0"/>
              <w:rPr>
                <w:sz w:val="18"/>
                <w:szCs w:val="18"/>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38,116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940" w:type="dxa"/>
            <w:vAlign w:val="bottom"/>
            <w:shd w:val="clear" w:color="auto" w:fill="EAF9E8"/>
          </w:tcPr>
          <w:p>
            <w:pPr>
              <w:spacing w:after="0"/>
              <w:rPr>
                <w:sz w:val="20"/>
                <w:szCs w:val="20"/>
                <w:color w:val="auto"/>
              </w:rPr>
            </w:pPr>
            <w:r>
              <w:rPr>
                <w:rFonts w:ascii="Arial" w:cs="Arial" w:eastAsia="Arial" w:hAnsi="Arial"/>
                <w:sz w:val="18"/>
                <w:szCs w:val="18"/>
                <w:color w:val="auto"/>
              </w:rPr>
              <w:t>Operating income</w:t>
            </w:r>
          </w:p>
        </w:tc>
        <w:tc>
          <w:tcPr>
            <w:tcW w:w="68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34"/>
              <w:spacing w:after="0"/>
              <w:rPr>
                <w:sz w:val="20"/>
                <w:szCs w:val="20"/>
                <w:color w:val="auto"/>
              </w:rPr>
            </w:pPr>
            <w:r>
              <w:rPr>
                <w:rFonts w:ascii="Arial" w:cs="Arial" w:eastAsia="Arial" w:hAnsi="Arial"/>
                <w:sz w:val="18"/>
                <w:szCs w:val="18"/>
                <w:color w:val="auto"/>
              </w:rPr>
              <w:t>19,625</w:t>
            </w:r>
          </w:p>
        </w:tc>
        <w:tc>
          <w:tcPr>
            <w:tcW w:w="420" w:type="dxa"/>
            <w:vAlign w:val="bottom"/>
            <w:shd w:val="clear" w:color="auto" w:fill="EAF9E8"/>
          </w:tcPr>
          <w:p>
            <w:pPr>
              <w:spacing w:after="0"/>
              <w:rPr>
                <w:sz w:val="18"/>
                <w:szCs w:val="18"/>
                <w:color w:val="auto"/>
              </w:rPr>
            </w:pPr>
          </w:p>
        </w:tc>
        <w:tc>
          <w:tcPr>
            <w:tcW w:w="82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rPr>
              <w:t>(1,252)</w:t>
            </w:r>
          </w:p>
        </w:tc>
        <w:tc>
          <w:tcPr>
            <w:tcW w:w="380" w:type="dxa"/>
            <w:vAlign w:val="bottom"/>
            <w:shd w:val="clear" w:color="auto" w:fill="EAF9E8"/>
          </w:tcPr>
          <w:p>
            <w:pPr>
              <w:spacing w:after="0"/>
              <w:rPr>
                <w:sz w:val="18"/>
                <w:szCs w:val="18"/>
                <w:color w:val="auto"/>
              </w:rPr>
            </w:pPr>
          </w:p>
        </w:tc>
        <w:tc>
          <w:tcPr>
            <w:tcW w:w="6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(362)</w:t>
            </w:r>
          </w:p>
        </w:tc>
        <w:tc>
          <w:tcPr>
            <w:tcW w:w="260" w:type="dxa"/>
            <w:vAlign w:val="bottom"/>
            <w:shd w:val="clear" w:color="auto" w:fill="EAF9E8"/>
          </w:tcPr>
          <w:p>
            <w:pPr>
              <w:spacing w:after="0"/>
              <w:rPr>
                <w:sz w:val="18"/>
                <w:szCs w:val="18"/>
                <w:color w:val="auto"/>
              </w:rPr>
            </w:pPr>
          </w:p>
        </w:tc>
        <w:tc>
          <w:tcPr>
            <w:tcW w:w="78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18,011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Income tax provision</w:t>
            </w:r>
          </w:p>
        </w:tc>
        <w:tc>
          <w:tcPr>
            <w:tcW w:w="68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6,078</w:t>
            </w:r>
          </w:p>
        </w:tc>
        <w:tc>
          <w:tcPr>
            <w:tcW w:w="420" w:type="dxa"/>
            <w:vAlign w:val="bottom"/>
          </w:tcPr>
          <w:p>
            <w:pPr>
              <w:spacing w:after="0"/>
              <w:rPr>
                <w:sz w:val="18"/>
                <w:szCs w:val="18"/>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(157)</w:t>
            </w:r>
          </w:p>
        </w:tc>
        <w:tc>
          <w:tcPr>
            <w:tcW w:w="26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5,921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940" w:type="dxa"/>
            <w:vAlign w:val="bottom"/>
            <w:shd w:val="clear" w:color="auto" w:fill="EAF9E8"/>
          </w:tcPr>
          <w:p>
            <w:pPr>
              <w:spacing w:after="0"/>
              <w:rPr>
                <w:sz w:val="20"/>
                <w:szCs w:val="20"/>
                <w:color w:val="auto"/>
              </w:rPr>
            </w:pPr>
            <w:r>
              <w:rPr>
                <w:rFonts w:ascii="Arial" w:cs="Arial" w:eastAsia="Arial" w:hAnsi="Arial"/>
                <w:sz w:val="18"/>
                <w:szCs w:val="18"/>
                <w:color w:val="auto"/>
              </w:rPr>
              <w:t>Net income</w:t>
            </w: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AF9E8"/>
          </w:tcPr>
          <w:p>
            <w:pPr>
              <w:jc w:val="right"/>
              <w:ind w:right="34"/>
              <w:spacing w:after="0"/>
              <w:rPr>
                <w:sz w:val="20"/>
                <w:szCs w:val="20"/>
                <w:color w:val="auto"/>
              </w:rPr>
            </w:pPr>
            <w:r>
              <w:rPr>
                <w:rFonts w:ascii="Arial" w:cs="Arial" w:eastAsia="Arial" w:hAnsi="Arial"/>
                <w:sz w:val="18"/>
                <w:szCs w:val="18"/>
                <w:color w:val="auto"/>
              </w:rPr>
              <w:t>10,243</w:t>
            </w:r>
          </w:p>
        </w:tc>
        <w:tc>
          <w:tcPr>
            <w:tcW w:w="420" w:type="dxa"/>
            <w:vAlign w:val="bottom"/>
            <w:shd w:val="clear" w:color="auto" w:fill="EAF9E8"/>
          </w:tcPr>
          <w:p>
            <w:pPr>
              <w:ind w:left="22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shd w:val="clear" w:color="auto" w:fill="EAF9E8"/>
          </w:tcPr>
          <w:p>
            <w:pPr>
              <w:jc w:val="right"/>
              <w:ind w:right="19"/>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(205)</w:t>
            </w:r>
          </w:p>
        </w:tc>
        <w:tc>
          <w:tcPr>
            <w:tcW w:w="26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10,038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Net income per share, basic</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1.35</w:t>
            </w:r>
          </w:p>
        </w:tc>
        <w:tc>
          <w:tcPr>
            <w:tcW w:w="4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(0.03)</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940" w:type="dxa"/>
            <w:vAlign w:val="bottom"/>
            <w:shd w:val="clear" w:color="auto" w:fill="EAF9E8"/>
          </w:tcPr>
          <w:p>
            <w:pPr>
              <w:spacing w:after="0"/>
              <w:rPr>
                <w:sz w:val="20"/>
                <w:szCs w:val="20"/>
                <w:color w:val="auto"/>
              </w:rPr>
            </w:pPr>
            <w:r>
              <w:rPr>
                <w:rFonts w:ascii="Arial" w:cs="Arial" w:eastAsia="Arial" w:hAnsi="Arial"/>
                <w:sz w:val="18"/>
                <w:szCs w:val="18"/>
                <w:color w:val="auto"/>
              </w:rPr>
              <w:t>Net income per share, diluted</w:t>
            </w: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AF9E8"/>
          </w:tcPr>
          <w:p>
            <w:pPr>
              <w:jc w:val="right"/>
              <w:ind w:right="34"/>
              <w:spacing w:after="0"/>
              <w:rPr>
                <w:sz w:val="20"/>
                <w:szCs w:val="20"/>
                <w:color w:val="auto"/>
              </w:rPr>
            </w:pPr>
            <w:r>
              <w:rPr>
                <w:rFonts w:ascii="Arial" w:cs="Arial" w:eastAsia="Arial" w:hAnsi="Arial"/>
                <w:sz w:val="18"/>
                <w:szCs w:val="18"/>
                <w:color w:val="auto"/>
              </w:rPr>
              <w:t>1.34</w:t>
            </w:r>
          </w:p>
        </w:tc>
        <w:tc>
          <w:tcPr>
            <w:tcW w:w="420" w:type="dxa"/>
            <w:vAlign w:val="bottom"/>
            <w:shd w:val="clear" w:color="auto" w:fill="EAF9E8"/>
          </w:tcPr>
          <w:p>
            <w:pPr>
              <w:ind w:left="22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shd w:val="clear" w:color="auto" w:fill="EAF9E8"/>
          </w:tcPr>
          <w:p>
            <w:pPr>
              <w:jc w:val="right"/>
              <w:ind w:right="19"/>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(0.03)</w:t>
            </w:r>
          </w:p>
        </w:tc>
        <w:tc>
          <w:tcPr>
            <w:tcW w:w="26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4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20" w:type="dxa"/>
            <w:vAlign w:val="bottom"/>
            <w:gridSpan w:val="4"/>
          </w:tcPr>
          <w:p>
            <w:pPr>
              <w:ind w:left="200"/>
              <w:spacing w:after="0"/>
              <w:rPr>
                <w:sz w:val="20"/>
                <w:szCs w:val="20"/>
                <w:color w:val="auto"/>
              </w:rPr>
            </w:pPr>
            <w:r>
              <w:rPr>
                <w:rFonts w:ascii="Arial" w:cs="Arial" w:eastAsia="Arial" w:hAnsi="Arial"/>
                <w:sz w:val="14"/>
                <w:szCs w:val="14"/>
                <w:b w:val="1"/>
                <w:bCs w:val="1"/>
                <w:color w:val="auto"/>
                <w:w w:val="96"/>
              </w:rPr>
              <w:t>Year Ended December 31, 2003</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40" w:type="dxa"/>
            <w:vAlign w:val="bottom"/>
            <w:tcBorders>
              <w:bottom w:val="single" w:sz="8" w:color="808080"/>
            </w:tcBorders>
          </w:tcPr>
          <w:p>
            <w:pPr>
              <w:spacing w:after="0"/>
              <w:rPr>
                <w:sz w:val="8"/>
                <w:szCs w:val="8"/>
                <w:color w:val="auto"/>
              </w:rPr>
            </w:pPr>
          </w:p>
        </w:tc>
        <w:tc>
          <w:tcPr>
            <w:tcW w:w="29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gridSpan w:val="2"/>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Restatement</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(Reported)</w:t>
            </w:r>
          </w:p>
        </w:tc>
        <w:tc>
          <w:tcPr>
            <w:tcW w:w="12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96"/>
              </w:rPr>
              <w:t>Reclassifications</w:t>
            </w: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Adjustments</w:t>
            </w:r>
          </w:p>
        </w:tc>
        <w:tc>
          <w:tcPr>
            <w:tcW w:w="26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36"/>
        </w:trPr>
        <w:tc>
          <w:tcPr>
            <w:tcW w:w="440" w:type="dxa"/>
            <w:vAlign w:val="bottom"/>
            <w:vMerge w:val="restart"/>
          </w:tcPr>
          <w:p>
            <w:pPr>
              <w:spacing w:after="0"/>
              <w:rPr>
                <w:sz w:val="11"/>
                <w:szCs w:val="11"/>
                <w:color w:val="auto"/>
              </w:rPr>
            </w:pPr>
          </w:p>
        </w:tc>
        <w:tc>
          <w:tcPr>
            <w:tcW w:w="2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2940" w:type="dxa"/>
            <w:vAlign w:val="bottom"/>
            <w:shd w:val="clear" w:color="auto" w:fill="EAF9E8"/>
          </w:tcPr>
          <w:p>
            <w:pPr>
              <w:spacing w:after="0"/>
              <w:rPr>
                <w:sz w:val="20"/>
                <w:szCs w:val="20"/>
                <w:color w:val="auto"/>
              </w:rPr>
            </w:pPr>
            <w:r>
              <w:rPr>
                <w:rFonts w:ascii="Arial" w:cs="Arial" w:eastAsia="Arial" w:hAnsi="Arial"/>
                <w:sz w:val="18"/>
                <w:szCs w:val="18"/>
                <w:color w:val="auto"/>
              </w:rPr>
              <w:t>Operating revenues</w:t>
            </w: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105,617</w:t>
            </w:r>
          </w:p>
        </w:tc>
        <w:tc>
          <w:tcPr>
            <w:tcW w:w="420" w:type="dxa"/>
            <w:vAlign w:val="bottom"/>
            <w:shd w:val="clear" w:color="auto" w:fill="EAF9E8"/>
          </w:tcPr>
          <w:p>
            <w:pPr>
              <w:ind w:left="3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shd w:val="clear" w:color="auto" w:fill="EAF9E8"/>
          </w:tcPr>
          <w:p>
            <w:pPr>
              <w:jc w:val="right"/>
              <w:ind w:right="19"/>
              <w:spacing w:after="0"/>
              <w:rPr>
                <w:sz w:val="20"/>
                <w:szCs w:val="20"/>
                <w:color w:val="auto"/>
              </w:rPr>
            </w:pPr>
            <w:r>
              <w:rPr>
                <w:rFonts w:ascii="Arial" w:cs="Arial" w:eastAsia="Arial" w:hAnsi="Arial"/>
                <w:sz w:val="18"/>
                <w:szCs w:val="18"/>
                <w:color w:val="auto"/>
              </w:rPr>
              <w:t>$</w:t>
            </w:r>
          </w:p>
        </w:tc>
        <w:tc>
          <w:tcPr>
            <w:tcW w:w="60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rPr>
              <w:t>44</w:t>
            </w:r>
          </w:p>
        </w:tc>
        <w:tc>
          <w:tcPr>
            <w:tcW w:w="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105,661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Cost of goods and services</w:t>
            </w:r>
          </w:p>
        </w:tc>
        <w:tc>
          <w:tcPr>
            <w:tcW w:w="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13,386</w:t>
            </w:r>
          </w:p>
        </w:tc>
        <w:tc>
          <w:tcPr>
            <w:tcW w:w="420" w:type="dxa"/>
            <w:vAlign w:val="bottom"/>
          </w:tcPr>
          <w:p>
            <w:pPr>
              <w:spacing w:after="0"/>
              <w:rPr>
                <w:sz w:val="18"/>
                <w:szCs w:val="18"/>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25,979</w:t>
            </w:r>
          </w:p>
        </w:tc>
        <w:tc>
          <w:tcPr>
            <w:tcW w:w="380" w:type="dxa"/>
            <w:vAlign w:val="bottom"/>
          </w:tcPr>
          <w:p>
            <w:pPr>
              <w:spacing w:after="0"/>
              <w:rPr>
                <w:sz w:val="18"/>
                <w:szCs w:val="18"/>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404</w:t>
            </w:r>
          </w:p>
        </w:tc>
        <w:tc>
          <w:tcPr>
            <w:tcW w:w="26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39,769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940" w:type="dxa"/>
            <w:vAlign w:val="bottom"/>
            <w:shd w:val="clear" w:color="auto" w:fill="EAF9E8"/>
          </w:tcPr>
          <w:p>
            <w:pPr>
              <w:spacing w:after="0"/>
              <w:rPr>
                <w:sz w:val="20"/>
                <w:szCs w:val="20"/>
                <w:color w:val="auto"/>
              </w:rPr>
            </w:pPr>
            <w:r>
              <w:rPr>
                <w:rFonts w:ascii="Arial" w:cs="Arial" w:eastAsia="Arial" w:hAnsi="Arial"/>
                <w:sz w:val="18"/>
                <w:szCs w:val="18"/>
                <w:color w:val="auto"/>
              </w:rPr>
              <w:t>Network operating costs</w:t>
            </w:r>
          </w:p>
        </w:tc>
        <w:tc>
          <w:tcPr>
            <w:tcW w:w="68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31,666</w:t>
            </w:r>
          </w:p>
        </w:tc>
        <w:tc>
          <w:tcPr>
            <w:tcW w:w="420" w:type="dxa"/>
            <w:vAlign w:val="bottom"/>
            <w:shd w:val="clear" w:color="auto" w:fill="EAF9E8"/>
          </w:tcPr>
          <w:p>
            <w:pPr>
              <w:spacing w:after="0"/>
              <w:rPr>
                <w:sz w:val="18"/>
                <w:szCs w:val="18"/>
                <w:color w:val="auto"/>
              </w:rPr>
            </w:pPr>
          </w:p>
        </w:tc>
        <w:tc>
          <w:tcPr>
            <w:tcW w:w="82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(31,666)</w:t>
            </w:r>
          </w:p>
        </w:tc>
        <w:tc>
          <w:tcPr>
            <w:tcW w:w="380" w:type="dxa"/>
            <w:vAlign w:val="bottom"/>
            <w:shd w:val="clear" w:color="auto" w:fill="EAF9E8"/>
          </w:tcPr>
          <w:p>
            <w:pPr>
              <w:spacing w:after="0"/>
              <w:rPr>
                <w:sz w:val="18"/>
                <w:szCs w:val="18"/>
                <w:color w:val="auto"/>
              </w:rPr>
            </w:pPr>
          </w:p>
        </w:tc>
        <w:tc>
          <w:tcPr>
            <w:tcW w:w="60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shd w:val="clear" w:color="auto" w:fill="EAF9E8"/>
          </w:tcPr>
          <w:p>
            <w:pPr>
              <w:spacing w:after="0"/>
              <w:rPr>
                <w:sz w:val="18"/>
                <w:szCs w:val="18"/>
                <w:color w:val="auto"/>
              </w:rPr>
            </w:pPr>
          </w:p>
        </w:tc>
        <w:tc>
          <w:tcPr>
            <w:tcW w:w="78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25,306</w:t>
            </w:r>
          </w:p>
        </w:tc>
        <w:tc>
          <w:tcPr>
            <w:tcW w:w="420" w:type="dxa"/>
            <w:vAlign w:val="bottom"/>
          </w:tcPr>
          <w:p>
            <w:pPr>
              <w:spacing w:after="0"/>
              <w:rPr>
                <w:sz w:val="18"/>
                <w:szCs w:val="18"/>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6,034</w:t>
            </w:r>
          </w:p>
        </w:tc>
        <w:tc>
          <w:tcPr>
            <w:tcW w:w="380" w:type="dxa"/>
            <w:vAlign w:val="bottom"/>
          </w:tcPr>
          <w:p>
            <w:pPr>
              <w:spacing w:after="0"/>
              <w:rPr>
                <w:sz w:val="18"/>
                <w:szCs w:val="18"/>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31,340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940" w:type="dxa"/>
            <w:vAlign w:val="bottom"/>
            <w:shd w:val="clear" w:color="auto" w:fill="EAF9E8"/>
          </w:tcPr>
          <w:p>
            <w:pPr>
              <w:spacing w:after="0"/>
              <w:rPr>
                <w:sz w:val="20"/>
                <w:szCs w:val="20"/>
                <w:color w:val="auto"/>
              </w:rPr>
            </w:pPr>
            <w:r>
              <w:rPr>
                <w:rFonts w:ascii="Arial" w:cs="Arial" w:eastAsia="Arial" w:hAnsi="Arial"/>
                <w:sz w:val="18"/>
                <w:szCs w:val="18"/>
                <w:color w:val="auto"/>
              </w:rPr>
              <w:t>Operating income</w:t>
            </w:r>
          </w:p>
        </w:tc>
        <w:tc>
          <w:tcPr>
            <w:tcW w:w="68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18,628</w:t>
            </w:r>
          </w:p>
        </w:tc>
        <w:tc>
          <w:tcPr>
            <w:tcW w:w="420" w:type="dxa"/>
            <w:vAlign w:val="bottom"/>
            <w:shd w:val="clear" w:color="auto" w:fill="EAF9E8"/>
          </w:tcPr>
          <w:p>
            <w:pPr>
              <w:spacing w:after="0"/>
              <w:rPr>
                <w:sz w:val="18"/>
                <w:szCs w:val="18"/>
                <w:color w:val="auto"/>
              </w:rPr>
            </w:pPr>
          </w:p>
        </w:tc>
        <w:tc>
          <w:tcPr>
            <w:tcW w:w="82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(347)</w:t>
            </w:r>
          </w:p>
        </w:tc>
        <w:tc>
          <w:tcPr>
            <w:tcW w:w="380" w:type="dxa"/>
            <w:vAlign w:val="bottom"/>
            <w:shd w:val="clear" w:color="auto" w:fill="EAF9E8"/>
          </w:tcPr>
          <w:p>
            <w:pPr>
              <w:spacing w:after="0"/>
              <w:rPr>
                <w:sz w:val="18"/>
                <w:szCs w:val="18"/>
                <w:color w:val="auto"/>
              </w:rPr>
            </w:pPr>
          </w:p>
        </w:tc>
        <w:tc>
          <w:tcPr>
            <w:tcW w:w="6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(360)</w:t>
            </w:r>
          </w:p>
        </w:tc>
        <w:tc>
          <w:tcPr>
            <w:tcW w:w="260" w:type="dxa"/>
            <w:vAlign w:val="bottom"/>
            <w:shd w:val="clear" w:color="auto" w:fill="EAF9E8"/>
          </w:tcPr>
          <w:p>
            <w:pPr>
              <w:spacing w:after="0"/>
              <w:rPr>
                <w:sz w:val="18"/>
                <w:szCs w:val="18"/>
                <w:color w:val="auto"/>
              </w:rPr>
            </w:pPr>
          </w:p>
        </w:tc>
        <w:tc>
          <w:tcPr>
            <w:tcW w:w="78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17,921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Income tax provision</w:t>
            </w:r>
          </w:p>
        </w:tc>
        <w:tc>
          <w:tcPr>
            <w:tcW w:w="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5,304</w:t>
            </w:r>
          </w:p>
        </w:tc>
        <w:tc>
          <w:tcPr>
            <w:tcW w:w="420" w:type="dxa"/>
            <w:vAlign w:val="bottom"/>
          </w:tcPr>
          <w:p>
            <w:pPr>
              <w:spacing w:after="0"/>
              <w:rPr>
                <w:sz w:val="18"/>
                <w:szCs w:val="18"/>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5,166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940" w:type="dxa"/>
            <w:vAlign w:val="bottom"/>
            <w:shd w:val="clear" w:color="auto" w:fill="EAF9E8"/>
          </w:tcPr>
          <w:p>
            <w:pPr>
              <w:spacing w:after="0"/>
              <w:rPr>
                <w:sz w:val="20"/>
                <w:szCs w:val="20"/>
                <w:color w:val="auto"/>
              </w:rPr>
            </w:pPr>
            <w:r>
              <w:rPr>
                <w:rFonts w:ascii="Arial" w:cs="Arial" w:eastAsia="Arial" w:hAnsi="Arial"/>
                <w:sz w:val="18"/>
                <w:szCs w:val="18"/>
                <w:color w:val="auto"/>
              </w:rPr>
              <w:t>Net income</w:t>
            </w: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32,074</w:t>
            </w:r>
          </w:p>
        </w:tc>
        <w:tc>
          <w:tcPr>
            <w:tcW w:w="420" w:type="dxa"/>
            <w:vAlign w:val="bottom"/>
            <w:shd w:val="clear" w:color="auto" w:fill="EAF9E8"/>
          </w:tcPr>
          <w:p>
            <w:pPr>
              <w:ind w:left="30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shd w:val="clear" w:color="auto" w:fill="EAF9E8"/>
          </w:tcPr>
          <w:p>
            <w:pPr>
              <w:jc w:val="right"/>
              <w:ind w:right="19"/>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(222)</w:t>
            </w:r>
          </w:p>
        </w:tc>
        <w:tc>
          <w:tcPr>
            <w:tcW w:w="26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31,852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Net income per share, basic</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4.23</w:t>
            </w:r>
          </w:p>
        </w:tc>
        <w:tc>
          <w:tcPr>
            <w:tcW w:w="420" w:type="dxa"/>
            <w:vAlign w:val="bottom"/>
          </w:tcPr>
          <w:p>
            <w:pPr>
              <w:ind w:left="30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(0.03)</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940" w:type="dxa"/>
            <w:vAlign w:val="bottom"/>
            <w:shd w:val="clear" w:color="auto" w:fill="EAF9E8"/>
          </w:tcPr>
          <w:p>
            <w:pPr>
              <w:spacing w:after="0"/>
              <w:rPr>
                <w:sz w:val="20"/>
                <w:szCs w:val="20"/>
                <w:color w:val="auto"/>
              </w:rPr>
            </w:pPr>
            <w:r>
              <w:rPr>
                <w:rFonts w:ascii="Arial" w:cs="Arial" w:eastAsia="Arial" w:hAnsi="Arial"/>
                <w:sz w:val="18"/>
                <w:szCs w:val="18"/>
                <w:color w:val="auto"/>
              </w:rPr>
              <w:t>Net income per share, diluted</w:t>
            </w: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4.22</w:t>
            </w:r>
          </w:p>
        </w:tc>
        <w:tc>
          <w:tcPr>
            <w:tcW w:w="420" w:type="dxa"/>
            <w:vAlign w:val="bottom"/>
            <w:shd w:val="clear" w:color="auto" w:fill="EAF9E8"/>
          </w:tcPr>
          <w:p>
            <w:pPr>
              <w:ind w:left="30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shd w:val="clear" w:color="auto" w:fill="EAF9E8"/>
          </w:tcPr>
          <w:p>
            <w:pPr>
              <w:jc w:val="right"/>
              <w:ind w:right="19"/>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(0.04)</w:t>
            </w:r>
          </w:p>
        </w:tc>
        <w:tc>
          <w:tcPr>
            <w:tcW w:w="26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2199"/>
        <w:spacing w:after="0" w:line="268" w:lineRule="auto"/>
        <w:rPr>
          <w:sz w:val="20"/>
          <w:szCs w:val="20"/>
          <w:color w:val="auto"/>
        </w:rPr>
      </w:pPr>
      <w:r>
        <w:rPr>
          <w:rFonts w:ascii="Arial" w:cs="Arial" w:eastAsia="Arial" w:hAnsi="Arial"/>
          <w:sz w:val="18"/>
          <w:szCs w:val="18"/>
          <w:color w:val="auto"/>
        </w:rPr>
        <w:t>The reclassifications and restatement adjustments to amounts previously presented in the Company’s consolidated balance sheets are summarized below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20" w:type="dxa"/>
            <w:vAlign w:val="bottom"/>
            <w:gridSpan w:val="3"/>
          </w:tcPr>
          <w:p>
            <w:pPr>
              <w:jc w:val="right"/>
              <w:ind w:right="292"/>
              <w:spacing w:after="0"/>
              <w:rPr>
                <w:sz w:val="20"/>
                <w:szCs w:val="20"/>
                <w:color w:val="auto"/>
              </w:rPr>
            </w:pPr>
            <w:r>
              <w:rPr>
                <w:rFonts w:ascii="Arial" w:cs="Arial" w:eastAsia="Arial" w:hAnsi="Arial"/>
                <w:sz w:val="14"/>
                <w:szCs w:val="14"/>
                <w:b w:val="1"/>
                <w:bCs w:val="1"/>
                <w:color w:val="auto"/>
                <w:w w:val="86"/>
              </w:rPr>
              <w:t>As of December 31, 2004</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500" w:type="dxa"/>
            <w:vAlign w:val="bottom"/>
            <w:tcBorders>
              <w:bottom w:val="single" w:sz="8" w:color="808080"/>
            </w:tcBorders>
          </w:tcPr>
          <w:p>
            <w:pPr>
              <w:spacing w:after="0"/>
              <w:rPr>
                <w:sz w:val="8"/>
                <w:szCs w:val="8"/>
                <w:color w:val="auto"/>
              </w:rPr>
            </w:pPr>
          </w:p>
        </w:tc>
        <w:tc>
          <w:tcPr>
            <w:tcW w:w="31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gridSpan w:val="2"/>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237"/>
        </w:trPr>
        <w:tc>
          <w:tcPr>
            <w:tcW w:w="5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7"/>
              </w:rPr>
              <w:t>Restatement</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74"/>
        </w:trPr>
        <w:tc>
          <w:tcPr>
            <w:tcW w:w="5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jc w:val="right"/>
              <w:ind w:right="16"/>
              <w:spacing w:after="0"/>
              <w:rPr>
                <w:sz w:val="20"/>
                <w:szCs w:val="20"/>
                <w:color w:val="auto"/>
              </w:rPr>
            </w:pPr>
            <w:r>
              <w:rPr>
                <w:rFonts w:ascii="Arial" w:cs="Arial" w:eastAsia="Arial" w:hAnsi="Arial"/>
                <w:sz w:val="14"/>
                <w:szCs w:val="14"/>
                <w:b w:val="1"/>
                <w:bCs w:val="1"/>
                <w:color w:val="auto"/>
                <w:w w:val="96"/>
              </w:rPr>
              <w:t>(Reported)</w:t>
            </w:r>
          </w:p>
        </w:tc>
        <w:tc>
          <w:tcPr>
            <w:tcW w:w="1200" w:type="dxa"/>
            <w:vAlign w:val="bottom"/>
            <w:gridSpan w:val="2"/>
          </w:tcPr>
          <w:p>
            <w:pPr>
              <w:jc w:val="right"/>
              <w:ind w:right="56"/>
              <w:spacing w:after="0"/>
              <w:rPr>
                <w:sz w:val="20"/>
                <w:szCs w:val="20"/>
                <w:color w:val="auto"/>
              </w:rPr>
            </w:pPr>
            <w:r>
              <w:rPr>
                <w:rFonts w:ascii="Arial" w:cs="Arial" w:eastAsia="Arial" w:hAnsi="Arial"/>
                <w:sz w:val="14"/>
                <w:szCs w:val="14"/>
                <w:b w:val="1"/>
                <w:bCs w:val="1"/>
                <w:color w:val="auto"/>
                <w:w w:val="90"/>
              </w:rPr>
              <w:t>Reclassifications</w:t>
            </w:r>
          </w:p>
        </w:tc>
        <w:tc>
          <w:tcPr>
            <w:tcW w:w="9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6"/>
              </w:rPr>
              <w:t>Adjustments</w:t>
            </w:r>
          </w:p>
        </w:tc>
        <w:tc>
          <w:tcPr>
            <w:tcW w:w="26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(Restated)</w:t>
            </w:r>
          </w:p>
        </w:tc>
      </w:tr>
      <w:tr>
        <w:trPr>
          <w:trHeight w:val="136"/>
        </w:trPr>
        <w:tc>
          <w:tcPr>
            <w:tcW w:w="50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500" w:type="dxa"/>
            <w:vAlign w:val="bottom"/>
          </w:tcPr>
          <w:p>
            <w:pPr>
              <w:spacing w:after="0"/>
              <w:rPr>
                <w:sz w:val="18"/>
                <w:szCs w:val="18"/>
                <w:color w:val="auto"/>
              </w:rPr>
            </w:pPr>
          </w:p>
        </w:tc>
        <w:tc>
          <w:tcPr>
            <w:tcW w:w="3140" w:type="dxa"/>
            <w:vAlign w:val="bottom"/>
            <w:shd w:val="clear" w:color="auto" w:fill="EAF9E8"/>
          </w:tcPr>
          <w:p>
            <w:pPr>
              <w:spacing w:after="0"/>
              <w:rPr>
                <w:sz w:val="20"/>
                <w:szCs w:val="20"/>
                <w:color w:val="auto"/>
              </w:rPr>
            </w:pPr>
            <w:r>
              <w:rPr>
                <w:rFonts w:ascii="Arial" w:cs="Arial" w:eastAsia="Arial" w:hAnsi="Arial"/>
                <w:sz w:val="18"/>
                <w:szCs w:val="18"/>
                <w:color w:val="auto"/>
                <w:w w:val="99"/>
              </w:rPr>
              <w:t>Deferred charges and other assets, net</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AF9E8"/>
          </w:tcPr>
          <w:p>
            <w:pPr>
              <w:jc w:val="right"/>
              <w:ind w:right="16"/>
              <w:spacing w:after="0"/>
              <w:rPr>
                <w:sz w:val="20"/>
                <w:szCs w:val="20"/>
                <w:color w:val="auto"/>
              </w:rPr>
            </w:pPr>
            <w:r>
              <w:rPr>
                <w:rFonts w:ascii="Arial" w:cs="Arial" w:eastAsia="Arial" w:hAnsi="Arial"/>
                <w:sz w:val="18"/>
                <w:szCs w:val="18"/>
                <w:color w:val="auto"/>
              </w:rPr>
              <w:t>964</w:t>
            </w:r>
          </w:p>
        </w:tc>
        <w:tc>
          <w:tcPr>
            <w:tcW w:w="32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EAF9E8"/>
          </w:tcPr>
          <w:p>
            <w:pPr>
              <w:jc w:val="right"/>
              <w:ind w:right="36"/>
              <w:spacing w:after="0"/>
              <w:rPr>
                <w:sz w:val="20"/>
                <w:szCs w:val="20"/>
                <w:color w:val="auto"/>
              </w:rPr>
            </w:pPr>
            <w:r>
              <w:rPr>
                <w:rFonts w:ascii="Arial" w:cs="Arial" w:eastAsia="Arial" w:hAnsi="Arial"/>
                <w:sz w:val="18"/>
                <w:szCs w:val="18"/>
                <w:color w:val="auto"/>
              </w:rPr>
              <w:t>(146)</w:t>
            </w:r>
          </w:p>
        </w:tc>
        <w:tc>
          <w:tcPr>
            <w:tcW w:w="28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rPr>
              <w:t>174</w:t>
            </w:r>
          </w:p>
        </w:tc>
        <w:tc>
          <w:tcPr>
            <w:tcW w:w="26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AF9E8"/>
          </w:tcPr>
          <w:p>
            <w:pPr>
              <w:jc w:val="right"/>
              <w:ind w:right="16"/>
              <w:spacing w:after="0"/>
              <w:rPr>
                <w:sz w:val="20"/>
                <w:szCs w:val="20"/>
                <w:color w:val="auto"/>
              </w:rPr>
            </w:pPr>
            <w:r>
              <w:rPr>
                <w:rFonts w:ascii="Arial" w:cs="Arial" w:eastAsia="Arial" w:hAnsi="Arial"/>
                <w:sz w:val="18"/>
                <w:szCs w:val="18"/>
                <w:color w:val="auto"/>
              </w:rPr>
              <w:t>992</w:t>
            </w:r>
          </w:p>
        </w:tc>
        <w:tc>
          <w:tcPr>
            <w:tcW w:w="2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Long-term deferred income tax liability</w:t>
            </w:r>
          </w:p>
        </w:tc>
        <w:tc>
          <w:tcPr>
            <w:tcW w:w="500" w:type="dxa"/>
            <w:vAlign w:val="bottom"/>
          </w:tcPr>
          <w:p>
            <w:pPr>
              <w:spacing w:after="0"/>
              <w:rPr>
                <w:sz w:val="18"/>
                <w:szCs w:val="18"/>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24,826</w:t>
            </w:r>
          </w:p>
        </w:tc>
        <w:tc>
          <w:tcPr>
            <w:tcW w:w="320" w:type="dxa"/>
            <w:vAlign w:val="bottom"/>
          </w:tcPr>
          <w:p>
            <w:pPr>
              <w:spacing w:after="0"/>
              <w:rPr>
                <w:sz w:val="18"/>
                <w:szCs w:val="18"/>
                <w:color w:val="auto"/>
              </w:rPr>
            </w:pPr>
          </w:p>
        </w:tc>
        <w:tc>
          <w:tcPr>
            <w:tcW w:w="88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(664)</w:t>
            </w:r>
          </w:p>
        </w:tc>
        <w:tc>
          <w:tcPr>
            <w:tcW w:w="260" w:type="dxa"/>
            <w:vAlign w:val="bottom"/>
          </w:tcPr>
          <w:p>
            <w:pPr>
              <w:spacing w:after="0"/>
              <w:rPr>
                <w:sz w:val="18"/>
                <w:szCs w:val="18"/>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24,162</w:t>
            </w:r>
          </w:p>
        </w:tc>
        <w:tc>
          <w:tcPr>
            <w:tcW w:w="2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140" w:type="dxa"/>
            <w:vAlign w:val="bottom"/>
            <w:shd w:val="clear" w:color="auto" w:fill="EAF9E8"/>
          </w:tcPr>
          <w:p>
            <w:pPr>
              <w:spacing w:after="0"/>
              <w:rPr>
                <w:sz w:val="20"/>
                <w:szCs w:val="20"/>
                <w:color w:val="auto"/>
              </w:rPr>
            </w:pPr>
            <w:r>
              <w:rPr>
                <w:rFonts w:ascii="Arial" w:cs="Arial" w:eastAsia="Arial" w:hAnsi="Arial"/>
                <w:sz w:val="18"/>
                <w:szCs w:val="18"/>
                <w:color w:val="auto"/>
              </w:rPr>
              <w:t>Deferred lease payable</w:t>
            </w:r>
          </w:p>
        </w:tc>
        <w:tc>
          <w:tcPr>
            <w:tcW w:w="50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16"/>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18"/>
                <w:szCs w:val="18"/>
                <w:color w:val="auto"/>
              </w:rPr>
            </w:pPr>
          </w:p>
        </w:tc>
        <w:tc>
          <w:tcPr>
            <w:tcW w:w="880" w:type="dxa"/>
            <w:vAlign w:val="bottom"/>
            <w:shd w:val="clear" w:color="auto" w:fill="EAF9E8"/>
          </w:tcPr>
          <w:p>
            <w:pPr>
              <w:jc w:val="right"/>
              <w:ind w:right="96"/>
              <w:spacing w:after="0"/>
              <w:rPr>
                <w:sz w:val="20"/>
                <w:szCs w:val="20"/>
                <w:color w:val="auto"/>
              </w:rPr>
            </w:pPr>
            <w:r>
              <w:rPr>
                <w:rFonts w:ascii="Arial" w:cs="Arial" w:eastAsia="Arial" w:hAnsi="Arial"/>
                <w:sz w:val="18"/>
                <w:szCs w:val="18"/>
                <w:color w:val="auto"/>
              </w:rPr>
              <w:t>—</w:t>
            </w:r>
          </w:p>
        </w:tc>
        <w:tc>
          <w:tcPr>
            <w:tcW w:w="280" w:type="dxa"/>
            <w:vAlign w:val="bottom"/>
            <w:shd w:val="clear" w:color="auto" w:fill="EAF9E8"/>
          </w:tcPr>
          <w:p>
            <w:pPr>
              <w:spacing w:after="0"/>
              <w:rPr>
                <w:sz w:val="18"/>
                <w:szCs w:val="18"/>
                <w:color w:val="auto"/>
              </w:rPr>
            </w:pPr>
          </w:p>
        </w:tc>
        <w:tc>
          <w:tcPr>
            <w:tcW w:w="66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rPr>
              <w:t>1,878</w:t>
            </w:r>
          </w:p>
        </w:tc>
        <w:tc>
          <w:tcPr>
            <w:tcW w:w="260" w:type="dxa"/>
            <w:vAlign w:val="bottom"/>
            <w:shd w:val="clear" w:color="auto" w:fill="EAF9E8"/>
          </w:tcPr>
          <w:p>
            <w:pPr>
              <w:spacing w:after="0"/>
              <w:rPr>
                <w:sz w:val="18"/>
                <w:szCs w:val="18"/>
                <w:color w:val="auto"/>
              </w:rPr>
            </w:pPr>
          </w:p>
        </w:tc>
        <w:tc>
          <w:tcPr>
            <w:tcW w:w="780" w:type="dxa"/>
            <w:vAlign w:val="bottom"/>
            <w:shd w:val="clear" w:color="auto" w:fill="EAF9E8"/>
          </w:tcPr>
          <w:p>
            <w:pPr>
              <w:jc w:val="right"/>
              <w:ind w:right="16"/>
              <w:spacing w:after="0"/>
              <w:rPr>
                <w:sz w:val="20"/>
                <w:szCs w:val="20"/>
                <w:color w:val="auto"/>
              </w:rPr>
            </w:pPr>
            <w:r>
              <w:rPr>
                <w:rFonts w:ascii="Arial" w:cs="Arial" w:eastAsia="Arial" w:hAnsi="Arial"/>
                <w:sz w:val="18"/>
                <w:szCs w:val="18"/>
                <w:color w:val="auto"/>
              </w:rPr>
              <w:t>1,878</w:t>
            </w:r>
          </w:p>
        </w:tc>
        <w:tc>
          <w:tcPr>
            <w:tcW w:w="20" w:type="dxa"/>
            <w:vAlign w:val="bottom"/>
          </w:tcPr>
          <w:p>
            <w:pPr>
              <w:spacing w:after="0"/>
              <w:rPr>
                <w:sz w:val="18"/>
                <w:szCs w:val="18"/>
                <w:color w:val="auto"/>
              </w:rPr>
            </w:pPr>
          </w:p>
        </w:tc>
      </w:tr>
      <w:tr>
        <w:trPr>
          <w:trHeight w:val="228"/>
        </w:trPr>
        <w:tc>
          <w:tcPr>
            <w:tcW w:w="50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Retained earnings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107,413</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4"/>
              </w:rPr>
              <w:t>(1,040)</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106,373</w:t>
            </w:r>
          </w:p>
        </w:tc>
        <w:tc>
          <w:tcPr>
            <w:tcW w:w="20" w:type="dxa"/>
            <w:vAlign w:val="bottom"/>
          </w:tcPr>
          <w:p>
            <w:pPr>
              <w:spacing w:after="0"/>
              <w:rPr>
                <w:sz w:val="19"/>
                <w:szCs w:val="19"/>
                <w:color w:val="auto"/>
              </w:rPr>
            </w:pPr>
          </w:p>
        </w:tc>
      </w:tr>
    </w:tbl>
    <w:p>
      <w:pPr>
        <w:spacing w:after="0" w:line="19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90" w:right="1440" w:bottom="1440" w:gutter="0" w:footer="0" w:header="0"/>
        </w:sectPr>
      </w:pPr>
    </w:p>
    <w:bookmarkStart w:id="91" w:name="page92"/>
    <w:bookmarkEnd w:id="91"/>
    <w:p>
      <w:pPr>
        <w:ind w:left="5940"/>
        <w:spacing w:after="0"/>
        <w:rPr>
          <w:sz w:val="20"/>
          <w:szCs w:val="20"/>
          <w:color w:val="auto"/>
        </w:rPr>
      </w:pPr>
      <w:r>
        <w:rPr>
          <w:rFonts w:ascii="Arial" w:cs="Arial" w:eastAsia="Arial" w:hAnsi="Arial"/>
          <w:sz w:val="14"/>
          <w:szCs w:val="14"/>
          <w:b w:val="1"/>
          <w:bCs w:val="1"/>
          <w:color w:val="auto"/>
        </w:rPr>
        <w:t>As of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516255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pacing w:after="0" w:line="185"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19"/>
              <w:spacing w:after="0"/>
              <w:rPr>
                <w:sz w:val="20"/>
                <w:szCs w:val="20"/>
                <w:color w:val="auto"/>
              </w:rPr>
            </w:pPr>
            <w:r>
              <w:rPr>
                <w:rFonts w:ascii="Arial" w:cs="Arial" w:eastAsia="Arial" w:hAnsi="Arial"/>
                <w:sz w:val="14"/>
                <w:szCs w:val="14"/>
                <w:b w:val="1"/>
                <w:bCs w:val="1"/>
                <w:color w:val="auto"/>
                <w:w w:val="88"/>
              </w:rPr>
              <w:t>Restatement</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0"/>
              </w:rPr>
              <w:t>(Reported)</w:t>
            </w:r>
          </w:p>
        </w:tc>
        <w:tc>
          <w:tcPr>
            <w:tcW w:w="200" w:type="dxa"/>
            <w:vAlign w:val="bottom"/>
          </w:tcPr>
          <w:p>
            <w:pPr>
              <w:spacing w:after="0"/>
              <w:rPr>
                <w:sz w:val="15"/>
                <w:szCs w:val="15"/>
                <w:color w:val="auto"/>
              </w:rPr>
            </w:pPr>
          </w:p>
        </w:tc>
        <w:tc>
          <w:tcPr>
            <w:tcW w:w="860" w:type="dxa"/>
            <w:vAlign w:val="bottom"/>
          </w:tcPr>
          <w:p>
            <w:pPr>
              <w:jc w:val="right"/>
              <w:ind w:right="19"/>
              <w:spacing w:after="0"/>
              <w:rPr>
                <w:sz w:val="20"/>
                <w:szCs w:val="20"/>
                <w:color w:val="auto"/>
              </w:rPr>
            </w:pPr>
            <w:r>
              <w:rPr>
                <w:rFonts w:ascii="Arial" w:cs="Arial" w:eastAsia="Arial" w:hAnsi="Arial"/>
                <w:sz w:val="14"/>
                <w:szCs w:val="14"/>
                <w:b w:val="1"/>
                <w:bCs w:val="1"/>
                <w:color w:val="auto"/>
                <w:w w:val="87"/>
              </w:rPr>
              <w:t>Adjustments</w:t>
            </w:r>
          </w:p>
        </w:tc>
        <w:tc>
          <w:tcPr>
            <w:tcW w:w="200" w:type="dxa"/>
            <w:vAlign w:val="bottom"/>
          </w:tcPr>
          <w:p>
            <w:pPr>
              <w:spacing w:after="0"/>
              <w:rPr>
                <w:sz w:val="15"/>
                <w:szCs w:val="15"/>
                <w:color w:val="auto"/>
              </w:rPr>
            </w:pPr>
          </w:p>
        </w:tc>
        <w:tc>
          <w:tcPr>
            <w:tcW w:w="740" w:type="dxa"/>
            <w:vAlign w:val="bottom"/>
          </w:tcPr>
          <w:p>
            <w:pPr>
              <w:jc w:val="right"/>
              <w:ind w:right="16"/>
              <w:spacing w:after="0"/>
              <w:rPr>
                <w:sz w:val="20"/>
                <w:szCs w:val="20"/>
                <w:color w:val="auto"/>
              </w:rPr>
            </w:pPr>
            <w:r>
              <w:rPr>
                <w:rFonts w:ascii="Arial" w:cs="Arial" w:eastAsia="Arial" w:hAnsi="Arial"/>
                <w:sz w:val="14"/>
                <w:szCs w:val="14"/>
                <w:b w:val="1"/>
                <w:bCs w:val="1"/>
                <w:color w:val="auto"/>
                <w:w w:val="90"/>
              </w:rPr>
              <w:t>(Restated)</w:t>
            </w: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3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EAF9E8"/>
          </w:tcPr>
          <w:p>
            <w:pPr>
              <w:spacing w:after="0"/>
              <w:rPr>
                <w:sz w:val="20"/>
                <w:szCs w:val="20"/>
                <w:color w:val="auto"/>
              </w:rPr>
            </w:pPr>
            <w:r>
              <w:rPr>
                <w:rFonts w:ascii="Arial" w:cs="Arial" w:eastAsia="Arial" w:hAnsi="Arial"/>
                <w:sz w:val="18"/>
                <w:szCs w:val="18"/>
                <w:color w:val="auto"/>
              </w:rPr>
              <w:t>Deferred charges and other assets, net</w:t>
            </w: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5,935</w:t>
            </w:r>
          </w:p>
        </w:tc>
        <w:tc>
          <w:tcPr>
            <w:tcW w:w="20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AF9E8"/>
          </w:tcPr>
          <w:p>
            <w:pPr>
              <w:jc w:val="right"/>
              <w:ind w:right="19"/>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AF9E8"/>
          </w:tcPr>
          <w:p>
            <w:pPr>
              <w:jc w:val="right"/>
              <w:ind w:right="16"/>
              <w:spacing w:after="0"/>
              <w:rPr>
                <w:sz w:val="20"/>
                <w:szCs w:val="20"/>
                <w:color w:val="auto"/>
              </w:rPr>
            </w:pPr>
            <w:r>
              <w:rPr>
                <w:rFonts w:ascii="Arial" w:cs="Arial" w:eastAsia="Arial" w:hAnsi="Arial"/>
                <w:sz w:val="18"/>
                <w:szCs w:val="18"/>
                <w:color w:val="auto"/>
              </w:rPr>
              <w:t>6,089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Long-term deferred income tax liability</w:t>
            </w:r>
          </w:p>
        </w:tc>
        <w:tc>
          <w:tcPr>
            <w:tcW w:w="1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20,819</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(507)</w:t>
            </w:r>
          </w:p>
        </w:tc>
        <w:tc>
          <w:tcPr>
            <w:tcW w:w="200" w:type="dxa"/>
            <w:vAlign w:val="bottom"/>
          </w:tcPr>
          <w:p>
            <w:pPr>
              <w:spacing w:after="0"/>
              <w:rPr>
                <w:sz w:val="18"/>
                <w:szCs w:val="18"/>
                <w:color w:val="auto"/>
              </w:rPr>
            </w:pP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20,312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AF9E8"/>
          </w:tcPr>
          <w:p>
            <w:pPr>
              <w:spacing w:after="0"/>
              <w:rPr>
                <w:sz w:val="20"/>
                <w:szCs w:val="20"/>
                <w:color w:val="auto"/>
              </w:rPr>
            </w:pPr>
            <w:r>
              <w:rPr>
                <w:rFonts w:ascii="Arial" w:cs="Arial" w:eastAsia="Arial" w:hAnsi="Arial"/>
                <w:sz w:val="18"/>
                <w:szCs w:val="18"/>
                <w:color w:val="auto"/>
              </w:rPr>
              <w:t>Deferred lease payable</w:t>
            </w:r>
          </w:p>
        </w:tc>
        <w:tc>
          <w:tcPr>
            <w:tcW w:w="1100" w:type="dxa"/>
            <w:vAlign w:val="bottom"/>
            <w:shd w:val="clear" w:color="auto" w:fill="EAF9E8"/>
          </w:tcPr>
          <w:p>
            <w:pPr>
              <w:spacing w:after="0"/>
              <w:rPr>
                <w:sz w:val="18"/>
                <w:szCs w:val="18"/>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19"/>
              <w:spacing w:after="0"/>
              <w:rPr>
                <w:sz w:val="20"/>
                <w:szCs w:val="20"/>
                <w:color w:val="auto"/>
              </w:rPr>
            </w:pPr>
            <w:r>
              <w:rPr>
                <w:rFonts w:ascii="Arial" w:cs="Arial" w:eastAsia="Arial" w:hAnsi="Arial"/>
                <w:sz w:val="18"/>
                <w:szCs w:val="18"/>
                <w:color w:val="auto"/>
              </w:rPr>
              <w:t>1,496</w:t>
            </w:r>
          </w:p>
        </w:tc>
        <w:tc>
          <w:tcPr>
            <w:tcW w:w="20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16"/>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Retained earnings</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100,449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(835)</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99,614</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2479"/>
        <w:spacing w:after="0" w:line="268" w:lineRule="auto"/>
        <w:rPr>
          <w:sz w:val="20"/>
          <w:szCs w:val="20"/>
          <w:color w:val="auto"/>
        </w:rPr>
      </w:pPr>
      <w:r>
        <w:rPr>
          <w:rFonts w:ascii="Arial" w:cs="Arial" w:eastAsia="Arial" w:hAnsi="Arial"/>
          <w:sz w:val="18"/>
          <w:szCs w:val="18"/>
          <w:color w:val="auto"/>
        </w:rPr>
        <w:t>See Note 17 for the Company’s restatement of the four quarters of 2004 and the first three quarters of 2005, to correct errors relating to the Company’s accounting for operating leases.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Discontinued Operations</w:t>
      </w:r>
    </w:p>
    <w:p>
      <w:pPr>
        <w:spacing w:after="0" w:line="231" w:lineRule="exact"/>
        <w:rPr>
          <w:sz w:val="20"/>
          <w:szCs w:val="20"/>
          <w:color w:val="auto"/>
        </w:rPr>
      </w:pPr>
    </w:p>
    <w:p>
      <w:pPr>
        <w:ind w:right="2099"/>
        <w:spacing w:after="0" w:line="287" w:lineRule="auto"/>
        <w:rPr>
          <w:sz w:val="20"/>
          <w:szCs w:val="20"/>
          <w:color w:val="auto"/>
        </w:rPr>
      </w:pPr>
      <w:r>
        <w:rPr>
          <w:rFonts w:ascii="Arial" w:cs="Arial" w:eastAsia="Arial" w:hAnsi="Arial"/>
          <w:sz w:val="16"/>
          <w:szCs w:val="16"/>
          <w:color w:val="auto"/>
        </w:rPr>
        <w:t>In November 2002, the Company entered into an agreement to sell its 66% General Partner interest in the Virginia 10 RSA Limited Partnership (cellular operation) to Verizon Wireless for $37.0 million. The closing of the sale took place on February 28, 2003. The total proceeds received were $38.7 million, including $5.0 million held in escrow, and a $1.7 million adjustment for estimated working capital at the time of closing. There was a post-closing adjustment based on the actual working capital balance as of the closing date, which resulted in a $39 thousand charge for the Company. The $5.0 million escrow was established for any contingencies and indemnification issues that would arise during the two-year post-closing period and is included in deferred charges and other assets in the consolidated balance sheet at December 31, 2003 and as an escrow receivable at December 31, 2004. In February 2005, the Company received the $5.0 million from the escrow agent. The Company’s gain on the sale was approximately $35 million.</w:t>
      </w:r>
    </w:p>
    <w:p>
      <w:pPr>
        <w:spacing w:after="0" w:line="177" w:lineRule="exact"/>
        <w:rPr>
          <w:sz w:val="20"/>
          <w:szCs w:val="20"/>
          <w:color w:val="auto"/>
        </w:rPr>
      </w:pPr>
    </w:p>
    <w:p>
      <w:pPr>
        <w:jc w:val="both"/>
        <w:ind w:right="2319"/>
        <w:spacing w:after="0" w:line="306" w:lineRule="auto"/>
        <w:rPr>
          <w:sz w:val="20"/>
          <w:szCs w:val="20"/>
          <w:color w:val="auto"/>
        </w:rPr>
      </w:pPr>
      <w:r>
        <w:rPr>
          <w:rFonts w:ascii="Arial" w:cs="Arial" w:eastAsia="Arial" w:hAnsi="Arial"/>
          <w:sz w:val="16"/>
          <w:szCs w:val="16"/>
          <w:color w:val="auto"/>
        </w:rPr>
        <w:t>The operations of the cellular partnership, including the minority interest, have been reclassified as discontinued operations, net of taxes in the consolidated statements of income for all periods presented. Operating results and the sale of the discontinued operations are summarized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0" w:type="dxa"/>
            <w:vAlign w:val="bottom"/>
          </w:tcPr>
          <w:p>
            <w:pPr>
              <w:spacing w:after="0"/>
              <w:rPr>
                <w:sz w:val="15"/>
                <w:szCs w:val="15"/>
                <w:color w:val="auto"/>
              </w:rPr>
            </w:pPr>
          </w:p>
        </w:tc>
        <w:tc>
          <w:tcPr>
            <w:tcW w:w="31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2003</w:t>
            </w:r>
          </w:p>
        </w:tc>
        <w:tc>
          <w:tcPr>
            <w:tcW w:w="2060" w:type="dxa"/>
            <w:vAlign w:val="bottom"/>
          </w:tcPr>
          <w:p>
            <w:pPr>
              <w:spacing w:after="0"/>
              <w:rPr>
                <w:sz w:val="15"/>
                <w:szCs w:val="15"/>
                <w:color w:val="auto"/>
              </w:rPr>
            </w:pPr>
          </w:p>
        </w:tc>
      </w:tr>
      <w:tr>
        <w:trPr>
          <w:trHeight w:val="95"/>
        </w:trPr>
        <w:tc>
          <w:tcPr>
            <w:tcW w:w="48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60" w:type="dxa"/>
            <w:vAlign w:val="bottom"/>
          </w:tcPr>
          <w:p>
            <w:pPr>
              <w:spacing w:after="0"/>
              <w:rPr>
                <w:sz w:val="8"/>
                <w:szCs w:val="8"/>
                <w:color w:val="auto"/>
              </w:rPr>
            </w:pPr>
          </w:p>
        </w:tc>
      </w:tr>
      <w:tr>
        <w:trPr>
          <w:trHeight w:val="102"/>
        </w:trPr>
        <w:tc>
          <w:tcPr>
            <w:tcW w:w="48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60" w:type="dxa"/>
            <w:vAlign w:val="bottom"/>
          </w:tcPr>
          <w:p>
            <w:pPr>
              <w:spacing w:after="0"/>
              <w:rPr>
                <w:sz w:val="8"/>
                <w:szCs w:val="8"/>
                <w:color w:val="auto"/>
              </w:rPr>
            </w:pPr>
          </w:p>
        </w:tc>
      </w:tr>
      <w:tr>
        <w:trPr>
          <w:trHeight w:val="216"/>
        </w:trPr>
        <w:tc>
          <w:tcPr>
            <w:tcW w:w="480" w:type="dxa"/>
            <w:vAlign w:val="bottom"/>
          </w:tcPr>
          <w:p>
            <w:pPr>
              <w:spacing w:after="0"/>
              <w:rPr>
                <w:sz w:val="18"/>
                <w:szCs w:val="18"/>
                <w:color w:val="auto"/>
              </w:rPr>
            </w:pPr>
          </w:p>
        </w:tc>
        <w:tc>
          <w:tcPr>
            <w:tcW w:w="3180" w:type="dxa"/>
            <w:vAlign w:val="bottom"/>
            <w:shd w:val="clear" w:color="auto" w:fill="EAF9E8"/>
          </w:tcPr>
          <w:p>
            <w:pPr>
              <w:spacing w:after="0"/>
              <w:rPr>
                <w:sz w:val="20"/>
                <w:szCs w:val="20"/>
                <w:color w:val="auto"/>
              </w:rPr>
            </w:pPr>
            <w:r>
              <w:rPr>
                <w:rFonts w:ascii="Arial" w:cs="Arial" w:eastAsia="Arial" w:hAnsi="Arial"/>
                <w:sz w:val="18"/>
                <w:szCs w:val="18"/>
                <w:color w:val="auto"/>
              </w:rPr>
              <w:t>Revenues</w:t>
            </w:r>
          </w:p>
        </w:tc>
        <w:tc>
          <w:tcPr>
            <w:tcW w:w="18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3,056</w:t>
            </w:r>
          </w:p>
        </w:tc>
        <w:tc>
          <w:tcPr>
            <w:tcW w:w="2060" w:type="dxa"/>
            <w:vAlign w:val="bottom"/>
          </w:tcPr>
          <w:p>
            <w:pPr>
              <w:spacing w:after="0"/>
              <w:rPr>
                <w:sz w:val="18"/>
                <w:szCs w:val="18"/>
                <w:color w:val="auto"/>
              </w:rPr>
            </w:pPr>
          </w:p>
        </w:tc>
      </w:tr>
      <w:tr>
        <w:trPr>
          <w:trHeight w:val="222"/>
        </w:trPr>
        <w:tc>
          <w:tcPr>
            <w:tcW w:w="48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Operating expenses</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453</w:t>
            </w:r>
          </w:p>
        </w:tc>
        <w:tc>
          <w:tcPr>
            <w:tcW w:w="2060" w:type="dxa"/>
            <w:vAlign w:val="bottom"/>
          </w:tcPr>
          <w:p>
            <w:pPr>
              <w:spacing w:after="0"/>
              <w:rPr>
                <w:sz w:val="19"/>
                <w:szCs w:val="19"/>
                <w:color w:val="auto"/>
              </w:rPr>
            </w:pPr>
          </w:p>
        </w:tc>
      </w:tr>
      <w:tr>
        <w:trPr>
          <w:trHeight w:val="102"/>
        </w:trPr>
        <w:tc>
          <w:tcPr>
            <w:tcW w:w="48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60" w:type="dxa"/>
            <w:vAlign w:val="bottom"/>
          </w:tcPr>
          <w:p>
            <w:pPr>
              <w:spacing w:after="0"/>
              <w:rPr>
                <w:sz w:val="8"/>
                <w:szCs w:val="8"/>
                <w:color w:val="auto"/>
              </w:rPr>
            </w:pPr>
          </w:p>
        </w:tc>
      </w:tr>
      <w:tr>
        <w:trPr>
          <w:trHeight w:val="102"/>
        </w:trPr>
        <w:tc>
          <w:tcPr>
            <w:tcW w:w="48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60" w:type="dxa"/>
            <w:vAlign w:val="bottom"/>
          </w:tcPr>
          <w:p>
            <w:pPr>
              <w:spacing w:after="0"/>
              <w:rPr>
                <w:sz w:val="8"/>
                <w:szCs w:val="8"/>
                <w:color w:val="auto"/>
              </w:rPr>
            </w:pPr>
          </w:p>
        </w:tc>
      </w:tr>
      <w:tr>
        <w:trPr>
          <w:trHeight w:val="216"/>
        </w:trPr>
        <w:tc>
          <w:tcPr>
            <w:tcW w:w="480" w:type="dxa"/>
            <w:vAlign w:val="bottom"/>
          </w:tcPr>
          <w:p>
            <w:pPr>
              <w:spacing w:after="0"/>
              <w:rPr>
                <w:sz w:val="18"/>
                <w:szCs w:val="18"/>
                <w:color w:val="auto"/>
              </w:rPr>
            </w:pPr>
          </w:p>
        </w:tc>
        <w:tc>
          <w:tcPr>
            <w:tcW w:w="3180" w:type="dxa"/>
            <w:vAlign w:val="bottom"/>
            <w:shd w:val="clear" w:color="auto" w:fill="EAF9E8"/>
          </w:tcPr>
          <w:p>
            <w:pPr>
              <w:spacing w:after="0"/>
              <w:rPr>
                <w:sz w:val="20"/>
                <w:szCs w:val="20"/>
                <w:color w:val="auto"/>
              </w:rPr>
            </w:pPr>
            <w:r>
              <w:rPr>
                <w:rFonts w:ascii="Arial" w:cs="Arial" w:eastAsia="Arial" w:hAnsi="Arial"/>
                <w:sz w:val="18"/>
                <w:szCs w:val="18"/>
                <w:color w:val="auto"/>
                <w:w w:val="95"/>
              </w:rPr>
              <w:t>Income before minority interest and taxes</w:t>
            </w:r>
          </w:p>
        </w:tc>
        <w:tc>
          <w:tcPr>
            <w:tcW w:w="17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2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2,603</w:t>
            </w:r>
          </w:p>
        </w:tc>
        <w:tc>
          <w:tcPr>
            <w:tcW w:w="206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Minority interests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(773)</w:t>
            </w:r>
          </w:p>
        </w:tc>
        <w:tc>
          <w:tcPr>
            <w:tcW w:w="206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3180" w:type="dxa"/>
            <w:vAlign w:val="bottom"/>
            <w:shd w:val="clear" w:color="auto" w:fill="EAF9E8"/>
          </w:tcPr>
          <w:p>
            <w:pPr>
              <w:spacing w:after="0"/>
              <w:rPr>
                <w:sz w:val="20"/>
                <w:szCs w:val="20"/>
                <w:color w:val="auto"/>
              </w:rPr>
            </w:pPr>
            <w:r>
              <w:rPr>
                <w:rFonts w:ascii="Arial" w:cs="Arial" w:eastAsia="Arial" w:hAnsi="Arial"/>
                <w:sz w:val="18"/>
                <w:szCs w:val="18"/>
                <w:color w:val="auto"/>
              </w:rPr>
              <w:t>Sale of partnership interest</w:t>
            </w:r>
          </w:p>
        </w:tc>
        <w:tc>
          <w:tcPr>
            <w:tcW w:w="17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2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8"/>
              </w:rPr>
              <w:t>34,973</w:t>
            </w:r>
          </w:p>
        </w:tc>
        <w:tc>
          <w:tcPr>
            <w:tcW w:w="2060" w:type="dxa"/>
            <w:vAlign w:val="bottom"/>
          </w:tcPr>
          <w:p>
            <w:pPr>
              <w:spacing w:after="0"/>
              <w:rPr>
                <w:sz w:val="18"/>
                <w:szCs w:val="18"/>
                <w:color w:val="auto"/>
              </w:rPr>
            </w:pPr>
          </w:p>
        </w:tc>
      </w:tr>
      <w:tr>
        <w:trPr>
          <w:trHeight w:val="222"/>
        </w:trPr>
        <w:tc>
          <w:tcPr>
            <w:tcW w:w="48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Income taxes</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(14,414)</w:t>
            </w:r>
          </w:p>
        </w:tc>
        <w:tc>
          <w:tcPr>
            <w:tcW w:w="2060" w:type="dxa"/>
            <w:vAlign w:val="bottom"/>
          </w:tcPr>
          <w:p>
            <w:pPr>
              <w:spacing w:after="0"/>
              <w:rPr>
                <w:sz w:val="19"/>
                <w:szCs w:val="19"/>
                <w:color w:val="auto"/>
              </w:rPr>
            </w:pPr>
          </w:p>
        </w:tc>
      </w:tr>
      <w:tr>
        <w:trPr>
          <w:trHeight w:val="102"/>
        </w:trPr>
        <w:tc>
          <w:tcPr>
            <w:tcW w:w="48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60" w:type="dxa"/>
            <w:vAlign w:val="bottom"/>
          </w:tcPr>
          <w:p>
            <w:pPr>
              <w:spacing w:after="0"/>
              <w:rPr>
                <w:sz w:val="8"/>
                <w:szCs w:val="8"/>
                <w:color w:val="auto"/>
              </w:rPr>
            </w:pPr>
          </w:p>
        </w:tc>
      </w:tr>
      <w:tr>
        <w:trPr>
          <w:trHeight w:val="102"/>
        </w:trPr>
        <w:tc>
          <w:tcPr>
            <w:tcW w:w="48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60" w:type="dxa"/>
            <w:vAlign w:val="bottom"/>
          </w:tcPr>
          <w:p>
            <w:pPr>
              <w:spacing w:after="0"/>
              <w:rPr>
                <w:sz w:val="8"/>
                <w:szCs w:val="8"/>
                <w:color w:val="auto"/>
              </w:rPr>
            </w:pPr>
          </w:p>
        </w:tc>
      </w:tr>
      <w:tr>
        <w:trPr>
          <w:trHeight w:val="216"/>
        </w:trPr>
        <w:tc>
          <w:tcPr>
            <w:tcW w:w="480" w:type="dxa"/>
            <w:vAlign w:val="bottom"/>
          </w:tcPr>
          <w:p>
            <w:pPr>
              <w:spacing w:after="0"/>
              <w:rPr>
                <w:sz w:val="18"/>
                <w:szCs w:val="18"/>
                <w:color w:val="auto"/>
              </w:rPr>
            </w:pPr>
          </w:p>
        </w:tc>
        <w:tc>
          <w:tcPr>
            <w:tcW w:w="3180" w:type="dxa"/>
            <w:vAlign w:val="bottom"/>
            <w:shd w:val="clear" w:color="auto" w:fill="EAF9E8"/>
          </w:tcPr>
          <w:p>
            <w:pPr>
              <w:spacing w:after="0"/>
              <w:rPr>
                <w:sz w:val="20"/>
                <w:szCs w:val="20"/>
                <w:color w:val="auto"/>
              </w:rPr>
            </w:pPr>
            <w:r>
              <w:rPr>
                <w:rFonts w:ascii="Arial" w:cs="Arial" w:eastAsia="Arial" w:hAnsi="Arial"/>
                <w:sz w:val="18"/>
                <w:szCs w:val="18"/>
                <w:color w:val="auto"/>
                <w:w w:val="96"/>
              </w:rPr>
              <w:t>Net income from discontinued operations</w:t>
            </w:r>
          </w:p>
        </w:tc>
        <w:tc>
          <w:tcPr>
            <w:tcW w:w="18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8"/>
              </w:rPr>
              <w:t>22,389</w:t>
            </w:r>
          </w:p>
        </w:tc>
        <w:tc>
          <w:tcPr>
            <w:tcW w:w="2060" w:type="dxa"/>
            <w:vAlign w:val="bottom"/>
          </w:tcPr>
          <w:p>
            <w:pPr>
              <w:spacing w:after="0"/>
              <w:rPr>
                <w:sz w:val="18"/>
                <w:szCs w:val="18"/>
                <w:color w:val="auto"/>
              </w:rPr>
            </w:pPr>
          </w:p>
        </w:tc>
      </w:tr>
      <w:tr>
        <w:trPr>
          <w:trHeight w:val="118"/>
        </w:trPr>
        <w:tc>
          <w:tcPr>
            <w:tcW w:w="48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60" w:type="dxa"/>
            <w:vAlign w:val="bottom"/>
          </w:tcPr>
          <w:p>
            <w:pPr>
              <w:spacing w:after="0"/>
              <w:rPr>
                <w:sz w:val="10"/>
                <w:szCs w:val="10"/>
                <w:color w:val="auto"/>
              </w:rPr>
            </w:pPr>
          </w:p>
        </w:tc>
      </w:tr>
      <w:tr>
        <w:trPr>
          <w:trHeight w:val="535"/>
        </w:trPr>
        <w:tc>
          <w:tcPr>
            <w:tcW w:w="4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800" w:type="dxa"/>
            <w:vAlign w:val="bottom"/>
            <w:gridSpan w:val="2"/>
          </w:tcPr>
          <w:p>
            <w:pPr>
              <w:jc w:val="right"/>
              <w:ind w:right="1240"/>
              <w:spacing w:after="0"/>
              <w:rPr>
                <w:sz w:val="20"/>
                <w:szCs w:val="20"/>
                <w:color w:val="auto"/>
              </w:rPr>
            </w:pPr>
            <w:r>
              <w:rPr>
                <w:rFonts w:ascii="Arial" w:cs="Arial" w:eastAsia="Arial" w:hAnsi="Arial"/>
                <w:sz w:val="18"/>
                <w:szCs w:val="18"/>
                <w:color w:val="auto"/>
              </w:rPr>
              <w:t>F-19</w:t>
            </w:r>
          </w:p>
        </w:tc>
        <w:tc>
          <w:tcPr>
            <w:tcW w:w="6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15"/>
        </w:trPr>
        <w:tc>
          <w:tcPr>
            <w:tcW w:w="4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74"/>
        </w:trPr>
        <w:tc>
          <w:tcPr>
            <w:tcW w:w="480" w:type="dxa"/>
            <w:vAlign w:val="bottom"/>
            <w:shd w:val="clear" w:color="auto" w:fill="808080"/>
          </w:tcPr>
          <w:p>
            <w:pPr>
              <w:spacing w:after="0"/>
              <w:rPr>
                <w:sz w:val="6"/>
                <w:szCs w:val="6"/>
                <w:color w:val="auto"/>
              </w:rPr>
            </w:pPr>
          </w:p>
        </w:tc>
        <w:tc>
          <w:tcPr>
            <w:tcW w:w="3180" w:type="dxa"/>
            <w:vAlign w:val="bottom"/>
            <w:shd w:val="clear" w:color="auto" w:fill="808080"/>
          </w:tcPr>
          <w:p>
            <w:pPr>
              <w:spacing w:after="0"/>
              <w:rPr>
                <w:sz w:val="6"/>
                <w:szCs w:val="6"/>
                <w:color w:val="auto"/>
              </w:rPr>
            </w:pPr>
          </w:p>
        </w:tc>
        <w:tc>
          <w:tcPr>
            <w:tcW w:w="1700" w:type="dxa"/>
            <w:vAlign w:val="bottom"/>
            <w:shd w:val="clear" w:color="auto" w:fill="808080"/>
          </w:tcPr>
          <w:p>
            <w:pPr>
              <w:spacing w:after="0"/>
              <w:rPr>
                <w:sz w:val="6"/>
                <w:szCs w:val="6"/>
                <w:color w:val="auto"/>
              </w:rPr>
            </w:pPr>
          </w:p>
        </w:tc>
        <w:tc>
          <w:tcPr>
            <w:tcW w:w="100" w:type="dxa"/>
            <w:vAlign w:val="bottom"/>
            <w:shd w:val="clear" w:color="auto" w:fill="808080"/>
          </w:tcPr>
          <w:p>
            <w:pPr>
              <w:spacing w:after="0"/>
              <w:rPr>
                <w:sz w:val="6"/>
                <w:szCs w:val="6"/>
                <w:color w:val="auto"/>
              </w:rPr>
            </w:pPr>
          </w:p>
        </w:tc>
        <w:tc>
          <w:tcPr>
            <w:tcW w:w="620" w:type="dxa"/>
            <w:vAlign w:val="bottom"/>
            <w:tcBorders>
              <w:right w:val="single" w:sz="8" w:color="808080"/>
            </w:tcBorders>
            <w:shd w:val="clear" w:color="auto" w:fill="808080"/>
          </w:tcPr>
          <w:p>
            <w:pPr>
              <w:spacing w:after="0"/>
              <w:rPr>
                <w:sz w:val="6"/>
                <w:szCs w:val="6"/>
                <w:color w:val="auto"/>
              </w:rPr>
            </w:pPr>
          </w:p>
        </w:tc>
        <w:tc>
          <w:tcPr>
            <w:tcW w:w="2060" w:type="dxa"/>
            <w:vAlign w:val="bottom"/>
            <w:shd w:val="clear" w:color="auto" w:fill="808080"/>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-537210</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-537210</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-537210</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383" w:right="1440"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Note 4. Securities and Investments</w:t>
      </w:r>
    </w:p>
    <w:p>
      <w:pPr>
        <w:spacing w:after="0" w:line="231" w:lineRule="exact"/>
        <w:rPr>
          <w:sz w:val="20"/>
          <w:szCs w:val="20"/>
          <w:color w:val="auto"/>
        </w:rPr>
      </w:pPr>
    </w:p>
    <w:p>
      <w:pPr>
        <w:jc w:val="both"/>
        <w:ind w:right="2399"/>
        <w:spacing w:after="0" w:line="259" w:lineRule="auto"/>
        <w:rPr>
          <w:sz w:val="20"/>
          <w:szCs w:val="20"/>
          <w:color w:val="auto"/>
        </w:rPr>
      </w:pPr>
      <w:r>
        <w:rPr>
          <w:rFonts w:ascii="Arial" w:cs="Arial" w:eastAsia="Arial" w:hAnsi="Arial"/>
          <w:sz w:val="18"/>
          <w:szCs w:val="18"/>
          <w:color w:val="auto"/>
        </w:rPr>
        <w:t>The Company has three classifications of investments: available-for-sale securities, investments carried at cost, and equity method investments. See Note 1 for definitions of each classification of investment. There were no available-for-sale securities at December 31, 2005.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Available-for-sale securities at December 31, 2004 and 2003 consist of the following:</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180"/>
              <w:spacing w:after="0"/>
              <w:rPr>
                <w:sz w:val="20"/>
                <w:szCs w:val="20"/>
                <w:color w:val="auto"/>
              </w:rPr>
            </w:pPr>
            <w:r>
              <w:rPr>
                <w:rFonts w:ascii="Arial" w:cs="Arial" w:eastAsia="Arial" w:hAnsi="Arial"/>
                <w:sz w:val="14"/>
                <w:szCs w:val="14"/>
                <w:b w:val="1"/>
                <w:bCs w:val="1"/>
                <w:color w:val="auto"/>
              </w:rPr>
              <w:t>Gross</w:t>
            </w:r>
          </w:p>
        </w:tc>
        <w:tc>
          <w:tcPr>
            <w:tcW w:w="920" w:type="dxa"/>
            <w:vAlign w:val="bottom"/>
            <w:gridSpan w:val="2"/>
          </w:tcPr>
          <w:p>
            <w:pPr>
              <w:ind w:left="380"/>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Unrealized</w:t>
            </w:r>
          </w:p>
        </w:tc>
        <w:tc>
          <w:tcPr>
            <w:tcW w:w="92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Holding</w:t>
            </w:r>
          </w:p>
        </w:tc>
        <w:tc>
          <w:tcPr>
            <w:tcW w:w="92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Holding</w:t>
            </w:r>
          </w:p>
        </w:tc>
        <w:tc>
          <w:tcPr>
            <w:tcW w:w="240" w:type="dxa"/>
            <w:vAlign w:val="bottom"/>
          </w:tcPr>
          <w:p>
            <w:pPr>
              <w:spacing w:after="0"/>
              <w:rPr>
                <w:sz w:val="12"/>
                <w:szCs w:val="12"/>
                <w:color w:val="auto"/>
              </w:rPr>
            </w:pPr>
          </w:p>
        </w:tc>
        <w:tc>
          <w:tcPr>
            <w:tcW w:w="680" w:type="dxa"/>
            <w:vAlign w:val="bottom"/>
          </w:tcPr>
          <w:p>
            <w:pPr>
              <w:jc w:val="right"/>
              <w:ind w:right="237"/>
              <w:spacing w:after="0" w:line="149" w:lineRule="exact"/>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195"/>
              <w:spacing w:after="0"/>
              <w:rPr>
                <w:sz w:val="20"/>
                <w:szCs w:val="20"/>
                <w:color w:val="auto"/>
              </w:rPr>
            </w:pPr>
            <w:r>
              <w:rPr>
                <w:rFonts w:ascii="Arial" w:cs="Arial" w:eastAsia="Arial" w:hAnsi="Arial"/>
                <w:sz w:val="14"/>
                <w:szCs w:val="14"/>
                <w:b w:val="1"/>
                <w:bCs w:val="1"/>
                <w:color w:val="auto"/>
                <w:w w:val="83"/>
              </w:rPr>
              <w:t>Cost</w:t>
            </w:r>
          </w:p>
        </w:tc>
        <w:tc>
          <w:tcPr>
            <w:tcW w:w="700" w:type="dxa"/>
            <w:vAlign w:val="bottom"/>
            <w:gridSpan w:val="2"/>
          </w:tcPr>
          <w:p>
            <w:pPr>
              <w:ind w:left="180"/>
              <w:spacing w:after="0"/>
              <w:rPr>
                <w:sz w:val="20"/>
                <w:szCs w:val="20"/>
                <w:color w:val="auto"/>
              </w:rPr>
            </w:pPr>
            <w:r>
              <w:rPr>
                <w:rFonts w:ascii="Arial" w:cs="Arial" w:eastAsia="Arial" w:hAnsi="Arial"/>
                <w:sz w:val="14"/>
                <w:szCs w:val="14"/>
                <w:b w:val="1"/>
                <w:bCs w:val="1"/>
                <w:color w:val="auto"/>
              </w:rPr>
              <w:t>Gains</w:t>
            </w:r>
          </w:p>
        </w:tc>
        <w:tc>
          <w:tcPr>
            <w:tcW w:w="920" w:type="dxa"/>
            <w:vAlign w:val="bottom"/>
            <w:gridSpan w:val="2"/>
          </w:tcPr>
          <w:p>
            <w:pPr>
              <w:ind w:left="360"/>
              <w:spacing w:after="0"/>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5"/>
                <w:szCs w:val="15"/>
                <w:color w:val="auto"/>
              </w:rPr>
            </w:pPr>
          </w:p>
        </w:tc>
        <w:tc>
          <w:tcPr>
            <w:tcW w:w="680" w:type="dxa"/>
            <w:vAlign w:val="bottom"/>
          </w:tcPr>
          <w:p>
            <w:pPr>
              <w:jc w:val="right"/>
              <w:ind w:right="197"/>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70" w:type="dxa"/>
            <w:vAlign w:val="bottom"/>
            <w:tcBorders>
              <w:bottom w:val="single" w:sz="8" w:color="808080"/>
            </w:tcBorders>
          </w:tcPr>
          <w:p>
            <w:pPr>
              <w:spacing w:after="0"/>
              <w:rPr>
                <w:sz w:val="8"/>
                <w:szCs w:val="8"/>
                <w:color w:val="auto"/>
              </w:rPr>
            </w:pPr>
          </w:p>
        </w:tc>
        <w:tc>
          <w:tcPr>
            <w:tcW w:w="45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3"/>
          </w:tcPr>
          <w:p>
            <w:pPr>
              <w:ind w:left="260"/>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AF9E8"/>
          </w:tcPr>
          <w:p>
            <w:pPr>
              <w:jc w:val="right"/>
              <w:ind w:right="3972"/>
              <w:spacing w:after="0"/>
              <w:rPr>
                <w:sz w:val="20"/>
                <w:szCs w:val="20"/>
                <w:color w:val="auto"/>
              </w:rPr>
            </w:pPr>
            <w:r>
              <w:rPr>
                <w:rFonts w:ascii="Arial" w:cs="Arial" w:eastAsia="Arial" w:hAnsi="Arial"/>
                <w:sz w:val="18"/>
                <w:szCs w:val="18"/>
                <w:color w:val="auto"/>
              </w:rPr>
              <w:t>2004</w:t>
            </w:r>
          </w:p>
        </w:tc>
        <w:tc>
          <w:tcPr>
            <w:tcW w:w="8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470" w:type="dxa"/>
            <w:vAlign w:val="bottom"/>
            <w:shd w:val="clear" w:color="auto" w:fill="EAF9E8"/>
          </w:tcPr>
          <w:p>
            <w:pPr>
              <w:spacing w:after="0"/>
              <w:rPr>
                <w:sz w:val="18"/>
                <w:szCs w:val="18"/>
                <w:color w:val="auto"/>
              </w:rPr>
            </w:pPr>
          </w:p>
        </w:tc>
        <w:tc>
          <w:tcPr>
            <w:tcW w:w="45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70" w:type="dxa"/>
            <w:vAlign w:val="bottom"/>
            <w:tcBorders>
              <w:bottom w:val="single" w:sz="8" w:color="808080"/>
            </w:tcBorders>
          </w:tcPr>
          <w:p>
            <w:pPr>
              <w:spacing w:after="0"/>
              <w:rPr>
                <w:sz w:val="9"/>
                <w:szCs w:val="9"/>
                <w:color w:val="auto"/>
              </w:rPr>
            </w:pPr>
          </w:p>
        </w:tc>
        <w:tc>
          <w:tcPr>
            <w:tcW w:w="45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940" w:type="dxa"/>
            <w:vAlign w:val="bottom"/>
            <w:gridSpan w:val="2"/>
          </w:tcPr>
          <w:p>
            <w:pPr>
              <w:spacing w:after="0"/>
              <w:rPr>
                <w:sz w:val="20"/>
                <w:szCs w:val="20"/>
                <w:color w:val="auto"/>
              </w:rPr>
            </w:pPr>
            <w:r>
              <w:rPr>
                <w:rFonts w:ascii="Arial" w:cs="Arial" w:eastAsia="Arial" w:hAnsi="Arial"/>
                <w:sz w:val="18"/>
                <w:szCs w:val="18"/>
                <w:color w:val="auto"/>
              </w:rPr>
              <w:t>Deutsche Telekom, AG</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115"/>
              <w:spacing w:after="0"/>
              <w:rPr>
                <w:sz w:val="20"/>
                <w:szCs w:val="20"/>
                <w:color w:val="auto"/>
              </w:rPr>
            </w:pPr>
            <w:r>
              <w:rPr>
                <w:rFonts w:ascii="Arial" w:cs="Arial" w:eastAsia="Arial" w:hAnsi="Arial"/>
                <w:sz w:val="18"/>
                <w:szCs w:val="18"/>
                <w:color w:val="auto"/>
              </w:rPr>
              <w:t>85</w:t>
            </w: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ind w:right="75"/>
              <w:spacing w:after="0"/>
              <w:rPr>
                <w:sz w:val="20"/>
                <w:szCs w:val="20"/>
                <w:color w:val="auto"/>
              </w:rPr>
            </w:pPr>
            <w:r>
              <w:rPr>
                <w:rFonts w:ascii="Arial" w:cs="Arial" w:eastAsia="Arial" w:hAnsi="Arial"/>
                <w:sz w:val="18"/>
                <w:szCs w:val="18"/>
                <w:color w:val="auto"/>
                <w:w w:val="93"/>
              </w:rPr>
              <w:t>101</w:t>
            </w:r>
          </w:p>
        </w:tc>
        <w:tc>
          <w:tcPr>
            <w:tcW w:w="470" w:type="dxa"/>
            <w:vAlign w:val="bottom"/>
          </w:tcPr>
          <w:p>
            <w:pPr>
              <w:ind w:left="360"/>
              <w:spacing w:after="0"/>
              <w:rPr>
                <w:sz w:val="20"/>
                <w:szCs w:val="20"/>
                <w:color w:val="auto"/>
              </w:rPr>
            </w:pPr>
            <w:r>
              <w:rPr>
                <w:rFonts w:ascii="Arial" w:cs="Arial" w:eastAsia="Arial" w:hAnsi="Arial"/>
                <w:sz w:val="18"/>
                <w:szCs w:val="18"/>
                <w:color w:val="auto"/>
                <w:w w:val="99"/>
              </w:rPr>
              <w:t>$</w:t>
            </w:r>
          </w:p>
        </w:tc>
        <w:tc>
          <w:tcPr>
            <w:tcW w:w="450" w:type="dxa"/>
            <w:vAlign w:val="bottom"/>
          </w:tcPr>
          <w:p>
            <w:pPr>
              <w:ind w:left="7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2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EAF9E8"/>
          </w:tcPr>
          <w:p>
            <w:pPr>
              <w:spacing w:after="0"/>
              <w:rPr>
                <w:sz w:val="18"/>
                <w:szCs w:val="18"/>
                <w:color w:val="auto"/>
              </w:rPr>
            </w:pPr>
          </w:p>
        </w:tc>
        <w:tc>
          <w:tcPr>
            <w:tcW w:w="560" w:type="dxa"/>
            <w:vAlign w:val="bottom"/>
            <w:shd w:val="clear" w:color="auto" w:fill="EAF9E8"/>
          </w:tcPr>
          <w:p>
            <w:pPr>
              <w:jc w:val="right"/>
              <w:ind w:right="115"/>
              <w:spacing w:after="0"/>
              <w:rPr>
                <w:sz w:val="20"/>
                <w:szCs w:val="20"/>
                <w:color w:val="auto"/>
              </w:rPr>
            </w:pPr>
            <w:r>
              <w:rPr>
                <w:rFonts w:ascii="Arial" w:cs="Arial" w:eastAsia="Arial" w:hAnsi="Arial"/>
                <w:sz w:val="18"/>
                <w:szCs w:val="18"/>
                <w:color w:val="auto"/>
              </w:rPr>
              <w:t>46</w:t>
            </w:r>
          </w:p>
        </w:tc>
        <w:tc>
          <w:tcPr>
            <w:tcW w:w="240" w:type="dxa"/>
            <w:vAlign w:val="bottom"/>
            <w:shd w:val="clear" w:color="auto" w:fill="EAF9E8"/>
          </w:tcPr>
          <w:p>
            <w:pPr>
              <w:spacing w:after="0"/>
              <w:rPr>
                <w:sz w:val="18"/>
                <w:szCs w:val="18"/>
                <w:color w:val="auto"/>
              </w:rPr>
            </w:pPr>
          </w:p>
        </w:tc>
        <w:tc>
          <w:tcPr>
            <w:tcW w:w="460" w:type="dxa"/>
            <w:vAlign w:val="bottom"/>
            <w:shd w:val="clear" w:color="auto" w:fill="EAF9E8"/>
          </w:tcPr>
          <w:p>
            <w:pPr>
              <w:jc w:val="right"/>
              <w:ind w:right="75"/>
              <w:spacing w:after="0"/>
              <w:rPr>
                <w:sz w:val="20"/>
                <w:szCs w:val="20"/>
                <w:color w:val="auto"/>
              </w:rPr>
            </w:pPr>
            <w:r>
              <w:rPr>
                <w:rFonts w:ascii="Arial" w:cs="Arial" w:eastAsia="Arial" w:hAnsi="Arial"/>
                <w:sz w:val="18"/>
                <w:szCs w:val="18"/>
                <w:color w:val="auto"/>
              </w:rPr>
              <w:t>—</w:t>
            </w:r>
          </w:p>
        </w:tc>
        <w:tc>
          <w:tcPr>
            <w:tcW w:w="470" w:type="dxa"/>
            <w:vAlign w:val="bottom"/>
            <w:shd w:val="clear" w:color="auto" w:fill="EAF9E8"/>
          </w:tcPr>
          <w:p>
            <w:pPr>
              <w:spacing w:after="0"/>
              <w:rPr>
                <w:sz w:val="18"/>
                <w:szCs w:val="18"/>
                <w:color w:val="auto"/>
              </w:rPr>
            </w:pPr>
          </w:p>
        </w:tc>
        <w:tc>
          <w:tcPr>
            <w:tcW w:w="450" w:type="dxa"/>
            <w:vAlign w:val="bottom"/>
            <w:shd w:val="clear" w:color="auto" w:fill="EAF9E8"/>
          </w:tcPr>
          <w:p>
            <w:pPr>
              <w:ind w:lef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18"/>
                <w:szCs w:val="18"/>
                <w:color w:val="auto"/>
              </w:rPr>
            </w:pPr>
          </w:p>
        </w:tc>
        <w:tc>
          <w:tcPr>
            <w:tcW w:w="680" w:type="dxa"/>
            <w:vAlign w:val="bottom"/>
            <w:shd w:val="clear" w:color="auto" w:fill="EAF9E8"/>
          </w:tcPr>
          <w:p>
            <w:pPr>
              <w:jc w:val="right"/>
              <w:ind w:right="17"/>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70" w:type="dxa"/>
            <w:vAlign w:val="bottom"/>
            <w:tcBorders>
              <w:bottom w:val="single" w:sz="8" w:color="808080"/>
            </w:tcBorders>
          </w:tcPr>
          <w:p>
            <w:pPr>
              <w:spacing w:after="0"/>
              <w:rPr>
                <w:sz w:val="9"/>
                <w:szCs w:val="9"/>
                <w:color w:val="auto"/>
              </w:rPr>
            </w:pPr>
          </w:p>
        </w:tc>
        <w:tc>
          <w:tcPr>
            <w:tcW w:w="45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115"/>
              <w:spacing w:after="0"/>
              <w:rPr>
                <w:sz w:val="20"/>
                <w:szCs w:val="20"/>
                <w:color w:val="auto"/>
              </w:rPr>
            </w:pPr>
            <w:r>
              <w:rPr>
                <w:rFonts w:ascii="Arial" w:cs="Arial" w:eastAsia="Arial" w:hAnsi="Arial"/>
                <w:sz w:val="18"/>
                <w:szCs w:val="18"/>
                <w:color w:val="auto"/>
              </w:rPr>
              <w:t>131</w:t>
            </w: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ind w:right="75"/>
              <w:spacing w:after="0"/>
              <w:rPr>
                <w:sz w:val="20"/>
                <w:szCs w:val="20"/>
                <w:color w:val="auto"/>
              </w:rPr>
            </w:pPr>
            <w:r>
              <w:rPr>
                <w:rFonts w:ascii="Arial" w:cs="Arial" w:eastAsia="Arial" w:hAnsi="Arial"/>
                <w:sz w:val="18"/>
                <w:szCs w:val="18"/>
                <w:color w:val="auto"/>
                <w:w w:val="93"/>
              </w:rPr>
              <w:t>101</w:t>
            </w:r>
          </w:p>
        </w:tc>
        <w:tc>
          <w:tcPr>
            <w:tcW w:w="470" w:type="dxa"/>
            <w:vAlign w:val="bottom"/>
          </w:tcPr>
          <w:p>
            <w:pPr>
              <w:ind w:left="360"/>
              <w:spacing w:after="0"/>
              <w:rPr>
                <w:sz w:val="20"/>
                <w:szCs w:val="20"/>
                <w:color w:val="auto"/>
              </w:rPr>
            </w:pPr>
            <w:r>
              <w:rPr>
                <w:rFonts w:ascii="Arial" w:cs="Arial" w:eastAsia="Arial" w:hAnsi="Arial"/>
                <w:sz w:val="18"/>
                <w:szCs w:val="18"/>
                <w:color w:val="auto"/>
                <w:w w:val="99"/>
              </w:rPr>
              <w:t>$</w:t>
            </w:r>
          </w:p>
        </w:tc>
        <w:tc>
          <w:tcPr>
            <w:tcW w:w="450" w:type="dxa"/>
            <w:vAlign w:val="bottom"/>
          </w:tcPr>
          <w:p>
            <w:pPr>
              <w:ind w:left="7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470" w:type="dxa"/>
            <w:vAlign w:val="bottom"/>
            <w:tcBorders>
              <w:bottom w:val="single" w:sz="8" w:color="808080"/>
            </w:tcBorders>
          </w:tcPr>
          <w:p>
            <w:pPr>
              <w:spacing w:after="0"/>
              <w:rPr>
                <w:sz w:val="10"/>
                <w:szCs w:val="10"/>
                <w:color w:val="auto"/>
              </w:rPr>
            </w:pPr>
          </w:p>
        </w:tc>
        <w:tc>
          <w:tcPr>
            <w:tcW w:w="45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49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70" w:type="dxa"/>
            <w:vAlign w:val="bottom"/>
            <w:tcBorders>
              <w:bottom w:val="single" w:sz="8" w:color="808080"/>
            </w:tcBorders>
          </w:tcPr>
          <w:p>
            <w:pPr>
              <w:spacing w:after="0"/>
              <w:rPr>
                <w:sz w:val="24"/>
                <w:szCs w:val="24"/>
                <w:color w:val="auto"/>
              </w:rPr>
            </w:pPr>
          </w:p>
        </w:tc>
        <w:tc>
          <w:tcPr>
            <w:tcW w:w="45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70" w:type="dxa"/>
            <w:vAlign w:val="bottom"/>
          </w:tcPr>
          <w:p>
            <w:pPr>
              <w:spacing w:after="0"/>
              <w:rPr>
                <w:sz w:val="8"/>
                <w:szCs w:val="8"/>
                <w:color w:val="auto"/>
              </w:rPr>
            </w:pPr>
          </w:p>
        </w:tc>
        <w:tc>
          <w:tcPr>
            <w:tcW w:w="45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EAF9E8"/>
          </w:tcPr>
          <w:p>
            <w:pPr>
              <w:jc w:val="right"/>
              <w:ind w:right="3972"/>
              <w:spacing w:after="0"/>
              <w:rPr>
                <w:sz w:val="20"/>
                <w:szCs w:val="20"/>
                <w:color w:val="auto"/>
              </w:rPr>
            </w:pPr>
            <w:r>
              <w:rPr>
                <w:rFonts w:ascii="Arial" w:cs="Arial" w:eastAsia="Arial" w:hAnsi="Arial"/>
                <w:sz w:val="18"/>
                <w:szCs w:val="18"/>
                <w:color w:val="auto"/>
              </w:rPr>
              <w:t>2003</w:t>
            </w:r>
          </w:p>
        </w:tc>
        <w:tc>
          <w:tcPr>
            <w:tcW w:w="8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470" w:type="dxa"/>
            <w:vAlign w:val="bottom"/>
            <w:shd w:val="clear" w:color="auto" w:fill="EAF9E8"/>
          </w:tcPr>
          <w:p>
            <w:pPr>
              <w:spacing w:after="0"/>
              <w:rPr>
                <w:sz w:val="18"/>
                <w:szCs w:val="18"/>
                <w:color w:val="auto"/>
              </w:rPr>
            </w:pPr>
          </w:p>
        </w:tc>
        <w:tc>
          <w:tcPr>
            <w:tcW w:w="45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70" w:type="dxa"/>
            <w:vAlign w:val="bottom"/>
            <w:tcBorders>
              <w:bottom w:val="single" w:sz="8" w:color="808080"/>
            </w:tcBorders>
          </w:tcPr>
          <w:p>
            <w:pPr>
              <w:spacing w:after="0"/>
              <w:rPr>
                <w:sz w:val="9"/>
                <w:szCs w:val="9"/>
                <w:color w:val="auto"/>
              </w:rPr>
            </w:pPr>
          </w:p>
        </w:tc>
        <w:tc>
          <w:tcPr>
            <w:tcW w:w="45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940" w:type="dxa"/>
            <w:vAlign w:val="bottom"/>
            <w:gridSpan w:val="2"/>
          </w:tcPr>
          <w:p>
            <w:pPr>
              <w:spacing w:after="0"/>
              <w:rPr>
                <w:sz w:val="20"/>
                <w:szCs w:val="20"/>
                <w:color w:val="auto"/>
              </w:rPr>
            </w:pPr>
            <w:r>
              <w:rPr>
                <w:rFonts w:ascii="Arial" w:cs="Arial" w:eastAsia="Arial" w:hAnsi="Arial"/>
                <w:sz w:val="18"/>
                <w:szCs w:val="18"/>
                <w:color w:val="auto"/>
              </w:rPr>
              <w:t>Deutsche Telekom, AG</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115"/>
              <w:spacing w:after="0"/>
              <w:rPr>
                <w:sz w:val="20"/>
                <w:szCs w:val="20"/>
                <w:color w:val="auto"/>
              </w:rPr>
            </w:pPr>
            <w:r>
              <w:rPr>
                <w:rFonts w:ascii="Arial" w:cs="Arial" w:eastAsia="Arial" w:hAnsi="Arial"/>
                <w:sz w:val="18"/>
                <w:szCs w:val="18"/>
                <w:color w:val="auto"/>
              </w:rPr>
              <w:t>85</w:t>
            </w: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ind w:right="75"/>
              <w:spacing w:after="0"/>
              <w:rPr>
                <w:sz w:val="20"/>
                <w:szCs w:val="20"/>
                <w:color w:val="auto"/>
              </w:rPr>
            </w:pPr>
            <w:r>
              <w:rPr>
                <w:rFonts w:ascii="Arial" w:cs="Arial" w:eastAsia="Arial" w:hAnsi="Arial"/>
                <w:sz w:val="18"/>
                <w:szCs w:val="18"/>
                <w:color w:val="auto"/>
              </w:rPr>
              <w:t>64</w:t>
            </w:r>
          </w:p>
        </w:tc>
        <w:tc>
          <w:tcPr>
            <w:tcW w:w="470" w:type="dxa"/>
            <w:vAlign w:val="bottom"/>
          </w:tcPr>
          <w:p>
            <w:pPr>
              <w:ind w:left="360"/>
              <w:spacing w:after="0"/>
              <w:rPr>
                <w:sz w:val="20"/>
                <w:szCs w:val="20"/>
                <w:color w:val="auto"/>
              </w:rPr>
            </w:pPr>
            <w:r>
              <w:rPr>
                <w:rFonts w:ascii="Arial" w:cs="Arial" w:eastAsia="Arial" w:hAnsi="Arial"/>
                <w:sz w:val="18"/>
                <w:szCs w:val="18"/>
                <w:color w:val="auto"/>
                <w:w w:val="99"/>
              </w:rPr>
              <w:t>$</w:t>
            </w:r>
          </w:p>
        </w:tc>
        <w:tc>
          <w:tcPr>
            <w:tcW w:w="450" w:type="dxa"/>
            <w:vAlign w:val="bottom"/>
          </w:tcPr>
          <w:p>
            <w:pPr>
              <w:ind w:left="7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2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EAF9E8"/>
          </w:tcPr>
          <w:p>
            <w:pPr>
              <w:spacing w:after="0"/>
              <w:rPr>
                <w:sz w:val="18"/>
                <w:szCs w:val="18"/>
                <w:color w:val="auto"/>
              </w:rPr>
            </w:pPr>
          </w:p>
        </w:tc>
        <w:tc>
          <w:tcPr>
            <w:tcW w:w="560" w:type="dxa"/>
            <w:vAlign w:val="bottom"/>
            <w:shd w:val="clear" w:color="auto" w:fill="EAF9E8"/>
          </w:tcPr>
          <w:p>
            <w:pPr>
              <w:jc w:val="right"/>
              <w:ind w:right="115"/>
              <w:spacing w:after="0"/>
              <w:rPr>
                <w:sz w:val="20"/>
                <w:szCs w:val="20"/>
                <w:color w:val="auto"/>
              </w:rPr>
            </w:pPr>
            <w:r>
              <w:rPr>
                <w:rFonts w:ascii="Arial" w:cs="Arial" w:eastAsia="Arial" w:hAnsi="Arial"/>
                <w:sz w:val="18"/>
                <w:szCs w:val="18"/>
                <w:color w:val="auto"/>
              </w:rPr>
              <w:t>73</w:t>
            </w:r>
          </w:p>
        </w:tc>
        <w:tc>
          <w:tcPr>
            <w:tcW w:w="240" w:type="dxa"/>
            <w:vAlign w:val="bottom"/>
            <w:shd w:val="clear" w:color="auto" w:fill="EAF9E8"/>
          </w:tcPr>
          <w:p>
            <w:pPr>
              <w:spacing w:after="0"/>
              <w:rPr>
                <w:sz w:val="18"/>
                <w:szCs w:val="18"/>
                <w:color w:val="auto"/>
              </w:rPr>
            </w:pPr>
          </w:p>
        </w:tc>
        <w:tc>
          <w:tcPr>
            <w:tcW w:w="460" w:type="dxa"/>
            <w:vAlign w:val="bottom"/>
            <w:shd w:val="clear" w:color="auto" w:fill="EAF9E8"/>
          </w:tcPr>
          <w:p>
            <w:pPr>
              <w:jc w:val="right"/>
              <w:ind w:right="75"/>
              <w:spacing w:after="0"/>
              <w:rPr>
                <w:sz w:val="20"/>
                <w:szCs w:val="20"/>
                <w:color w:val="auto"/>
              </w:rPr>
            </w:pPr>
            <w:r>
              <w:rPr>
                <w:rFonts w:ascii="Arial" w:cs="Arial" w:eastAsia="Arial" w:hAnsi="Arial"/>
                <w:sz w:val="18"/>
                <w:szCs w:val="18"/>
                <w:color w:val="auto"/>
              </w:rPr>
              <w:t>—</w:t>
            </w:r>
          </w:p>
        </w:tc>
        <w:tc>
          <w:tcPr>
            <w:tcW w:w="470" w:type="dxa"/>
            <w:vAlign w:val="bottom"/>
            <w:shd w:val="clear" w:color="auto" w:fill="EAF9E8"/>
          </w:tcPr>
          <w:p>
            <w:pPr>
              <w:spacing w:after="0"/>
              <w:rPr>
                <w:sz w:val="18"/>
                <w:szCs w:val="18"/>
                <w:color w:val="auto"/>
              </w:rPr>
            </w:pPr>
          </w:p>
        </w:tc>
        <w:tc>
          <w:tcPr>
            <w:tcW w:w="450" w:type="dxa"/>
            <w:vAlign w:val="bottom"/>
            <w:shd w:val="clear" w:color="auto" w:fill="EAF9E8"/>
          </w:tcPr>
          <w:p>
            <w:pPr>
              <w:ind w:left="7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EAF9E8"/>
          </w:tcPr>
          <w:p>
            <w:pPr>
              <w:spacing w:after="0"/>
              <w:rPr>
                <w:sz w:val="18"/>
                <w:szCs w:val="18"/>
                <w:color w:val="auto"/>
              </w:rPr>
            </w:pPr>
          </w:p>
        </w:tc>
        <w:tc>
          <w:tcPr>
            <w:tcW w:w="680" w:type="dxa"/>
            <w:vAlign w:val="bottom"/>
            <w:shd w:val="clear" w:color="auto" w:fill="EAF9E8"/>
          </w:tcPr>
          <w:p>
            <w:pPr>
              <w:jc w:val="right"/>
              <w:ind w:right="17"/>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70" w:type="dxa"/>
            <w:vAlign w:val="bottom"/>
            <w:tcBorders>
              <w:bottom w:val="single" w:sz="8" w:color="808080"/>
            </w:tcBorders>
          </w:tcPr>
          <w:p>
            <w:pPr>
              <w:spacing w:after="0"/>
              <w:rPr>
                <w:sz w:val="9"/>
                <w:szCs w:val="9"/>
                <w:color w:val="auto"/>
              </w:rPr>
            </w:pPr>
          </w:p>
        </w:tc>
        <w:tc>
          <w:tcPr>
            <w:tcW w:w="45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115"/>
              <w:spacing w:after="0"/>
              <w:rPr>
                <w:sz w:val="20"/>
                <w:szCs w:val="20"/>
                <w:color w:val="auto"/>
              </w:rPr>
            </w:pPr>
            <w:r>
              <w:rPr>
                <w:rFonts w:ascii="Arial" w:cs="Arial" w:eastAsia="Arial" w:hAnsi="Arial"/>
                <w:sz w:val="18"/>
                <w:szCs w:val="18"/>
                <w:color w:val="auto"/>
              </w:rPr>
              <w:t>158</w:t>
            </w: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ind w:right="75"/>
              <w:spacing w:after="0"/>
              <w:rPr>
                <w:sz w:val="20"/>
                <w:szCs w:val="20"/>
                <w:color w:val="auto"/>
              </w:rPr>
            </w:pPr>
            <w:r>
              <w:rPr>
                <w:rFonts w:ascii="Arial" w:cs="Arial" w:eastAsia="Arial" w:hAnsi="Arial"/>
                <w:sz w:val="18"/>
                <w:szCs w:val="18"/>
                <w:color w:val="auto"/>
              </w:rPr>
              <w:t>64</w:t>
            </w:r>
          </w:p>
        </w:tc>
        <w:tc>
          <w:tcPr>
            <w:tcW w:w="470" w:type="dxa"/>
            <w:vAlign w:val="bottom"/>
          </w:tcPr>
          <w:p>
            <w:pPr>
              <w:ind w:left="360"/>
              <w:spacing w:after="0"/>
              <w:rPr>
                <w:sz w:val="20"/>
                <w:szCs w:val="20"/>
                <w:color w:val="auto"/>
              </w:rPr>
            </w:pPr>
            <w:r>
              <w:rPr>
                <w:rFonts w:ascii="Arial" w:cs="Arial" w:eastAsia="Arial" w:hAnsi="Arial"/>
                <w:sz w:val="18"/>
                <w:szCs w:val="18"/>
                <w:color w:val="auto"/>
                <w:w w:val="99"/>
              </w:rPr>
              <w:t>$</w:t>
            </w:r>
          </w:p>
        </w:tc>
        <w:tc>
          <w:tcPr>
            <w:tcW w:w="450" w:type="dxa"/>
            <w:vAlign w:val="bottom"/>
          </w:tcPr>
          <w:p>
            <w:pPr>
              <w:ind w:left="70"/>
              <w:spacing w:after="0"/>
              <w:rPr>
                <w:sz w:val="20"/>
                <w:szCs w:val="20"/>
                <w:color w:val="auto"/>
              </w:rPr>
            </w:pPr>
            <w:r>
              <w:rPr>
                <w:rFonts w:ascii="Arial" w:cs="Arial" w:eastAsia="Arial" w:hAnsi="Arial"/>
                <w:sz w:val="18"/>
                <w:szCs w:val="18"/>
                <w:color w:val="auto"/>
              </w:rPr>
              <w:t>23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470" w:type="dxa"/>
            <w:vAlign w:val="bottom"/>
            <w:tcBorders>
              <w:bottom w:val="single" w:sz="8" w:color="808080"/>
            </w:tcBorders>
          </w:tcPr>
          <w:p>
            <w:pPr>
              <w:spacing w:after="0"/>
              <w:rPr>
                <w:sz w:val="10"/>
                <w:szCs w:val="10"/>
                <w:color w:val="auto"/>
              </w:rPr>
            </w:pPr>
          </w:p>
        </w:tc>
        <w:tc>
          <w:tcPr>
            <w:tcW w:w="45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3133090</wp:posOffset>
            </wp:positionH>
            <wp:positionV relativeFrom="paragraph">
              <wp:posOffset>-1249045</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-1249045</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-1249045</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-1249045</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-1249045</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-1249045</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-1249045</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-1249045</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-1249045</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-1249045</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-1249045</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-1249045</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-1249045</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-1249045</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-1249045</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-1249045</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-1249045</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-14605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-14605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-14605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-14605</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-14605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-14605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-14605</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-14605</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-14605</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-14605</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-14605</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-14605</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-14605</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-14605</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-14605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-14605</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219"/>
        <w:spacing w:after="0" w:line="298" w:lineRule="auto"/>
        <w:rPr>
          <w:sz w:val="20"/>
          <w:szCs w:val="20"/>
          <w:color w:val="auto"/>
        </w:rPr>
      </w:pPr>
      <w:r>
        <w:rPr>
          <w:rFonts w:ascii="Arial" w:cs="Arial" w:eastAsia="Arial" w:hAnsi="Arial"/>
          <w:sz w:val="16"/>
          <w:szCs w:val="16"/>
          <w:color w:val="auto"/>
        </w:rPr>
        <w:t>Gross realized gains for the year ended December 31, 2005 was $76 thousand. There were no gross realized gains on available-for-sale securities included in income for the years ended December 31, 2004 and 2003. Gross realized losses included in income for the years ended December 31, 2005, 2004 and 2003 were $2 thousand, $28 thousand and $3 thousand, respectively.</w:t>
      </w:r>
    </w:p>
    <w:p>
      <w:pPr>
        <w:spacing w:after="0" w:line="167" w:lineRule="exact"/>
        <w:rPr>
          <w:sz w:val="20"/>
          <w:szCs w:val="20"/>
          <w:color w:val="auto"/>
        </w:rPr>
      </w:pPr>
    </w:p>
    <w:p>
      <w:pPr>
        <w:ind w:right="2539"/>
        <w:spacing w:after="0" w:line="332" w:lineRule="auto"/>
        <w:rPr>
          <w:sz w:val="20"/>
          <w:szCs w:val="20"/>
          <w:color w:val="auto"/>
        </w:rPr>
      </w:pPr>
      <w:r>
        <w:rPr>
          <w:rFonts w:ascii="Arial" w:cs="Arial" w:eastAsia="Arial" w:hAnsi="Arial"/>
          <w:sz w:val="16"/>
          <w:szCs w:val="16"/>
          <w:color w:val="auto"/>
        </w:rPr>
        <w:t>Changes in the unrealized gains (losses) on available-for-sale securities during the years ended December 31, 2005, 2004 and 2003 are reported as a separate component of shareholders’ equity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2005</w:t>
            </w:r>
          </w:p>
        </w:tc>
        <w:tc>
          <w:tcPr>
            <w:tcW w:w="96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2004</w:t>
            </w:r>
          </w:p>
        </w:tc>
        <w:tc>
          <w:tcPr>
            <w:tcW w:w="580" w:type="dxa"/>
            <w:vAlign w:val="bottom"/>
          </w:tcPr>
          <w:p>
            <w:pPr>
              <w:jc w:val="right"/>
              <w:ind w:right="75"/>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000" w:type="dxa"/>
            <w:vAlign w:val="bottom"/>
            <w:vMerge w:val="restart"/>
          </w:tcPr>
          <w:p>
            <w:pPr>
              <w:spacing w:after="0"/>
              <w:rPr>
                <w:sz w:val="20"/>
                <w:szCs w:val="20"/>
                <w:color w:val="auto"/>
              </w:rPr>
            </w:pPr>
            <w:r>
              <w:rPr>
                <w:rFonts w:ascii="Arial" w:cs="Arial" w:eastAsia="Arial" w:hAnsi="Arial"/>
                <w:sz w:val="18"/>
                <w:szCs w:val="18"/>
                <w:color w:val="auto"/>
              </w:rPr>
              <w:t>Available-for-sale securities:</w:t>
            </w: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60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w w:val="89"/>
              </w:rPr>
              <w:t>(in thousands)</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EAF9E8"/>
          </w:tcPr>
          <w:p>
            <w:pPr>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AF9E8"/>
          </w:tcPr>
          <w:p>
            <w:pPr>
              <w:jc w:val="right"/>
              <w:ind w:right="35"/>
              <w:spacing w:after="0"/>
              <w:rPr>
                <w:sz w:val="20"/>
                <w:szCs w:val="20"/>
                <w:color w:val="auto"/>
              </w:rPr>
            </w:pPr>
            <w:r>
              <w:rPr>
                <w:rFonts w:ascii="Arial" w:cs="Arial" w:eastAsia="Arial" w:hAnsi="Arial"/>
                <w:sz w:val="18"/>
                <w:szCs w:val="18"/>
                <w:color w:val="auto"/>
                <w:w w:val="86"/>
              </w:rPr>
              <w:t>101</w:t>
            </w:r>
          </w:p>
        </w:tc>
        <w:tc>
          <w:tcPr>
            <w:tcW w:w="4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AF9E8"/>
          </w:tcPr>
          <w:p>
            <w:pPr>
              <w:jc w:val="right"/>
              <w:ind w:right="172"/>
              <w:spacing w:after="0"/>
              <w:rPr>
                <w:sz w:val="20"/>
                <w:szCs w:val="20"/>
                <w:color w:val="auto"/>
              </w:rPr>
            </w:pPr>
            <w:r>
              <w:rPr>
                <w:rFonts w:ascii="Arial" w:cs="Arial" w:eastAsia="Arial" w:hAnsi="Arial"/>
                <w:sz w:val="18"/>
                <w:szCs w:val="18"/>
                <w:color w:val="auto"/>
              </w:rPr>
              <w:t>41</w:t>
            </w:r>
          </w:p>
        </w:tc>
        <w:tc>
          <w:tcPr>
            <w:tcW w:w="580" w:type="dxa"/>
            <w:vAlign w:val="bottom"/>
            <w:shd w:val="clear" w:color="auto" w:fill="EAF9E8"/>
          </w:tcPr>
          <w:p>
            <w:pPr>
              <w:jc w:val="right"/>
              <w:ind w:right="55"/>
              <w:spacing w:after="0"/>
              <w:rPr>
                <w:sz w:val="20"/>
                <w:szCs w:val="20"/>
                <w:color w:val="auto"/>
              </w:rPr>
            </w:pPr>
            <w:r>
              <w:rPr>
                <w:rFonts w:ascii="Arial" w:cs="Arial" w:eastAsia="Arial" w:hAnsi="Arial"/>
                <w:sz w:val="18"/>
                <w:szCs w:val="18"/>
                <w:color w:val="auto"/>
              </w:rPr>
              <w:t>$ (7)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Unrealized holding gains (losses) during the year, net</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(27)</w:t>
            </w:r>
          </w:p>
        </w:tc>
        <w:tc>
          <w:tcPr>
            <w:tcW w:w="420" w:type="dxa"/>
            <w:vAlign w:val="bottom"/>
          </w:tcPr>
          <w:p>
            <w:pPr>
              <w:spacing w:after="0"/>
              <w:rPr>
                <w:sz w:val="18"/>
                <w:szCs w:val="18"/>
                <w:color w:val="auto"/>
              </w:rPr>
            </w:pPr>
          </w:p>
        </w:tc>
        <w:tc>
          <w:tcPr>
            <w:tcW w:w="540" w:type="dxa"/>
            <w:vAlign w:val="bottom"/>
          </w:tcPr>
          <w:p>
            <w:pPr>
              <w:jc w:val="right"/>
              <w:ind w:right="172"/>
              <w:spacing w:after="0"/>
              <w:rPr>
                <w:sz w:val="20"/>
                <w:szCs w:val="20"/>
                <w:color w:val="auto"/>
              </w:rPr>
            </w:pPr>
            <w:r>
              <w:rPr>
                <w:rFonts w:ascii="Arial" w:cs="Arial" w:eastAsia="Arial" w:hAnsi="Arial"/>
                <w:sz w:val="18"/>
                <w:szCs w:val="18"/>
                <w:color w:val="auto"/>
              </w:rPr>
              <w:t>32</w:t>
            </w:r>
          </w:p>
        </w:tc>
        <w:tc>
          <w:tcPr>
            <w:tcW w:w="580" w:type="dxa"/>
            <w:vAlign w:val="bottom"/>
          </w:tcPr>
          <w:p>
            <w:pPr>
              <w:jc w:val="right"/>
              <w:ind w:right="115"/>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EAF9E8"/>
          </w:tcPr>
          <w:p>
            <w:pPr>
              <w:spacing w:after="0"/>
              <w:rPr>
                <w:sz w:val="20"/>
                <w:szCs w:val="20"/>
                <w:color w:val="auto"/>
              </w:rPr>
            </w:pPr>
            <w:r>
              <w:rPr>
                <w:rFonts w:ascii="Arial" w:cs="Arial" w:eastAsia="Arial" w:hAnsi="Arial"/>
                <w:sz w:val="18"/>
                <w:szCs w:val="18"/>
                <w:color w:val="auto"/>
              </w:rPr>
              <w:t>Reclassification of recognized (gains) during the year, net</w:t>
            </w:r>
          </w:p>
        </w:tc>
        <w:tc>
          <w:tcPr>
            <w:tcW w:w="180" w:type="dxa"/>
            <w:vAlign w:val="bottom"/>
            <w:shd w:val="clear" w:color="auto" w:fill="EAF9E8"/>
          </w:tcPr>
          <w:p>
            <w:pPr>
              <w:spacing w:after="0"/>
              <w:rPr>
                <w:sz w:val="18"/>
                <w:szCs w:val="18"/>
                <w:color w:val="auto"/>
              </w:rPr>
            </w:pPr>
          </w:p>
        </w:tc>
        <w:tc>
          <w:tcPr>
            <w:tcW w:w="4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(74)</w:t>
            </w:r>
          </w:p>
        </w:tc>
        <w:tc>
          <w:tcPr>
            <w:tcW w:w="420" w:type="dxa"/>
            <w:vAlign w:val="bottom"/>
            <w:shd w:val="clear" w:color="auto" w:fill="EAF9E8"/>
          </w:tcPr>
          <w:p>
            <w:pPr>
              <w:spacing w:after="0"/>
              <w:rPr>
                <w:sz w:val="18"/>
                <w:szCs w:val="18"/>
                <w:color w:val="auto"/>
              </w:rPr>
            </w:pPr>
          </w:p>
        </w:tc>
        <w:tc>
          <w:tcPr>
            <w:tcW w:w="540" w:type="dxa"/>
            <w:vAlign w:val="bottom"/>
            <w:shd w:val="clear" w:color="auto" w:fill="EAF9E8"/>
          </w:tcPr>
          <w:p>
            <w:pPr>
              <w:jc w:val="right"/>
              <w:ind w:right="172"/>
              <w:spacing w:after="0"/>
              <w:rPr>
                <w:sz w:val="20"/>
                <w:szCs w:val="20"/>
                <w:color w:val="auto"/>
              </w:rPr>
            </w:pPr>
            <w:r>
              <w:rPr>
                <w:rFonts w:ascii="Arial" w:cs="Arial" w:eastAsia="Arial" w:hAnsi="Arial"/>
                <w:sz w:val="18"/>
                <w:szCs w:val="18"/>
                <w:color w:val="auto"/>
              </w:rPr>
              <w:t>28</w:t>
            </w:r>
          </w:p>
        </w:tc>
        <w:tc>
          <w:tcPr>
            <w:tcW w:w="580" w:type="dxa"/>
            <w:vAlign w:val="bottom"/>
            <w:shd w:val="clear" w:color="auto" w:fill="EAF9E8"/>
          </w:tcPr>
          <w:p>
            <w:pPr>
              <w:jc w:val="right"/>
              <w:ind w:right="11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540" w:type="dxa"/>
            <w:vAlign w:val="bottom"/>
          </w:tcPr>
          <w:p>
            <w:pPr>
              <w:jc w:val="right"/>
              <w:ind w:right="172"/>
              <w:spacing w:after="0"/>
              <w:rPr>
                <w:sz w:val="20"/>
                <w:szCs w:val="20"/>
                <w:color w:val="auto"/>
              </w:rPr>
            </w:pPr>
            <w:r>
              <w:rPr>
                <w:rFonts w:ascii="Arial" w:cs="Arial" w:eastAsia="Arial" w:hAnsi="Arial"/>
                <w:sz w:val="18"/>
                <w:szCs w:val="18"/>
                <w:color w:val="auto"/>
                <w:w w:val="86"/>
              </w:rPr>
              <w:t>101</w:t>
            </w:r>
          </w:p>
        </w:tc>
        <w:tc>
          <w:tcPr>
            <w:tcW w:w="580" w:type="dxa"/>
            <w:vAlign w:val="bottom"/>
          </w:tcPr>
          <w:p>
            <w:pPr>
              <w:jc w:val="right"/>
              <w:ind w:right="115"/>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000" w:type="dxa"/>
            <w:vAlign w:val="bottom"/>
            <w:shd w:val="clear" w:color="auto" w:fill="EAF9E8"/>
          </w:tcPr>
          <w:p>
            <w:pPr>
              <w:spacing w:after="0"/>
              <w:rPr>
                <w:sz w:val="20"/>
                <w:szCs w:val="20"/>
                <w:color w:val="auto"/>
              </w:rPr>
            </w:pPr>
            <w:r>
              <w:rPr>
                <w:rFonts w:ascii="Arial" w:cs="Arial" w:eastAsia="Arial" w:hAnsi="Arial"/>
                <w:sz w:val="18"/>
                <w:szCs w:val="18"/>
                <w:color w:val="auto"/>
              </w:rPr>
              <w:t>Deferred tax effect related to net unrealized gains</w:t>
            </w:r>
          </w:p>
        </w:tc>
        <w:tc>
          <w:tcPr>
            <w:tcW w:w="180" w:type="dxa"/>
            <w:vAlign w:val="bottom"/>
            <w:shd w:val="clear" w:color="auto" w:fill="EAF9E8"/>
          </w:tcPr>
          <w:p>
            <w:pPr>
              <w:spacing w:after="0"/>
              <w:rPr>
                <w:sz w:val="18"/>
                <w:szCs w:val="18"/>
                <w:color w:val="auto"/>
              </w:rPr>
            </w:pPr>
          </w:p>
        </w:tc>
        <w:tc>
          <w:tcPr>
            <w:tcW w:w="400" w:type="dxa"/>
            <w:vAlign w:val="bottom"/>
            <w:shd w:val="clear" w:color="auto" w:fill="EAF9E8"/>
          </w:tcPr>
          <w:p>
            <w:pPr>
              <w:jc w:val="right"/>
              <w:ind w:right="35"/>
              <w:spacing w:after="0"/>
              <w:rPr>
                <w:sz w:val="20"/>
                <w:szCs w:val="20"/>
                <w:color w:val="auto"/>
              </w:rPr>
            </w:pPr>
            <w:r>
              <w:rPr>
                <w:rFonts w:ascii="Arial" w:cs="Arial" w:eastAsia="Arial" w:hAnsi="Arial"/>
                <w:sz w:val="18"/>
                <w:szCs w:val="18"/>
                <w:color w:val="auto"/>
              </w:rPr>
              <w:t>—</w:t>
            </w:r>
          </w:p>
        </w:tc>
        <w:tc>
          <w:tcPr>
            <w:tcW w:w="420" w:type="dxa"/>
            <w:vAlign w:val="bottom"/>
            <w:shd w:val="clear" w:color="auto" w:fill="EAF9E8"/>
          </w:tcPr>
          <w:p>
            <w:pPr>
              <w:spacing w:after="0"/>
              <w:rPr>
                <w:sz w:val="18"/>
                <w:szCs w:val="18"/>
                <w:color w:val="auto"/>
              </w:rPr>
            </w:pPr>
          </w:p>
        </w:tc>
        <w:tc>
          <w:tcPr>
            <w:tcW w:w="540" w:type="dxa"/>
            <w:vAlign w:val="bottom"/>
            <w:shd w:val="clear" w:color="auto" w:fill="EAF9E8"/>
          </w:tcPr>
          <w:p>
            <w:pPr>
              <w:jc w:val="right"/>
              <w:ind w:right="172"/>
              <w:spacing w:after="0"/>
              <w:rPr>
                <w:sz w:val="20"/>
                <w:szCs w:val="20"/>
                <w:color w:val="auto"/>
              </w:rPr>
            </w:pPr>
            <w:r>
              <w:rPr>
                <w:rFonts w:ascii="Arial" w:cs="Arial" w:eastAsia="Arial" w:hAnsi="Arial"/>
                <w:sz w:val="18"/>
                <w:szCs w:val="18"/>
                <w:color w:val="auto"/>
              </w:rPr>
              <w:t>36</w:t>
            </w:r>
          </w:p>
        </w:tc>
        <w:tc>
          <w:tcPr>
            <w:tcW w:w="580" w:type="dxa"/>
            <w:vAlign w:val="bottom"/>
            <w:shd w:val="clear" w:color="auto" w:fill="EAF9E8"/>
          </w:tcPr>
          <w:p>
            <w:pPr>
              <w:jc w:val="right"/>
              <w:ind w:right="115"/>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000" w:type="dxa"/>
            <w:vAlign w:val="bottom"/>
          </w:tcPr>
          <w:p>
            <w:pPr>
              <w:spacing w:after="0"/>
              <w:rPr>
                <w:sz w:val="20"/>
                <w:szCs w:val="20"/>
                <w:color w:val="auto"/>
              </w:rPr>
            </w:pPr>
            <w:r>
              <w:rPr>
                <w:rFonts w:ascii="Arial" w:cs="Arial" w:eastAsia="Arial" w:hAnsi="Arial"/>
                <w:sz w:val="18"/>
                <w:szCs w:val="18"/>
                <w:color w:val="auto"/>
              </w:rPr>
              <w:t>Ending Balance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72"/>
              <w:spacing w:after="0"/>
              <w:rPr>
                <w:sz w:val="20"/>
                <w:szCs w:val="20"/>
                <w:color w:val="auto"/>
              </w:rPr>
            </w:pPr>
            <w:r>
              <w:rPr>
                <w:rFonts w:ascii="Arial" w:cs="Arial" w:eastAsia="Arial" w:hAnsi="Arial"/>
                <w:sz w:val="18"/>
                <w:szCs w:val="18"/>
                <w:color w:val="auto"/>
              </w:rPr>
              <w:t>65</w:t>
            </w:r>
          </w:p>
        </w:tc>
        <w:tc>
          <w:tcPr>
            <w:tcW w:w="580" w:type="dxa"/>
            <w:vAlign w:val="bottom"/>
          </w:tcPr>
          <w:p>
            <w:pPr>
              <w:jc w:val="right"/>
              <w:ind w:right="115"/>
              <w:spacing w:after="0"/>
              <w:rPr>
                <w:sz w:val="20"/>
                <w:szCs w:val="20"/>
                <w:color w:val="auto"/>
              </w:rPr>
            </w:pPr>
            <w:r>
              <w:rPr>
                <w:rFonts w:ascii="Arial" w:cs="Arial" w:eastAsia="Arial" w:hAnsi="Arial"/>
                <w:sz w:val="18"/>
                <w:szCs w:val="18"/>
                <w:color w:val="auto"/>
              </w:rPr>
              <w:t>$ 26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-14605</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-14605</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-14605</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-14605</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-14605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-14605</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-14605</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-14605</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-14605</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-14605</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-14605</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-14605</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-14605</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-14605</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579"/>
        <w:spacing w:after="0" w:line="268" w:lineRule="auto"/>
        <w:rPr>
          <w:sz w:val="20"/>
          <w:szCs w:val="20"/>
          <w:color w:val="auto"/>
        </w:rPr>
      </w:pPr>
      <w:r>
        <w:rPr>
          <w:rFonts w:ascii="Arial" w:cs="Arial" w:eastAsia="Arial" w:hAnsi="Arial"/>
          <w:sz w:val="18"/>
          <w:szCs w:val="18"/>
          <w:color w:val="auto"/>
        </w:rPr>
        <w:t>At December 31, 2005, 2004 and 2003, other investments, comprised of equity securities, which do not have readily determinable fair values, consist of the following:</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49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5"/>
                <w:szCs w:val="15"/>
                <w:color w:val="auto"/>
              </w:rPr>
            </w:pPr>
          </w:p>
        </w:tc>
        <w:tc>
          <w:tcPr>
            <w:tcW w:w="680" w:type="dxa"/>
            <w:vAlign w:val="bottom"/>
          </w:tcPr>
          <w:p>
            <w:pPr>
              <w:jc w:val="right"/>
              <w:ind w:right="73"/>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720" w:type="dxa"/>
            <w:vAlign w:val="bottom"/>
          </w:tcPr>
          <w:p>
            <w:pPr>
              <w:jc w:val="right"/>
              <w:ind w:right="13"/>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0" w:type="dxa"/>
            <w:vAlign w:val="bottom"/>
            <w:tcBorders>
              <w:bottom w:val="single" w:sz="8" w:color="808080"/>
            </w:tcBorders>
          </w:tcPr>
          <w:p>
            <w:pPr>
              <w:spacing w:after="0"/>
              <w:rPr>
                <w:sz w:val="8"/>
                <w:szCs w:val="8"/>
                <w:color w:val="auto"/>
              </w:rPr>
            </w:pPr>
          </w:p>
        </w:tc>
        <w:tc>
          <w:tcPr>
            <w:tcW w:w="49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49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w w:val="95"/>
              </w:rPr>
              <w:t>(in thousands)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AF9E8"/>
          </w:tcPr>
          <w:p>
            <w:pPr>
              <w:spacing w:after="0"/>
              <w:rPr>
                <w:sz w:val="20"/>
                <w:szCs w:val="20"/>
                <w:color w:val="auto"/>
              </w:rPr>
            </w:pPr>
            <w:r>
              <w:rPr>
                <w:rFonts w:ascii="Arial" w:cs="Arial" w:eastAsia="Arial" w:hAnsi="Arial"/>
                <w:sz w:val="18"/>
                <w:szCs w:val="18"/>
                <w:color w:val="auto"/>
              </w:rPr>
              <w:t>Cost method:</w:t>
            </w:r>
          </w:p>
        </w:tc>
        <w:tc>
          <w:tcPr>
            <w:tcW w:w="1220" w:type="dxa"/>
            <w:vAlign w:val="bottom"/>
            <w:shd w:val="clear" w:color="auto" w:fill="EAF9E8"/>
          </w:tcPr>
          <w:p>
            <w:pPr>
              <w:spacing w:after="0"/>
              <w:rPr>
                <w:sz w:val="18"/>
                <w:szCs w:val="18"/>
                <w:color w:val="auto"/>
              </w:rPr>
            </w:pPr>
          </w:p>
        </w:tc>
        <w:tc>
          <w:tcPr>
            <w:tcW w:w="110" w:type="dxa"/>
            <w:vAlign w:val="bottom"/>
            <w:shd w:val="clear" w:color="auto" w:fill="EAF9E8"/>
          </w:tcPr>
          <w:p>
            <w:pPr>
              <w:spacing w:after="0"/>
              <w:rPr>
                <w:sz w:val="18"/>
                <w:szCs w:val="18"/>
                <w:color w:val="auto"/>
              </w:rPr>
            </w:pPr>
          </w:p>
        </w:tc>
        <w:tc>
          <w:tcPr>
            <w:tcW w:w="49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40"/>
              <w:spacing w:after="0"/>
              <w:rPr>
                <w:sz w:val="20"/>
                <w:szCs w:val="20"/>
                <w:color w:val="auto"/>
              </w:rPr>
            </w:pPr>
            <w:r>
              <w:rPr>
                <w:rFonts w:ascii="Arial" w:cs="Arial" w:eastAsia="Arial" w:hAnsi="Arial"/>
                <w:sz w:val="18"/>
                <w:szCs w:val="18"/>
                <w:color w:val="auto"/>
              </w:rPr>
              <w:t>Rural Telephone Bank</w:t>
            </w:r>
          </w:p>
        </w:tc>
        <w:tc>
          <w:tcPr>
            <w:tcW w:w="133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490" w:type="dxa"/>
            <w:vAlign w:val="bottom"/>
          </w:tcPr>
          <w:p>
            <w:pPr>
              <w:jc w:val="right"/>
              <w:spacing w:after="0"/>
              <w:rPr>
                <w:sz w:val="20"/>
                <w:szCs w:val="20"/>
                <w:color w:val="auto"/>
              </w:rPr>
            </w:pPr>
            <w:r>
              <w:rPr>
                <w:rFonts w:ascii="Arial" w:cs="Arial" w:eastAsia="Arial" w:hAnsi="Arial"/>
                <w:sz w:val="18"/>
                <w:szCs w:val="18"/>
                <w:color w:val="auto"/>
              </w:rPr>
              <w:t>796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796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796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NECA Services, Inc.</w:t>
            </w:r>
          </w:p>
        </w:tc>
        <w:tc>
          <w:tcPr>
            <w:tcW w:w="1220" w:type="dxa"/>
            <w:vAlign w:val="bottom"/>
            <w:shd w:val="clear" w:color="auto" w:fill="EAF9E8"/>
          </w:tcPr>
          <w:p>
            <w:pPr>
              <w:spacing w:after="0"/>
              <w:rPr>
                <w:sz w:val="18"/>
                <w:szCs w:val="18"/>
                <w:color w:val="auto"/>
              </w:rPr>
            </w:pPr>
          </w:p>
        </w:tc>
        <w:tc>
          <w:tcPr>
            <w:tcW w:w="110" w:type="dxa"/>
            <w:vAlign w:val="bottom"/>
            <w:shd w:val="clear" w:color="auto" w:fill="EAF9E8"/>
          </w:tcPr>
          <w:p>
            <w:pPr>
              <w:spacing w:after="0"/>
              <w:rPr>
                <w:sz w:val="18"/>
                <w:szCs w:val="18"/>
                <w:color w:val="auto"/>
              </w:rPr>
            </w:pPr>
          </w:p>
        </w:tc>
        <w:tc>
          <w:tcPr>
            <w:tcW w:w="49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500</w:t>
            </w:r>
          </w:p>
        </w:tc>
        <w:tc>
          <w:tcPr>
            <w:tcW w:w="260" w:type="dxa"/>
            <w:vAlign w:val="bottom"/>
            <w:shd w:val="clear" w:color="auto" w:fill="EAF9E8"/>
          </w:tcPr>
          <w:p>
            <w:pPr>
              <w:spacing w:after="0"/>
              <w:rPr>
                <w:sz w:val="18"/>
                <w:szCs w:val="18"/>
                <w:color w:val="auto"/>
              </w:rPr>
            </w:pPr>
          </w:p>
        </w:tc>
        <w:tc>
          <w:tcPr>
            <w:tcW w:w="680" w:type="dxa"/>
            <w:vAlign w:val="bottom"/>
            <w:shd w:val="clear" w:color="auto" w:fill="EAF9E8"/>
          </w:tcPr>
          <w:p>
            <w:pPr>
              <w:jc w:val="right"/>
              <w:ind w:right="73"/>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EAF9E8"/>
          </w:tcPr>
          <w:p>
            <w:pPr>
              <w:spacing w:after="0"/>
              <w:rPr>
                <w:sz w:val="18"/>
                <w:szCs w:val="18"/>
                <w:color w:val="auto"/>
              </w:rPr>
            </w:pPr>
          </w:p>
        </w:tc>
        <w:tc>
          <w:tcPr>
            <w:tcW w:w="72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40"/>
              <w:spacing w:after="0"/>
              <w:rPr>
                <w:sz w:val="20"/>
                <w:szCs w:val="20"/>
                <w:color w:val="auto"/>
              </w:rPr>
            </w:pPr>
            <w:r>
              <w:rPr>
                <w:rFonts w:ascii="Arial" w:cs="Arial" w:eastAsia="Arial" w:hAnsi="Arial"/>
                <w:sz w:val="18"/>
                <w:szCs w:val="18"/>
                <w:color w:val="auto"/>
              </w:rPr>
              <w:t>CoBank</w:t>
            </w:r>
          </w:p>
        </w:tc>
        <w:tc>
          <w:tcPr>
            <w:tcW w:w="12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1,716</w:t>
            </w:r>
          </w:p>
        </w:tc>
        <w:tc>
          <w:tcPr>
            <w:tcW w:w="26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Other</w:t>
            </w:r>
          </w:p>
        </w:tc>
        <w:tc>
          <w:tcPr>
            <w:tcW w:w="1220" w:type="dxa"/>
            <w:vAlign w:val="bottom"/>
            <w:shd w:val="clear" w:color="auto" w:fill="EAF9E8"/>
          </w:tcPr>
          <w:p>
            <w:pPr>
              <w:spacing w:after="0"/>
              <w:rPr>
                <w:sz w:val="18"/>
                <w:szCs w:val="18"/>
                <w:color w:val="auto"/>
              </w:rPr>
            </w:pPr>
          </w:p>
        </w:tc>
        <w:tc>
          <w:tcPr>
            <w:tcW w:w="110" w:type="dxa"/>
            <w:vAlign w:val="bottom"/>
            <w:shd w:val="clear" w:color="auto" w:fill="EAF9E8"/>
          </w:tcPr>
          <w:p>
            <w:pPr>
              <w:spacing w:after="0"/>
              <w:rPr>
                <w:sz w:val="18"/>
                <w:szCs w:val="18"/>
                <w:color w:val="auto"/>
              </w:rPr>
            </w:pPr>
          </w:p>
        </w:tc>
        <w:tc>
          <w:tcPr>
            <w:tcW w:w="49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197</w:t>
            </w:r>
          </w:p>
        </w:tc>
        <w:tc>
          <w:tcPr>
            <w:tcW w:w="260" w:type="dxa"/>
            <w:vAlign w:val="bottom"/>
            <w:shd w:val="clear" w:color="auto" w:fill="EAF9E8"/>
          </w:tcPr>
          <w:p>
            <w:pPr>
              <w:spacing w:after="0"/>
              <w:rPr>
                <w:sz w:val="18"/>
                <w:szCs w:val="18"/>
                <w:color w:val="auto"/>
              </w:rPr>
            </w:pPr>
          </w:p>
        </w:tc>
        <w:tc>
          <w:tcPr>
            <w:tcW w:w="680" w:type="dxa"/>
            <w:vAlign w:val="bottom"/>
            <w:shd w:val="clear" w:color="auto" w:fill="EAF9E8"/>
          </w:tcPr>
          <w:p>
            <w:pPr>
              <w:jc w:val="right"/>
              <w:ind w:right="73"/>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EAF9E8"/>
          </w:tcPr>
          <w:p>
            <w:pPr>
              <w:spacing w:after="0"/>
              <w:rPr>
                <w:sz w:val="18"/>
                <w:szCs w:val="18"/>
                <w:color w:val="auto"/>
              </w:rPr>
            </w:pPr>
          </w:p>
        </w:tc>
        <w:tc>
          <w:tcPr>
            <w:tcW w:w="72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49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3,209</w:t>
            </w:r>
          </w:p>
        </w:tc>
        <w:tc>
          <w:tcPr>
            <w:tcW w:w="260" w:type="dxa"/>
            <w:vAlign w:val="bottom"/>
          </w:tcPr>
          <w:p>
            <w:pPr>
              <w:spacing w:after="0"/>
              <w:rPr>
                <w:sz w:val="24"/>
                <w:szCs w:val="24"/>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2,933</w:t>
            </w:r>
          </w:p>
        </w:tc>
        <w:tc>
          <w:tcPr>
            <w:tcW w:w="100" w:type="dxa"/>
            <w:vAlign w:val="bottom"/>
          </w:tcPr>
          <w:p>
            <w:pPr>
              <w:spacing w:after="0"/>
              <w:rPr>
                <w:sz w:val="24"/>
                <w:szCs w:val="24"/>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2,799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540" w:type="dxa"/>
            <w:vAlign w:val="bottom"/>
            <w:gridSpan w:val="2"/>
          </w:tcPr>
          <w:p>
            <w:pPr>
              <w:spacing w:after="0"/>
              <w:rPr>
                <w:sz w:val="9"/>
                <w:szCs w:val="9"/>
                <w:color w:val="auto"/>
              </w:rPr>
            </w:pPr>
          </w:p>
        </w:tc>
        <w:tc>
          <w:tcPr>
            <w:tcW w:w="122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49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9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EAF9E8"/>
          </w:tcPr>
          <w:p>
            <w:pPr>
              <w:spacing w:after="0"/>
              <w:rPr>
                <w:sz w:val="20"/>
                <w:szCs w:val="20"/>
                <w:color w:val="auto"/>
              </w:rPr>
            </w:pPr>
            <w:r>
              <w:rPr>
                <w:rFonts w:ascii="Arial" w:cs="Arial" w:eastAsia="Arial" w:hAnsi="Arial"/>
                <w:sz w:val="18"/>
                <w:szCs w:val="18"/>
                <w:color w:val="auto"/>
              </w:rPr>
              <w:t>Equity method:</w:t>
            </w:r>
          </w:p>
        </w:tc>
        <w:tc>
          <w:tcPr>
            <w:tcW w:w="1220" w:type="dxa"/>
            <w:vAlign w:val="bottom"/>
            <w:shd w:val="clear" w:color="auto" w:fill="EAF9E8"/>
          </w:tcPr>
          <w:p>
            <w:pPr>
              <w:spacing w:after="0"/>
              <w:rPr>
                <w:sz w:val="18"/>
                <w:szCs w:val="18"/>
                <w:color w:val="auto"/>
              </w:rPr>
            </w:pPr>
          </w:p>
        </w:tc>
        <w:tc>
          <w:tcPr>
            <w:tcW w:w="110" w:type="dxa"/>
            <w:vAlign w:val="bottom"/>
            <w:shd w:val="clear" w:color="auto" w:fill="EAF9E8"/>
          </w:tcPr>
          <w:p>
            <w:pPr>
              <w:spacing w:after="0"/>
              <w:rPr>
                <w:sz w:val="18"/>
                <w:szCs w:val="18"/>
                <w:color w:val="auto"/>
              </w:rPr>
            </w:pPr>
          </w:p>
        </w:tc>
        <w:tc>
          <w:tcPr>
            <w:tcW w:w="49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40"/>
              <w:spacing w:after="0"/>
              <w:rPr>
                <w:sz w:val="20"/>
                <w:szCs w:val="20"/>
                <w:color w:val="auto"/>
              </w:rPr>
            </w:pPr>
            <w:r>
              <w:rPr>
                <w:rFonts w:ascii="Arial" w:cs="Arial" w:eastAsia="Arial" w:hAnsi="Arial"/>
                <w:sz w:val="18"/>
                <w:szCs w:val="18"/>
                <w:color w:val="auto"/>
              </w:rPr>
              <w:t>South Atlantic Venture Fund III L.P.</w:t>
            </w:r>
          </w:p>
        </w:tc>
        <w:tc>
          <w:tcPr>
            <w:tcW w:w="12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South Atlantic Private Equity Fund IV L.P.</w:t>
            </w:r>
          </w:p>
        </w:tc>
        <w:tc>
          <w:tcPr>
            <w:tcW w:w="1220" w:type="dxa"/>
            <w:vAlign w:val="bottom"/>
            <w:shd w:val="clear" w:color="auto" w:fill="EAF9E8"/>
          </w:tcPr>
          <w:p>
            <w:pPr>
              <w:spacing w:after="0"/>
              <w:rPr>
                <w:sz w:val="18"/>
                <w:szCs w:val="18"/>
                <w:color w:val="auto"/>
              </w:rPr>
            </w:pPr>
          </w:p>
        </w:tc>
        <w:tc>
          <w:tcPr>
            <w:tcW w:w="110" w:type="dxa"/>
            <w:vAlign w:val="bottom"/>
            <w:shd w:val="clear" w:color="auto" w:fill="EAF9E8"/>
          </w:tcPr>
          <w:p>
            <w:pPr>
              <w:spacing w:after="0"/>
              <w:rPr>
                <w:sz w:val="18"/>
                <w:szCs w:val="18"/>
                <w:color w:val="auto"/>
              </w:rPr>
            </w:pPr>
          </w:p>
        </w:tc>
        <w:tc>
          <w:tcPr>
            <w:tcW w:w="49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539</w:t>
            </w:r>
          </w:p>
        </w:tc>
        <w:tc>
          <w:tcPr>
            <w:tcW w:w="260" w:type="dxa"/>
            <w:vAlign w:val="bottom"/>
            <w:shd w:val="clear" w:color="auto" w:fill="EAF9E8"/>
          </w:tcPr>
          <w:p>
            <w:pPr>
              <w:spacing w:after="0"/>
              <w:rPr>
                <w:sz w:val="18"/>
                <w:szCs w:val="18"/>
                <w:color w:val="auto"/>
              </w:rPr>
            </w:pPr>
          </w:p>
        </w:tc>
        <w:tc>
          <w:tcPr>
            <w:tcW w:w="680" w:type="dxa"/>
            <w:vAlign w:val="bottom"/>
            <w:shd w:val="clear" w:color="auto" w:fill="EAF9E8"/>
          </w:tcPr>
          <w:p>
            <w:pPr>
              <w:jc w:val="right"/>
              <w:ind w:right="73"/>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EAF9E8"/>
          </w:tcPr>
          <w:p>
            <w:pPr>
              <w:spacing w:after="0"/>
              <w:rPr>
                <w:sz w:val="18"/>
                <w:szCs w:val="18"/>
                <w:color w:val="auto"/>
              </w:rPr>
            </w:pPr>
          </w:p>
        </w:tc>
        <w:tc>
          <w:tcPr>
            <w:tcW w:w="72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541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40"/>
              <w:spacing w:after="0"/>
              <w:rPr>
                <w:sz w:val="20"/>
                <w:szCs w:val="20"/>
                <w:color w:val="auto"/>
              </w:rPr>
            </w:pPr>
            <w:r>
              <w:rPr>
                <w:rFonts w:ascii="Arial" w:cs="Arial" w:eastAsia="Arial" w:hAnsi="Arial"/>
                <w:sz w:val="18"/>
                <w:szCs w:val="18"/>
                <w:color w:val="auto"/>
              </w:rPr>
              <w:t>Dolphin Communications Parallel Fund, L.P.</w:t>
            </w:r>
          </w:p>
        </w:tc>
        <w:tc>
          <w:tcPr>
            <w:tcW w:w="12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Dolphin Communications Fund II, L.P.</w:t>
            </w:r>
          </w:p>
        </w:tc>
        <w:tc>
          <w:tcPr>
            <w:tcW w:w="1220" w:type="dxa"/>
            <w:vAlign w:val="bottom"/>
            <w:shd w:val="clear" w:color="auto" w:fill="EAF9E8"/>
          </w:tcPr>
          <w:p>
            <w:pPr>
              <w:spacing w:after="0"/>
              <w:rPr>
                <w:sz w:val="18"/>
                <w:szCs w:val="18"/>
                <w:color w:val="auto"/>
              </w:rPr>
            </w:pPr>
          </w:p>
        </w:tc>
        <w:tc>
          <w:tcPr>
            <w:tcW w:w="110" w:type="dxa"/>
            <w:vAlign w:val="bottom"/>
            <w:shd w:val="clear" w:color="auto" w:fill="EAF9E8"/>
          </w:tcPr>
          <w:p>
            <w:pPr>
              <w:spacing w:after="0"/>
              <w:rPr>
                <w:sz w:val="18"/>
                <w:szCs w:val="18"/>
                <w:color w:val="auto"/>
              </w:rPr>
            </w:pPr>
          </w:p>
        </w:tc>
        <w:tc>
          <w:tcPr>
            <w:tcW w:w="49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1,870</w:t>
            </w:r>
          </w:p>
        </w:tc>
        <w:tc>
          <w:tcPr>
            <w:tcW w:w="260" w:type="dxa"/>
            <w:vAlign w:val="bottom"/>
            <w:shd w:val="clear" w:color="auto" w:fill="EAF9E8"/>
          </w:tcPr>
          <w:p>
            <w:pPr>
              <w:spacing w:after="0"/>
              <w:rPr>
                <w:sz w:val="18"/>
                <w:szCs w:val="18"/>
                <w:color w:val="auto"/>
              </w:rPr>
            </w:pPr>
          </w:p>
        </w:tc>
        <w:tc>
          <w:tcPr>
            <w:tcW w:w="680" w:type="dxa"/>
            <w:vAlign w:val="bottom"/>
            <w:shd w:val="clear" w:color="auto" w:fill="EAF9E8"/>
          </w:tcPr>
          <w:p>
            <w:pPr>
              <w:jc w:val="right"/>
              <w:ind w:right="73"/>
              <w:spacing w:after="0"/>
              <w:rPr>
                <w:sz w:val="20"/>
                <w:szCs w:val="20"/>
                <w:color w:val="auto"/>
              </w:rPr>
            </w:pPr>
            <w:r>
              <w:rPr>
                <w:rFonts w:ascii="Arial" w:cs="Arial" w:eastAsia="Arial" w:hAnsi="Arial"/>
                <w:sz w:val="18"/>
                <w:szCs w:val="18"/>
                <w:color w:val="auto"/>
              </w:rPr>
              <w:t>1,870</w:t>
            </w:r>
          </w:p>
        </w:tc>
        <w:tc>
          <w:tcPr>
            <w:tcW w:w="100" w:type="dxa"/>
            <w:vAlign w:val="bottom"/>
            <w:shd w:val="clear" w:color="auto" w:fill="EAF9E8"/>
          </w:tcPr>
          <w:p>
            <w:pPr>
              <w:spacing w:after="0"/>
              <w:rPr>
                <w:sz w:val="18"/>
                <w:szCs w:val="18"/>
                <w:color w:val="auto"/>
              </w:rPr>
            </w:pPr>
          </w:p>
        </w:tc>
        <w:tc>
          <w:tcPr>
            <w:tcW w:w="72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1,290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40"/>
              <w:spacing w:after="0"/>
              <w:rPr>
                <w:sz w:val="20"/>
                <w:szCs w:val="20"/>
                <w:color w:val="auto"/>
              </w:rPr>
            </w:pPr>
            <w:r>
              <w:rPr>
                <w:rFonts w:ascii="Arial" w:cs="Arial" w:eastAsia="Arial" w:hAnsi="Arial"/>
                <w:sz w:val="18"/>
                <w:szCs w:val="18"/>
                <w:color w:val="auto"/>
              </w:rPr>
              <w:t>Burton Partnership</w:t>
            </w:r>
          </w:p>
        </w:tc>
        <w:tc>
          <w:tcPr>
            <w:tcW w:w="12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1,409</w:t>
            </w:r>
          </w:p>
        </w:tc>
        <w:tc>
          <w:tcPr>
            <w:tcW w:w="26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NTC Communications LLC (Note 15)</w:t>
            </w:r>
          </w:p>
        </w:tc>
        <w:tc>
          <w:tcPr>
            <w:tcW w:w="1220" w:type="dxa"/>
            <w:vAlign w:val="bottom"/>
            <w:shd w:val="clear" w:color="auto" w:fill="EAF9E8"/>
          </w:tcPr>
          <w:p>
            <w:pPr>
              <w:spacing w:after="0"/>
              <w:rPr>
                <w:sz w:val="18"/>
                <w:szCs w:val="18"/>
                <w:color w:val="auto"/>
              </w:rPr>
            </w:pPr>
          </w:p>
        </w:tc>
        <w:tc>
          <w:tcPr>
            <w:tcW w:w="110" w:type="dxa"/>
            <w:vAlign w:val="bottom"/>
            <w:shd w:val="clear" w:color="auto" w:fill="EAF9E8"/>
          </w:tcPr>
          <w:p>
            <w:pPr>
              <w:spacing w:after="0"/>
              <w:rPr>
                <w:sz w:val="18"/>
                <w:szCs w:val="18"/>
                <w:color w:val="auto"/>
              </w:rPr>
            </w:pPr>
          </w:p>
        </w:tc>
        <w:tc>
          <w:tcPr>
            <w:tcW w:w="49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AF9E8"/>
          </w:tcPr>
          <w:p>
            <w:pPr>
              <w:spacing w:after="0"/>
              <w:rPr>
                <w:sz w:val="18"/>
                <w:szCs w:val="18"/>
                <w:color w:val="auto"/>
              </w:rPr>
            </w:pPr>
          </w:p>
        </w:tc>
        <w:tc>
          <w:tcPr>
            <w:tcW w:w="680" w:type="dxa"/>
            <w:vAlign w:val="bottom"/>
            <w:shd w:val="clear" w:color="auto" w:fill="EAF9E8"/>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72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40"/>
              <w:spacing w:after="0"/>
              <w:rPr>
                <w:sz w:val="20"/>
                <w:szCs w:val="20"/>
                <w:color w:val="auto"/>
              </w:rPr>
            </w:pPr>
            <w:r>
              <w:rPr>
                <w:rFonts w:ascii="Arial" w:cs="Arial" w:eastAsia="Arial" w:hAnsi="Arial"/>
                <w:sz w:val="18"/>
                <w:szCs w:val="18"/>
                <w:color w:val="auto"/>
              </w:rPr>
              <w:t>Virginia Independent Telephone Alliance</w:t>
            </w:r>
          </w:p>
        </w:tc>
        <w:tc>
          <w:tcPr>
            <w:tcW w:w="12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113</w:t>
            </w:r>
          </w:p>
        </w:tc>
        <w:tc>
          <w:tcPr>
            <w:tcW w:w="26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AF9E8"/>
          </w:tcPr>
          <w:p>
            <w:pPr>
              <w:ind w:left="140"/>
              <w:spacing w:after="0"/>
              <w:rPr>
                <w:sz w:val="20"/>
                <w:szCs w:val="20"/>
                <w:color w:val="auto"/>
              </w:rPr>
            </w:pPr>
            <w:r>
              <w:rPr>
                <w:rFonts w:ascii="Arial" w:cs="Arial" w:eastAsia="Arial" w:hAnsi="Arial"/>
                <w:sz w:val="18"/>
                <w:szCs w:val="18"/>
                <w:color w:val="auto"/>
              </w:rPr>
              <w:t>ValleyNet</w:t>
            </w:r>
          </w:p>
        </w:tc>
        <w:tc>
          <w:tcPr>
            <w:tcW w:w="1220" w:type="dxa"/>
            <w:vAlign w:val="bottom"/>
            <w:shd w:val="clear" w:color="auto" w:fill="EAF9E8"/>
          </w:tcPr>
          <w:p>
            <w:pPr>
              <w:spacing w:after="0"/>
              <w:rPr>
                <w:sz w:val="18"/>
                <w:szCs w:val="18"/>
                <w:color w:val="auto"/>
              </w:rPr>
            </w:pPr>
          </w:p>
        </w:tc>
        <w:tc>
          <w:tcPr>
            <w:tcW w:w="110" w:type="dxa"/>
            <w:vAlign w:val="bottom"/>
            <w:shd w:val="clear" w:color="auto" w:fill="EAF9E8"/>
          </w:tcPr>
          <w:p>
            <w:pPr>
              <w:spacing w:after="0"/>
              <w:rPr>
                <w:sz w:val="18"/>
                <w:szCs w:val="18"/>
                <w:color w:val="auto"/>
              </w:rPr>
            </w:pPr>
          </w:p>
        </w:tc>
        <w:tc>
          <w:tcPr>
            <w:tcW w:w="49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EAF9E8"/>
          </w:tcPr>
          <w:p>
            <w:pPr>
              <w:spacing w:after="0"/>
              <w:rPr>
                <w:sz w:val="18"/>
                <w:szCs w:val="18"/>
                <w:color w:val="auto"/>
              </w:rPr>
            </w:pPr>
          </w:p>
        </w:tc>
        <w:tc>
          <w:tcPr>
            <w:tcW w:w="680" w:type="dxa"/>
            <w:vAlign w:val="bottom"/>
            <w:shd w:val="clear" w:color="auto" w:fill="EAF9E8"/>
          </w:tcPr>
          <w:p>
            <w:pPr>
              <w:jc w:val="right"/>
              <w:ind w:right="73"/>
              <w:spacing w:after="0"/>
              <w:rPr>
                <w:sz w:val="20"/>
                <w:szCs w:val="20"/>
                <w:color w:val="auto"/>
              </w:rPr>
            </w:pPr>
            <w:r>
              <w:rPr>
                <w:rFonts w:ascii="Arial" w:cs="Arial" w:eastAsia="Arial" w:hAnsi="Arial"/>
                <w:sz w:val="18"/>
                <w:szCs w:val="18"/>
                <w:color w:val="auto"/>
              </w:rPr>
              <w:t>35</w:t>
            </w:r>
          </w:p>
        </w:tc>
        <w:tc>
          <w:tcPr>
            <w:tcW w:w="100" w:type="dxa"/>
            <w:vAlign w:val="bottom"/>
            <w:shd w:val="clear" w:color="auto" w:fill="EAF9E8"/>
          </w:tcPr>
          <w:p>
            <w:pPr>
              <w:spacing w:after="0"/>
              <w:rPr>
                <w:sz w:val="18"/>
                <w:szCs w:val="18"/>
                <w:color w:val="auto"/>
              </w:rPr>
            </w:pPr>
          </w:p>
        </w:tc>
        <w:tc>
          <w:tcPr>
            <w:tcW w:w="72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49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4,156</w:t>
            </w:r>
          </w:p>
        </w:tc>
        <w:tc>
          <w:tcPr>
            <w:tcW w:w="260" w:type="dxa"/>
            <w:vAlign w:val="bottom"/>
          </w:tcPr>
          <w:p>
            <w:pPr>
              <w:spacing w:after="0"/>
              <w:rPr>
                <w:sz w:val="24"/>
                <w:szCs w:val="24"/>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4,085</w:t>
            </w:r>
          </w:p>
        </w:tc>
        <w:tc>
          <w:tcPr>
            <w:tcW w:w="100" w:type="dxa"/>
            <w:vAlign w:val="bottom"/>
          </w:tcPr>
          <w:p>
            <w:pPr>
              <w:spacing w:after="0"/>
              <w:rPr>
                <w:sz w:val="24"/>
                <w:szCs w:val="24"/>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4,469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540" w:type="dxa"/>
            <w:vAlign w:val="bottom"/>
            <w:gridSpan w:val="2"/>
          </w:tcPr>
          <w:p>
            <w:pPr>
              <w:spacing w:after="0"/>
              <w:rPr>
                <w:sz w:val="9"/>
                <w:szCs w:val="9"/>
                <w:color w:val="auto"/>
              </w:rPr>
            </w:pPr>
          </w:p>
        </w:tc>
        <w:tc>
          <w:tcPr>
            <w:tcW w:w="1220" w:type="dxa"/>
            <w:vAlign w:val="bottom"/>
          </w:tcPr>
          <w:p>
            <w:pPr>
              <w:spacing w:after="0"/>
              <w:rPr>
                <w:sz w:val="9"/>
                <w:szCs w:val="9"/>
                <w:color w:val="auto"/>
              </w:rPr>
            </w:pPr>
          </w:p>
        </w:tc>
        <w:tc>
          <w:tcPr>
            <w:tcW w:w="110" w:type="dxa"/>
            <w:vAlign w:val="bottom"/>
            <w:tcBorders>
              <w:bottom w:val="single" w:sz="8" w:color="808080"/>
            </w:tcBorders>
          </w:tcPr>
          <w:p>
            <w:pPr>
              <w:spacing w:after="0"/>
              <w:rPr>
                <w:sz w:val="9"/>
                <w:szCs w:val="9"/>
                <w:color w:val="auto"/>
              </w:rPr>
            </w:pPr>
          </w:p>
        </w:tc>
        <w:tc>
          <w:tcPr>
            <w:tcW w:w="49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9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Total investments</w:t>
            </w:r>
          </w:p>
        </w:tc>
        <w:tc>
          <w:tcPr>
            <w:tcW w:w="1330" w:type="dxa"/>
            <w:vAlign w:val="bottom"/>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49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7,365</w:t>
            </w:r>
          </w:p>
        </w:tc>
        <w:tc>
          <w:tcPr>
            <w:tcW w:w="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AF9E8"/>
          </w:tcPr>
          <w:p>
            <w:pPr>
              <w:jc w:val="right"/>
              <w:ind w:right="73"/>
              <w:spacing w:after="0"/>
              <w:rPr>
                <w:sz w:val="20"/>
                <w:szCs w:val="20"/>
                <w:color w:val="auto"/>
              </w:rPr>
            </w:pPr>
            <w:r>
              <w:rPr>
                <w:rFonts w:ascii="Arial" w:cs="Arial" w:eastAsia="Arial" w:hAnsi="Arial"/>
                <w:sz w:val="18"/>
                <w:szCs w:val="18"/>
                <w:color w:val="auto"/>
              </w:rPr>
              <w:t>7,018</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7,268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0" w:type="dxa"/>
            <w:vAlign w:val="bottom"/>
            <w:tcBorders>
              <w:bottom w:val="single" w:sz="8" w:color="808080"/>
            </w:tcBorders>
          </w:tcPr>
          <w:p>
            <w:pPr>
              <w:spacing w:after="0"/>
              <w:rPr>
                <w:sz w:val="10"/>
                <w:szCs w:val="10"/>
                <w:color w:val="auto"/>
              </w:rPr>
            </w:pPr>
          </w:p>
        </w:tc>
        <w:tc>
          <w:tcPr>
            <w:tcW w:w="49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3656330</wp:posOffset>
            </wp:positionH>
            <wp:positionV relativeFrom="paragraph">
              <wp:posOffset>-14605</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-14605</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-14605</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-14605</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-14605</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-14605</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-14605</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-14605</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On August 4, 2005, the board of directors of the Rural Telephone Bank (the “RTB”) adopted a number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resolutions for the purpose of dissolving RTB as of October 1, 2005. The Company held 10,821,770 shares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Class B and Class C RTB Common Stock ($1.00 par value) which is reflected on the Company’s books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$796,000 under the cost method at December 31, 2005. In 2006, the Company will recognize a gain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$6.5 million, net of tax, related to the dissolution of the RTB. In 2006, the Company will receive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$11.3 million in proceeds, and recognize a gain of approximately $6.5 million, net of tax, related to the dissolution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RTB, and the redemption of the stock.</w:t>
      </w:r>
    </w:p>
    <w:p>
      <w:pPr>
        <w:spacing w:after="0" w:line="219" w:lineRule="exact"/>
        <w:rPr>
          <w:sz w:val="20"/>
          <w:szCs w:val="20"/>
          <w:color w:val="auto"/>
        </w:rPr>
      </w:pPr>
    </w:p>
    <w:p>
      <w:pPr>
        <w:ind w:right="2159"/>
        <w:spacing w:after="0" w:line="259" w:lineRule="auto"/>
        <w:rPr>
          <w:sz w:val="20"/>
          <w:szCs w:val="20"/>
          <w:color w:val="auto"/>
        </w:rPr>
      </w:pPr>
      <w:r>
        <w:rPr>
          <w:rFonts w:ascii="Arial" w:cs="Arial" w:eastAsia="Arial" w:hAnsi="Arial"/>
          <w:sz w:val="18"/>
          <w:szCs w:val="18"/>
          <w:color w:val="auto"/>
        </w:rPr>
        <w:t>The Company’s investment in CoBank increased $230 thousand, $165 thousand and $195 thousand in the years ended December 31, 2005, 2004 and 2003, respectively, due to the ongoing patronage earned from the outstanding investment and loan balances the Company has with CoBank.</w:t>
      </w:r>
    </w:p>
    <w:p>
      <w:pPr>
        <w:spacing w:after="0" w:line="194" w:lineRule="exact"/>
        <w:rPr>
          <w:sz w:val="20"/>
          <w:szCs w:val="20"/>
          <w:color w:val="auto"/>
        </w:rPr>
      </w:pPr>
    </w:p>
    <w:p>
      <w:pPr>
        <w:ind w:right="2199"/>
        <w:spacing w:after="0" w:line="294" w:lineRule="auto"/>
        <w:rPr>
          <w:sz w:val="20"/>
          <w:szCs w:val="20"/>
          <w:color w:val="auto"/>
        </w:rPr>
      </w:pPr>
      <w:r>
        <w:rPr>
          <w:rFonts w:ascii="Arial" w:cs="Arial" w:eastAsia="Arial" w:hAnsi="Arial"/>
          <w:sz w:val="16"/>
          <w:szCs w:val="16"/>
          <w:color w:val="auto"/>
        </w:rPr>
        <w:t>In the year ended December 31, 2005, the Company received distributions from its equity investments totaling $126 thousand in cash and invested $428 thousand in two equity investments, Dolphin Communications Parallel Fund, LP and Dolphin Communications Fund II, LP. These two investments recorded a net loss of approximately $469 thousand in the year ended December 31, 2005. Other equity investments had a net gain of $235 thousand in the year ended December 31, 2005.</w:t>
      </w:r>
    </w:p>
    <w:p>
      <w:pPr>
        <w:spacing w:after="0" w:line="170" w:lineRule="exact"/>
        <w:rPr>
          <w:sz w:val="20"/>
          <w:szCs w:val="20"/>
          <w:color w:val="auto"/>
        </w:rPr>
      </w:pPr>
    </w:p>
    <w:p>
      <w:pPr>
        <w:ind w:right="2359"/>
        <w:spacing w:after="0" w:line="268" w:lineRule="auto"/>
        <w:rPr>
          <w:sz w:val="20"/>
          <w:szCs w:val="20"/>
          <w:color w:val="auto"/>
        </w:rPr>
      </w:pPr>
      <w:r>
        <w:rPr>
          <w:rFonts w:ascii="Arial" w:cs="Arial" w:eastAsia="Arial" w:hAnsi="Arial"/>
          <w:sz w:val="18"/>
          <w:szCs w:val="18"/>
          <w:color w:val="auto"/>
        </w:rPr>
        <w:t>The Company is committed to invest an additional $0.7 million at December 31, 2005 in various equity method investees pursuant to capital calls from the fund managers.</w:t>
      </w:r>
    </w:p>
    <w:p>
      <w:pPr>
        <w:spacing w:after="0" w:line="186" w:lineRule="exact"/>
        <w:rPr>
          <w:sz w:val="20"/>
          <w:szCs w:val="20"/>
          <w:color w:val="auto"/>
        </w:rPr>
      </w:pPr>
    </w:p>
    <w:p>
      <w:pPr>
        <w:ind w:right="2179"/>
        <w:spacing w:after="0" w:line="291" w:lineRule="auto"/>
        <w:rPr>
          <w:sz w:val="20"/>
          <w:szCs w:val="20"/>
          <w:color w:val="auto"/>
        </w:rPr>
      </w:pPr>
      <w:r>
        <w:rPr>
          <w:rFonts w:ascii="Arial" w:cs="Arial" w:eastAsia="Arial" w:hAnsi="Arial"/>
          <w:sz w:val="16"/>
          <w:szCs w:val="16"/>
          <w:color w:val="auto"/>
        </w:rPr>
        <w:t>The Company’s ownership interests in Virginia Independent Telephone Alliance and ValleyNet at December 31, 2005 were approximately 22% and 20%, respectively, which is consistent with the Company’s ownership interests at December 31, 2004 and 2003. The Company purchases services from Virginia Independent Telephone Alliance and ValleyNet at rates comparable to those charged to other customers. Other equity method investees are investment limited partnerships, in each of which the Company had an ownership interest ranging from approximately 0.7% to 4% at December 31, 2005.</w:t>
      </w:r>
    </w:p>
    <w:p>
      <w:pPr>
        <w:spacing w:after="0" w:line="17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383" w:right="1440"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Note 5. Plant in Service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Plant in service consists of the following at December 31, 2005, 2004 and 2003:</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3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Estimated</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4"/>
        </w:trPr>
        <w:tc>
          <w:tcPr>
            <w:tcW w:w="4100" w:type="dxa"/>
            <w:vAlign w:val="bottom"/>
          </w:tcPr>
          <w:p>
            <w:pPr>
              <w:spacing w:after="0"/>
              <w:rPr>
                <w:sz w:val="15"/>
                <w:szCs w:val="15"/>
                <w:color w:val="auto"/>
              </w:rPr>
            </w:pPr>
          </w:p>
        </w:tc>
        <w:tc>
          <w:tcPr>
            <w:tcW w:w="13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Useful Lives</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820" w:type="dxa"/>
            <w:vAlign w:val="bottom"/>
          </w:tcPr>
          <w:p>
            <w:pPr>
              <w:jc w:val="right"/>
              <w:ind w:right="36"/>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5"/>
                <w:szCs w:val="15"/>
                <w:color w:val="auto"/>
              </w:rPr>
            </w:pPr>
          </w:p>
        </w:tc>
        <w:tc>
          <w:tcPr>
            <w:tcW w:w="800" w:type="dxa"/>
            <w:vAlign w:val="bottom"/>
          </w:tcPr>
          <w:p>
            <w:pPr>
              <w:jc w:val="right"/>
              <w:ind w:right="16"/>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r>
      <w:tr>
        <w:trPr>
          <w:trHeight w:val="95"/>
        </w:trPr>
        <w:tc>
          <w:tcPr>
            <w:tcW w:w="41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250"/>
        </w:trPr>
        <w:tc>
          <w:tcPr>
            <w:tcW w:w="4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w w:val="99"/>
              </w:rPr>
              <w:t>(in thousands)</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4100" w:type="dxa"/>
            <w:vAlign w:val="bottom"/>
            <w:shd w:val="clear" w:color="auto" w:fill="EAF9E8"/>
          </w:tcPr>
          <w:p>
            <w:pPr>
              <w:spacing w:after="0"/>
              <w:rPr>
                <w:sz w:val="20"/>
                <w:szCs w:val="20"/>
                <w:color w:val="auto"/>
              </w:rPr>
            </w:pPr>
            <w:r>
              <w:rPr>
                <w:rFonts w:ascii="Arial" w:cs="Arial" w:eastAsia="Arial" w:hAnsi="Arial"/>
                <w:sz w:val="18"/>
                <w:szCs w:val="18"/>
                <w:color w:val="auto"/>
              </w:rPr>
              <w:t>Land</w:t>
            </w:r>
          </w:p>
        </w:tc>
        <w:tc>
          <w:tcPr>
            <w:tcW w:w="3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1,141</w:t>
            </w:r>
          </w:p>
        </w:tc>
        <w:tc>
          <w:tcPr>
            <w:tcW w:w="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AF9E8"/>
          </w:tcPr>
          <w:p>
            <w:pPr>
              <w:jc w:val="right"/>
              <w:ind w:right="36"/>
              <w:spacing w:after="0"/>
              <w:rPr>
                <w:sz w:val="20"/>
                <w:szCs w:val="20"/>
                <w:color w:val="auto"/>
              </w:rPr>
            </w:pPr>
            <w:r>
              <w:rPr>
                <w:rFonts w:ascii="Arial" w:cs="Arial" w:eastAsia="Arial" w:hAnsi="Arial"/>
                <w:sz w:val="18"/>
                <w:szCs w:val="18"/>
                <w:color w:val="auto"/>
              </w:rPr>
              <w:t>802</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AF9E8"/>
          </w:tcPr>
          <w:p>
            <w:pPr>
              <w:jc w:val="right"/>
              <w:ind w:right="16"/>
              <w:spacing w:after="0"/>
              <w:rPr>
                <w:sz w:val="20"/>
                <w:szCs w:val="20"/>
                <w:color w:val="auto"/>
              </w:rPr>
            </w:pPr>
            <w:r>
              <w:rPr>
                <w:rFonts w:ascii="Arial" w:cs="Arial" w:eastAsia="Arial" w:hAnsi="Arial"/>
                <w:sz w:val="18"/>
                <w:szCs w:val="18"/>
                <w:color w:val="auto"/>
              </w:rPr>
              <w:t>802</w:t>
            </w:r>
          </w:p>
        </w:tc>
        <w:tc>
          <w:tcPr>
            <w:tcW w:w="20" w:type="dxa"/>
            <w:vAlign w:val="bottom"/>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Buildings and structures</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w w:val="95"/>
              </w:rPr>
              <w:t>15 – 40 years</w:t>
            </w:r>
          </w:p>
        </w:tc>
        <w:tc>
          <w:tcPr>
            <w:tcW w:w="660" w:type="dxa"/>
            <w:vAlign w:val="bottom"/>
          </w:tcPr>
          <w:p>
            <w:pPr>
              <w:jc w:val="right"/>
              <w:spacing w:after="0"/>
              <w:rPr>
                <w:sz w:val="20"/>
                <w:szCs w:val="20"/>
                <w:color w:val="auto"/>
              </w:rPr>
            </w:pPr>
            <w:r>
              <w:rPr>
                <w:rFonts w:ascii="Arial" w:cs="Arial" w:eastAsia="Arial" w:hAnsi="Arial"/>
                <w:sz w:val="18"/>
                <w:szCs w:val="18"/>
                <w:color w:val="auto"/>
              </w:rPr>
              <w:t>40,511</w:t>
            </w:r>
          </w:p>
        </w:tc>
        <w:tc>
          <w:tcPr>
            <w:tcW w:w="220" w:type="dxa"/>
            <w:vAlign w:val="bottom"/>
          </w:tcPr>
          <w:p>
            <w:pPr>
              <w:spacing w:after="0"/>
              <w:rPr>
                <w:sz w:val="18"/>
                <w:szCs w:val="18"/>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36,626</w:t>
            </w:r>
          </w:p>
        </w:tc>
        <w:tc>
          <w:tcPr>
            <w:tcW w:w="160" w:type="dxa"/>
            <w:vAlign w:val="bottom"/>
          </w:tcPr>
          <w:p>
            <w:pPr>
              <w:spacing w:after="0"/>
              <w:rPr>
                <w:sz w:val="18"/>
                <w:szCs w:val="18"/>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30,956</w:t>
            </w:r>
          </w:p>
        </w:tc>
        <w:tc>
          <w:tcPr>
            <w:tcW w:w="20" w:type="dxa"/>
            <w:vAlign w:val="bottom"/>
          </w:tcPr>
          <w:p>
            <w:pPr>
              <w:spacing w:after="0"/>
              <w:rPr>
                <w:sz w:val="18"/>
                <w:szCs w:val="18"/>
                <w:color w:val="auto"/>
              </w:rPr>
            </w:pPr>
          </w:p>
        </w:tc>
      </w:tr>
      <w:tr>
        <w:trPr>
          <w:trHeight w:val="216"/>
        </w:trPr>
        <w:tc>
          <w:tcPr>
            <w:tcW w:w="4100" w:type="dxa"/>
            <w:vAlign w:val="bottom"/>
            <w:shd w:val="clear" w:color="auto" w:fill="EAF9E8"/>
          </w:tcPr>
          <w:p>
            <w:pPr>
              <w:spacing w:after="0"/>
              <w:rPr>
                <w:sz w:val="20"/>
                <w:szCs w:val="20"/>
                <w:color w:val="auto"/>
              </w:rPr>
            </w:pPr>
            <w:r>
              <w:rPr>
                <w:rFonts w:ascii="Arial" w:cs="Arial" w:eastAsia="Arial" w:hAnsi="Arial"/>
                <w:sz w:val="18"/>
                <w:szCs w:val="18"/>
                <w:color w:val="auto"/>
              </w:rPr>
              <w:t>Cable and wire</w:t>
            </w:r>
          </w:p>
        </w:tc>
        <w:tc>
          <w:tcPr>
            <w:tcW w:w="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w:t>
            </w:r>
          </w:p>
        </w:tc>
        <w:tc>
          <w:tcPr>
            <w:tcW w:w="102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–40 years</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61,986</w:t>
            </w: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jc w:val="right"/>
              <w:ind w:right="36"/>
              <w:spacing w:after="0"/>
              <w:rPr>
                <w:sz w:val="20"/>
                <w:szCs w:val="20"/>
                <w:color w:val="auto"/>
              </w:rPr>
            </w:pPr>
            <w:r>
              <w:rPr>
                <w:rFonts w:ascii="Arial" w:cs="Arial" w:eastAsia="Arial" w:hAnsi="Arial"/>
                <w:sz w:val="18"/>
                <w:szCs w:val="18"/>
                <w:color w:val="auto"/>
              </w:rPr>
              <w:t>61,674</w:t>
            </w:r>
          </w:p>
        </w:tc>
        <w:tc>
          <w:tcPr>
            <w:tcW w:w="16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16"/>
              <w:spacing w:after="0"/>
              <w:rPr>
                <w:sz w:val="20"/>
                <w:szCs w:val="20"/>
                <w:color w:val="auto"/>
              </w:rPr>
            </w:pPr>
            <w:r>
              <w:rPr>
                <w:rFonts w:ascii="Arial" w:cs="Arial" w:eastAsia="Arial" w:hAnsi="Arial"/>
                <w:sz w:val="18"/>
                <w:szCs w:val="18"/>
                <w:color w:val="auto"/>
              </w:rPr>
              <w:t>51,041</w:t>
            </w:r>
          </w:p>
        </w:tc>
        <w:tc>
          <w:tcPr>
            <w:tcW w:w="20" w:type="dxa"/>
            <w:vAlign w:val="bottom"/>
          </w:tcPr>
          <w:p>
            <w:pPr>
              <w:spacing w:after="0"/>
              <w:rPr>
                <w:sz w:val="18"/>
                <w:szCs w:val="18"/>
                <w:color w:val="auto"/>
              </w:rPr>
            </w:pPr>
          </w:p>
        </w:tc>
      </w:tr>
      <w:tr>
        <w:trPr>
          <w:trHeight w:val="222"/>
        </w:trPr>
        <w:tc>
          <w:tcPr>
            <w:tcW w:w="4100" w:type="dxa"/>
            <w:vAlign w:val="bottom"/>
          </w:tcPr>
          <w:p>
            <w:pPr>
              <w:spacing w:after="0"/>
              <w:rPr>
                <w:sz w:val="20"/>
                <w:szCs w:val="20"/>
                <w:color w:val="auto"/>
              </w:rPr>
            </w:pPr>
            <w:r>
              <w:rPr>
                <w:rFonts w:ascii="Arial" w:cs="Arial" w:eastAsia="Arial" w:hAnsi="Arial"/>
                <w:sz w:val="18"/>
                <w:szCs w:val="18"/>
                <w:color w:val="auto"/>
              </w:rPr>
              <w:t>Equipment and software</w:t>
            </w:r>
          </w:p>
        </w:tc>
        <w:tc>
          <w:tcPr>
            <w:tcW w:w="340" w:type="dxa"/>
            <w:vAlign w:val="bottom"/>
          </w:tcPr>
          <w:p>
            <w:pPr>
              <w:jc w:val="right"/>
              <w:spacing w:after="0"/>
              <w:rPr>
                <w:sz w:val="20"/>
                <w:szCs w:val="20"/>
                <w:color w:val="auto"/>
              </w:rPr>
            </w:pPr>
            <w:r>
              <w:rPr>
                <w:rFonts w:ascii="Arial" w:cs="Arial" w:eastAsia="Arial" w:hAnsi="Arial"/>
                <w:sz w:val="18"/>
                <w:szCs w:val="18"/>
                <w:color w:val="auto"/>
              </w:rPr>
              <w:t>3 –</w:t>
            </w: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16.6 years</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144,683</w:t>
            </w:r>
          </w:p>
        </w:tc>
        <w:tc>
          <w:tcPr>
            <w:tcW w:w="220" w:type="dxa"/>
            <w:vAlign w:val="bottom"/>
          </w:tcPr>
          <w:p>
            <w:pPr>
              <w:spacing w:after="0"/>
              <w:rPr>
                <w:sz w:val="19"/>
                <w:szCs w:val="19"/>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127,902</w:t>
            </w:r>
          </w:p>
        </w:tc>
        <w:tc>
          <w:tcPr>
            <w:tcW w:w="16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114,632</w:t>
            </w:r>
          </w:p>
        </w:tc>
        <w:tc>
          <w:tcPr>
            <w:tcW w:w="20" w:type="dxa"/>
            <w:vAlign w:val="bottom"/>
          </w:tcPr>
          <w:p>
            <w:pPr>
              <w:spacing w:after="0"/>
              <w:rPr>
                <w:sz w:val="19"/>
                <w:szCs w:val="19"/>
                <w:color w:val="auto"/>
              </w:rPr>
            </w:pPr>
          </w:p>
        </w:tc>
      </w:tr>
      <w:tr>
        <w:trPr>
          <w:trHeight w:val="250"/>
        </w:trPr>
        <w:tc>
          <w:tcPr>
            <w:tcW w:w="4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82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80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r>
      <w:tr>
        <w:trPr>
          <w:trHeight w:val="102"/>
        </w:trPr>
        <w:tc>
          <w:tcPr>
            <w:tcW w:w="4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41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2"/>
              </w:rPr>
              <w:t>248,321</w:t>
            </w:r>
          </w:p>
        </w:tc>
        <w:tc>
          <w:tcPr>
            <w:tcW w:w="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AF9E8"/>
          </w:tcPr>
          <w:p>
            <w:pPr>
              <w:jc w:val="right"/>
              <w:ind w:right="36"/>
              <w:spacing w:after="0"/>
              <w:rPr>
                <w:sz w:val="20"/>
                <w:szCs w:val="20"/>
                <w:color w:val="auto"/>
              </w:rPr>
            </w:pPr>
            <w:r>
              <w:rPr>
                <w:rFonts w:ascii="Arial" w:cs="Arial" w:eastAsia="Arial" w:hAnsi="Arial"/>
                <w:sz w:val="18"/>
                <w:szCs w:val="18"/>
                <w:color w:val="auto"/>
              </w:rPr>
              <w:t>227,004</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AF9E8"/>
          </w:tcPr>
          <w:p>
            <w:pPr>
              <w:jc w:val="right"/>
              <w:ind w:right="16"/>
              <w:spacing w:after="0"/>
              <w:rPr>
                <w:sz w:val="20"/>
                <w:szCs w:val="20"/>
                <w:color w:val="auto"/>
              </w:rPr>
            </w:pPr>
            <w:r>
              <w:rPr>
                <w:rFonts w:ascii="Arial" w:cs="Arial" w:eastAsia="Arial" w:hAnsi="Arial"/>
                <w:sz w:val="18"/>
                <w:szCs w:val="18"/>
                <w:color w:val="auto"/>
              </w:rPr>
              <w:t>197,431</w:t>
            </w:r>
          </w:p>
        </w:tc>
        <w:tc>
          <w:tcPr>
            <w:tcW w:w="20" w:type="dxa"/>
            <w:vAlign w:val="bottom"/>
          </w:tcPr>
          <w:p>
            <w:pPr>
              <w:spacing w:after="0"/>
              <w:rPr>
                <w:sz w:val="18"/>
                <w:szCs w:val="18"/>
                <w:color w:val="auto"/>
              </w:rPr>
            </w:pPr>
          </w:p>
        </w:tc>
      </w:tr>
      <w:tr>
        <w:trPr>
          <w:trHeight w:val="118"/>
        </w:trPr>
        <w:tc>
          <w:tcPr>
            <w:tcW w:w="4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-14605</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-14605</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-14605</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-14605</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-14605</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-14605</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-14605</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-14605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-14605</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Long-Term Debt and Revolving Lines of Credit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Total debt consists of the following at December 31, 2005, 2004 and 2003:</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tcPr>
          <w:p>
            <w:pPr>
              <w:jc w:val="center"/>
              <w:ind w:right="100"/>
              <w:spacing w:after="0"/>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9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6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4"/>
        </w:trPr>
        <w:tc>
          <w:tcPr>
            <w:tcW w:w="29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60" w:type="dxa"/>
            <w:vAlign w:val="bottom"/>
          </w:tcPr>
          <w:p>
            <w:pPr>
              <w:jc w:val="center"/>
              <w:ind w:right="100"/>
              <w:spacing w:after="0"/>
              <w:rPr>
                <w:sz w:val="20"/>
                <w:szCs w:val="20"/>
                <w:color w:val="auto"/>
              </w:rPr>
            </w:pPr>
            <w:r>
              <w:rPr>
                <w:rFonts w:ascii="Arial" w:cs="Arial" w:eastAsia="Arial" w:hAnsi="Arial"/>
                <w:sz w:val="14"/>
                <w:szCs w:val="14"/>
                <w:b w:val="1"/>
                <w:bCs w:val="1"/>
                <w:color w:val="auto"/>
                <w:w w:val="89"/>
              </w:rPr>
              <w:t>Interest Rate</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780" w:type="dxa"/>
            <w:vAlign w:val="bottom"/>
          </w:tcPr>
          <w:p>
            <w:pPr>
              <w:jc w:val="right"/>
              <w:ind w:right="74"/>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740" w:type="dxa"/>
            <w:vAlign w:val="bottom"/>
          </w:tcPr>
          <w:p>
            <w:pPr>
              <w:jc w:val="right"/>
              <w:ind w:right="1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r>
      <w:tr>
        <w:trPr>
          <w:trHeight w:val="95"/>
        </w:trPr>
        <w:tc>
          <w:tcPr>
            <w:tcW w:w="29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250"/>
        </w:trPr>
        <w:tc>
          <w:tcPr>
            <w:tcW w:w="29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ind w:right="14"/>
              <w:spacing w:after="0"/>
              <w:rPr>
                <w:sz w:val="20"/>
                <w:szCs w:val="20"/>
                <w:color w:val="auto"/>
              </w:rPr>
            </w:pPr>
            <w:r>
              <w:rPr>
                <w:rFonts w:ascii="Arial" w:cs="Arial" w:eastAsia="Arial" w:hAnsi="Arial"/>
                <w:sz w:val="14"/>
                <w:szCs w:val="14"/>
                <w:b w:val="1"/>
                <w:bCs w:val="1"/>
                <w:i w:val="1"/>
                <w:iCs w:val="1"/>
                <w:color w:val="auto"/>
                <w:w w:val="97"/>
              </w:rPr>
              <w:t>(in thousands)</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2960" w:type="dxa"/>
            <w:vAlign w:val="bottom"/>
            <w:shd w:val="clear" w:color="auto" w:fill="EAF9E8"/>
          </w:tcPr>
          <w:p>
            <w:pPr>
              <w:spacing w:after="0"/>
              <w:rPr>
                <w:sz w:val="20"/>
                <w:szCs w:val="20"/>
                <w:color w:val="auto"/>
              </w:rPr>
            </w:pPr>
            <w:r>
              <w:rPr>
                <w:rFonts w:ascii="Arial" w:cs="Arial" w:eastAsia="Arial" w:hAnsi="Arial"/>
                <w:sz w:val="18"/>
                <w:szCs w:val="18"/>
                <w:color w:val="auto"/>
              </w:rPr>
              <w:t>Rural Telephone Bank (“RTB”)</w:t>
            </w:r>
          </w:p>
        </w:tc>
        <w:tc>
          <w:tcPr>
            <w:tcW w:w="1500" w:type="dxa"/>
            <w:vAlign w:val="bottom"/>
            <w:shd w:val="clear" w:color="auto" w:fill="EAF9E8"/>
          </w:tcPr>
          <w:p>
            <w:pPr>
              <w:jc w:val="center"/>
              <w:ind w:left="372"/>
              <w:spacing w:after="0"/>
              <w:rPr>
                <w:sz w:val="20"/>
                <w:szCs w:val="20"/>
                <w:color w:val="auto"/>
              </w:rPr>
            </w:pPr>
            <w:r>
              <w:rPr>
                <w:rFonts w:ascii="Arial" w:cs="Arial" w:eastAsia="Arial" w:hAnsi="Arial"/>
                <w:sz w:val="18"/>
                <w:szCs w:val="18"/>
                <w:color w:val="auto"/>
                <w:w w:val="90"/>
              </w:rPr>
              <w:t>Fixed</w:t>
            </w:r>
          </w:p>
        </w:tc>
        <w:tc>
          <w:tcPr>
            <w:tcW w:w="1060" w:type="dxa"/>
            <w:vAlign w:val="bottom"/>
            <w:shd w:val="clear" w:color="auto" w:fill="EAF9E8"/>
          </w:tcPr>
          <w:p>
            <w:pPr>
              <w:jc w:val="center"/>
              <w:ind w:right="80"/>
              <w:spacing w:after="0"/>
              <w:rPr>
                <w:sz w:val="20"/>
                <w:szCs w:val="20"/>
                <w:color w:val="auto"/>
              </w:rPr>
            </w:pPr>
            <w:r>
              <w:rPr>
                <w:rFonts w:ascii="Arial" w:cs="Arial" w:eastAsia="Arial" w:hAnsi="Arial"/>
                <w:sz w:val="18"/>
                <w:szCs w:val="18"/>
                <w:color w:val="auto"/>
                <w:w w:val="90"/>
              </w:rPr>
              <w:t>6.02%</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4,613</w:t>
            </w:r>
          </w:p>
        </w:tc>
        <w:tc>
          <w:tcPr>
            <w:tcW w:w="2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5,120</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5,599</w:t>
            </w:r>
          </w:p>
        </w:tc>
        <w:tc>
          <w:tcPr>
            <w:tcW w:w="20" w:type="dxa"/>
            <w:vAlign w:val="bottom"/>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Rural Utilities Service (“RUS”)</w:t>
            </w:r>
          </w:p>
        </w:tc>
        <w:tc>
          <w:tcPr>
            <w:tcW w:w="1500" w:type="dxa"/>
            <w:vAlign w:val="bottom"/>
          </w:tcPr>
          <w:p>
            <w:pPr>
              <w:jc w:val="center"/>
              <w:ind w:left="372"/>
              <w:spacing w:after="0"/>
              <w:rPr>
                <w:sz w:val="20"/>
                <w:szCs w:val="20"/>
                <w:color w:val="auto"/>
              </w:rPr>
            </w:pPr>
            <w:r>
              <w:rPr>
                <w:rFonts w:ascii="Arial" w:cs="Arial" w:eastAsia="Arial" w:hAnsi="Arial"/>
                <w:sz w:val="18"/>
                <w:szCs w:val="18"/>
                <w:color w:val="auto"/>
                <w:w w:val="90"/>
              </w:rPr>
              <w:t>Fixed</w:t>
            </w:r>
          </w:p>
        </w:tc>
        <w:tc>
          <w:tcPr>
            <w:tcW w:w="1060" w:type="dxa"/>
            <w:vAlign w:val="bottom"/>
          </w:tcPr>
          <w:p>
            <w:pPr>
              <w:jc w:val="center"/>
              <w:ind w:right="80"/>
              <w:spacing w:after="0"/>
              <w:rPr>
                <w:sz w:val="20"/>
                <w:szCs w:val="20"/>
                <w:color w:val="auto"/>
              </w:rPr>
            </w:pPr>
            <w:r>
              <w:rPr>
                <w:rFonts w:ascii="Arial" w:cs="Arial" w:eastAsia="Arial" w:hAnsi="Arial"/>
                <w:sz w:val="18"/>
                <w:szCs w:val="18"/>
                <w:color w:val="auto"/>
                <w:w w:val="90"/>
              </w:rPr>
              <w:t>5.00%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18"/>
                <w:szCs w:val="18"/>
                <w:color w:val="auto"/>
              </w:rPr>
            </w:pP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8"/>
                <w:szCs w:val="18"/>
                <w:color w:val="auto"/>
              </w:rPr>
            </w:pPr>
          </w:p>
        </w:tc>
      </w:tr>
      <w:tr>
        <w:trPr>
          <w:trHeight w:val="216"/>
        </w:trPr>
        <w:tc>
          <w:tcPr>
            <w:tcW w:w="2960" w:type="dxa"/>
            <w:vAlign w:val="bottom"/>
            <w:shd w:val="clear" w:color="auto" w:fill="EAF9E8"/>
          </w:tcPr>
          <w:p>
            <w:pPr>
              <w:spacing w:after="0"/>
              <w:rPr>
                <w:sz w:val="20"/>
                <w:szCs w:val="20"/>
                <w:color w:val="auto"/>
              </w:rPr>
            </w:pPr>
            <w:r>
              <w:rPr>
                <w:rFonts w:ascii="Arial" w:cs="Arial" w:eastAsia="Arial" w:hAnsi="Arial"/>
                <w:sz w:val="18"/>
                <w:szCs w:val="18"/>
                <w:color w:val="auto"/>
              </w:rPr>
              <w:t>CoBank (term loan)</w:t>
            </w:r>
          </w:p>
        </w:tc>
        <w:tc>
          <w:tcPr>
            <w:tcW w:w="1500" w:type="dxa"/>
            <w:vAlign w:val="bottom"/>
            <w:shd w:val="clear" w:color="auto" w:fill="EAF9E8"/>
          </w:tcPr>
          <w:p>
            <w:pPr>
              <w:jc w:val="center"/>
              <w:ind w:left="372"/>
              <w:spacing w:after="0"/>
              <w:rPr>
                <w:sz w:val="20"/>
                <w:szCs w:val="20"/>
                <w:color w:val="auto"/>
              </w:rPr>
            </w:pPr>
            <w:r>
              <w:rPr>
                <w:rFonts w:ascii="Arial" w:cs="Arial" w:eastAsia="Arial" w:hAnsi="Arial"/>
                <w:sz w:val="18"/>
                <w:szCs w:val="18"/>
                <w:color w:val="auto"/>
                <w:w w:val="90"/>
              </w:rPr>
              <w:t>Fixed</w:t>
            </w:r>
          </w:p>
        </w:tc>
        <w:tc>
          <w:tcPr>
            <w:tcW w:w="1060" w:type="dxa"/>
            <w:vAlign w:val="bottom"/>
            <w:shd w:val="clear" w:color="auto" w:fill="EAF9E8"/>
          </w:tcPr>
          <w:p>
            <w:pPr>
              <w:jc w:val="center"/>
              <w:ind w:right="80"/>
              <w:spacing w:after="0"/>
              <w:rPr>
                <w:sz w:val="20"/>
                <w:szCs w:val="20"/>
                <w:color w:val="auto"/>
              </w:rPr>
            </w:pPr>
            <w:r>
              <w:rPr>
                <w:rFonts w:ascii="Arial" w:cs="Arial" w:eastAsia="Arial" w:hAnsi="Arial"/>
                <w:sz w:val="18"/>
                <w:szCs w:val="18"/>
                <w:color w:val="auto"/>
                <w:w w:val="90"/>
              </w:rPr>
              <w:t>7.56%</w:t>
            </w:r>
          </w:p>
        </w:tc>
        <w:tc>
          <w:tcPr>
            <w:tcW w:w="100" w:type="dxa"/>
            <w:vAlign w:val="bottom"/>
            <w:shd w:val="clear" w:color="auto" w:fill="EAF9E8"/>
          </w:tcPr>
          <w:p>
            <w:pPr>
              <w:spacing w:after="0"/>
              <w:rPr>
                <w:sz w:val="18"/>
                <w:szCs w:val="18"/>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29,794</w:t>
            </w:r>
          </w:p>
        </w:tc>
        <w:tc>
          <w:tcPr>
            <w:tcW w:w="280" w:type="dxa"/>
            <w:vAlign w:val="bottom"/>
            <w:shd w:val="clear" w:color="auto" w:fill="EAF9E8"/>
          </w:tcPr>
          <w:p>
            <w:pPr>
              <w:spacing w:after="0"/>
              <w:rPr>
                <w:sz w:val="18"/>
                <w:szCs w:val="18"/>
                <w:color w:val="auto"/>
              </w:rPr>
            </w:pPr>
          </w:p>
        </w:tc>
        <w:tc>
          <w:tcPr>
            <w:tcW w:w="78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33,652</w:t>
            </w:r>
          </w:p>
        </w:tc>
        <w:tc>
          <w:tcPr>
            <w:tcW w:w="10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37,398</w:t>
            </w:r>
          </w:p>
        </w:tc>
        <w:tc>
          <w:tcPr>
            <w:tcW w:w="20" w:type="dxa"/>
            <w:vAlign w:val="bottom"/>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CoBank revolving credit facility</w:t>
            </w:r>
          </w:p>
        </w:tc>
        <w:tc>
          <w:tcPr>
            <w:tcW w:w="1500" w:type="dxa"/>
            <w:vAlign w:val="bottom"/>
          </w:tcPr>
          <w:p>
            <w:pPr>
              <w:jc w:val="center"/>
              <w:ind w:left="372"/>
              <w:spacing w:after="0"/>
              <w:rPr>
                <w:sz w:val="20"/>
                <w:szCs w:val="20"/>
                <w:color w:val="auto"/>
              </w:rPr>
            </w:pPr>
            <w:r>
              <w:rPr>
                <w:rFonts w:ascii="Arial" w:cs="Arial" w:eastAsia="Arial" w:hAnsi="Arial"/>
                <w:sz w:val="18"/>
                <w:szCs w:val="18"/>
                <w:color w:val="auto"/>
                <w:w w:val="90"/>
              </w:rPr>
              <w:t>Variable</w:t>
            </w:r>
          </w:p>
        </w:tc>
        <w:tc>
          <w:tcPr>
            <w:tcW w:w="1060" w:type="dxa"/>
            <w:vAlign w:val="bottom"/>
          </w:tcPr>
          <w:p>
            <w:pPr>
              <w:jc w:val="center"/>
              <w:ind w:right="80"/>
              <w:spacing w:after="0"/>
              <w:rPr>
                <w:sz w:val="20"/>
                <w:szCs w:val="20"/>
                <w:color w:val="auto"/>
              </w:rPr>
            </w:pPr>
            <w:r>
              <w:rPr>
                <w:rFonts w:ascii="Arial" w:cs="Arial" w:eastAsia="Arial" w:hAnsi="Arial"/>
                <w:sz w:val="18"/>
                <w:szCs w:val="18"/>
                <w:color w:val="auto"/>
                <w:w w:val="90"/>
              </w:rPr>
              <w:t>5.96%</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1,177</w:t>
            </w:r>
          </w:p>
        </w:tc>
        <w:tc>
          <w:tcPr>
            <w:tcW w:w="280" w:type="dxa"/>
            <w:vAlign w:val="bottom"/>
          </w:tcPr>
          <w:p>
            <w:pPr>
              <w:spacing w:after="0"/>
              <w:rPr>
                <w:sz w:val="18"/>
                <w:szCs w:val="18"/>
                <w:color w:val="auto"/>
              </w:rPr>
            </w:pP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13,177</w:t>
            </w:r>
          </w:p>
        </w:tc>
        <w:tc>
          <w:tcPr>
            <w:tcW w:w="100" w:type="dxa"/>
            <w:vAlign w:val="bottom"/>
          </w:tcPr>
          <w:p>
            <w:pPr>
              <w:spacing w:after="0"/>
              <w:rPr>
                <w:sz w:val="18"/>
                <w:szCs w:val="18"/>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960" w:type="dxa"/>
            <w:vAlign w:val="bottom"/>
            <w:shd w:val="clear" w:color="auto" w:fill="EAF9E8"/>
          </w:tcPr>
          <w:p>
            <w:pPr>
              <w:spacing w:after="0"/>
              <w:rPr>
                <w:sz w:val="20"/>
                <w:szCs w:val="20"/>
                <w:color w:val="auto"/>
              </w:rPr>
            </w:pPr>
            <w:r>
              <w:rPr>
                <w:rFonts w:ascii="Arial" w:cs="Arial" w:eastAsia="Arial" w:hAnsi="Arial"/>
                <w:sz w:val="18"/>
                <w:szCs w:val="18"/>
                <w:color w:val="auto"/>
              </w:rPr>
              <w:t>RUS Development Loan</w:t>
            </w:r>
          </w:p>
        </w:tc>
        <w:tc>
          <w:tcPr>
            <w:tcW w:w="1500" w:type="dxa"/>
            <w:vAlign w:val="bottom"/>
            <w:shd w:val="clear" w:color="auto" w:fill="EAF9E8"/>
          </w:tcPr>
          <w:p>
            <w:pPr>
              <w:spacing w:after="0"/>
              <w:rPr>
                <w:sz w:val="18"/>
                <w:szCs w:val="18"/>
                <w:color w:val="auto"/>
              </w:rPr>
            </w:pPr>
          </w:p>
        </w:tc>
        <w:tc>
          <w:tcPr>
            <w:tcW w:w="1060" w:type="dxa"/>
            <w:vAlign w:val="bottom"/>
            <w:shd w:val="clear" w:color="auto" w:fill="EAF9E8"/>
          </w:tcPr>
          <w:p>
            <w:pPr>
              <w:jc w:val="center"/>
              <w:ind w:right="100"/>
              <w:spacing w:after="0"/>
              <w:rPr>
                <w:sz w:val="20"/>
                <w:szCs w:val="20"/>
                <w:color w:val="auto"/>
              </w:rPr>
            </w:pPr>
            <w:r>
              <w:rPr>
                <w:rFonts w:ascii="Arial" w:cs="Arial" w:eastAsia="Arial" w:hAnsi="Arial"/>
                <w:sz w:val="18"/>
                <w:szCs w:val="18"/>
                <w:color w:val="auto"/>
                <w:w w:val="87"/>
              </w:rPr>
              <w:t>Interest free</w:t>
            </w:r>
          </w:p>
        </w:tc>
        <w:tc>
          <w:tcPr>
            <w:tcW w:w="100" w:type="dxa"/>
            <w:vAlign w:val="bottom"/>
            <w:shd w:val="clear" w:color="auto" w:fill="EAF9E8"/>
          </w:tcPr>
          <w:p>
            <w:pPr>
              <w:spacing w:after="0"/>
              <w:rPr>
                <w:sz w:val="18"/>
                <w:szCs w:val="18"/>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200</w:t>
            </w:r>
          </w:p>
        </w:tc>
        <w:tc>
          <w:tcPr>
            <w:tcW w:w="280" w:type="dxa"/>
            <w:vAlign w:val="bottom"/>
            <w:shd w:val="clear" w:color="auto" w:fill="EAF9E8"/>
          </w:tcPr>
          <w:p>
            <w:pPr>
              <w:spacing w:after="0"/>
              <w:rPr>
                <w:sz w:val="18"/>
                <w:szCs w:val="18"/>
                <w:color w:val="auto"/>
              </w:rPr>
            </w:pPr>
          </w:p>
        </w:tc>
        <w:tc>
          <w:tcPr>
            <w:tcW w:w="78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8"/>
                <w:szCs w:val="18"/>
                <w:color w:val="auto"/>
              </w:rPr>
            </w:pPr>
          </w:p>
        </w:tc>
      </w:tr>
      <w:tr>
        <w:trPr>
          <w:trHeight w:val="108"/>
        </w:trPr>
        <w:tc>
          <w:tcPr>
            <w:tcW w:w="29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102"/>
        </w:trPr>
        <w:tc>
          <w:tcPr>
            <w:tcW w:w="29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2960" w:type="dxa"/>
            <w:vAlign w:val="bottom"/>
            <w:shd w:val="clear" w:color="auto" w:fill="EAF9E8"/>
          </w:tcPr>
          <w:p>
            <w:pPr>
              <w:spacing w:after="0"/>
              <w:rPr>
                <w:sz w:val="18"/>
                <w:szCs w:val="18"/>
                <w:color w:val="auto"/>
              </w:rPr>
            </w:pPr>
          </w:p>
        </w:tc>
        <w:tc>
          <w:tcPr>
            <w:tcW w:w="15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35,918</w:t>
            </w:r>
          </w:p>
        </w:tc>
        <w:tc>
          <w:tcPr>
            <w:tcW w:w="280" w:type="dxa"/>
            <w:vAlign w:val="bottom"/>
            <w:shd w:val="clear" w:color="auto" w:fill="EAF9E8"/>
          </w:tcPr>
          <w:p>
            <w:pPr>
              <w:spacing w:after="0"/>
              <w:rPr>
                <w:sz w:val="18"/>
                <w:szCs w:val="18"/>
                <w:color w:val="auto"/>
              </w:rPr>
            </w:pPr>
          </w:p>
        </w:tc>
        <w:tc>
          <w:tcPr>
            <w:tcW w:w="78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52,291</w:t>
            </w:r>
          </w:p>
        </w:tc>
        <w:tc>
          <w:tcPr>
            <w:tcW w:w="100" w:type="dxa"/>
            <w:vAlign w:val="bottom"/>
            <w:shd w:val="clear" w:color="auto" w:fill="EAF9E8"/>
          </w:tcPr>
          <w:p>
            <w:pPr>
              <w:spacing w:after="0"/>
              <w:rPr>
                <w:sz w:val="18"/>
                <w:szCs w:val="18"/>
                <w:color w:val="auto"/>
              </w:rPr>
            </w:pPr>
          </w:p>
        </w:tc>
        <w:tc>
          <w:tcPr>
            <w:tcW w:w="74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43,346</w:t>
            </w:r>
          </w:p>
        </w:tc>
        <w:tc>
          <w:tcPr>
            <w:tcW w:w="20" w:type="dxa"/>
            <w:vAlign w:val="bottom"/>
          </w:tcPr>
          <w:p>
            <w:pPr>
              <w:spacing w:after="0"/>
              <w:rPr>
                <w:sz w:val="18"/>
                <w:szCs w:val="18"/>
                <w:color w:val="auto"/>
              </w:rPr>
            </w:pPr>
          </w:p>
        </w:tc>
      </w:tr>
      <w:tr>
        <w:trPr>
          <w:trHeight w:val="222"/>
        </w:trPr>
        <w:tc>
          <w:tcPr>
            <w:tcW w:w="2960" w:type="dxa"/>
            <w:vAlign w:val="bottom"/>
          </w:tcPr>
          <w:p>
            <w:pPr>
              <w:spacing w:after="0"/>
              <w:rPr>
                <w:sz w:val="20"/>
                <w:szCs w:val="20"/>
                <w:color w:val="auto"/>
              </w:rPr>
            </w:pPr>
            <w:r>
              <w:rPr>
                <w:rFonts w:ascii="Arial" w:cs="Arial" w:eastAsia="Arial" w:hAnsi="Arial"/>
                <w:sz w:val="18"/>
                <w:szCs w:val="18"/>
                <w:color w:val="auto"/>
              </w:rPr>
              <w:t>Current maturities</w:t>
            </w:r>
          </w:p>
        </w:tc>
        <w:tc>
          <w:tcPr>
            <w:tcW w:w="1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4,526</w:t>
            </w:r>
          </w:p>
        </w:tc>
        <w:tc>
          <w:tcPr>
            <w:tcW w:w="280" w:type="dxa"/>
            <w:vAlign w:val="bottom"/>
          </w:tcPr>
          <w:p>
            <w:pPr>
              <w:spacing w:after="0"/>
              <w:rPr>
                <w:sz w:val="19"/>
                <w:szCs w:val="19"/>
                <w:color w:val="auto"/>
              </w:rPr>
            </w:pP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4,372</w:t>
            </w:r>
          </w:p>
        </w:tc>
        <w:tc>
          <w:tcPr>
            <w:tcW w:w="10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4,230</w:t>
            </w:r>
          </w:p>
        </w:tc>
        <w:tc>
          <w:tcPr>
            <w:tcW w:w="20" w:type="dxa"/>
            <w:vAlign w:val="bottom"/>
          </w:tcPr>
          <w:p>
            <w:pPr>
              <w:spacing w:after="0"/>
              <w:rPr>
                <w:sz w:val="19"/>
                <w:szCs w:val="19"/>
                <w:color w:val="auto"/>
              </w:rPr>
            </w:pPr>
          </w:p>
        </w:tc>
      </w:tr>
      <w:tr>
        <w:trPr>
          <w:trHeight w:val="102"/>
        </w:trPr>
        <w:tc>
          <w:tcPr>
            <w:tcW w:w="29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102"/>
        </w:trPr>
        <w:tc>
          <w:tcPr>
            <w:tcW w:w="29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29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Total long-term debt</w:t>
            </w:r>
          </w:p>
        </w:tc>
        <w:tc>
          <w:tcPr>
            <w:tcW w:w="15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31,392</w:t>
            </w:r>
          </w:p>
        </w:tc>
        <w:tc>
          <w:tcPr>
            <w:tcW w:w="2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47,919</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39,116</w:t>
            </w:r>
          </w:p>
        </w:tc>
        <w:tc>
          <w:tcPr>
            <w:tcW w:w="20" w:type="dxa"/>
            <w:vAlign w:val="bottom"/>
          </w:tcPr>
          <w:p>
            <w:pPr>
              <w:spacing w:after="0"/>
              <w:rPr>
                <w:sz w:val="18"/>
                <w:szCs w:val="18"/>
                <w:color w:val="auto"/>
              </w:rPr>
            </w:pPr>
          </w:p>
        </w:tc>
      </w:tr>
      <w:tr>
        <w:trPr>
          <w:trHeight w:val="118"/>
        </w:trPr>
        <w:tc>
          <w:tcPr>
            <w:tcW w:w="29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3502025</wp:posOffset>
            </wp:positionH>
            <wp:positionV relativeFrom="paragraph">
              <wp:posOffset>-14605</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-14605</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-14605</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-14605</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-14605</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-14605</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-14605</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-14605</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-14605</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259"/>
        <w:spacing w:after="0" w:line="290" w:lineRule="auto"/>
        <w:rPr>
          <w:sz w:val="20"/>
          <w:szCs w:val="20"/>
          <w:color w:val="auto"/>
        </w:rPr>
      </w:pPr>
      <w:r>
        <w:rPr>
          <w:rFonts w:ascii="Arial" w:cs="Arial" w:eastAsia="Arial" w:hAnsi="Arial"/>
          <w:sz w:val="16"/>
          <w:szCs w:val="16"/>
          <w:color w:val="auto"/>
        </w:rPr>
        <w:t>On November 30, 2004, the Company amended the terms of its Master Loan Agreement with CoBank, ACB to provide for a $15 million revolving reducing credit facility. Under the terms of the amended credit facility, the Company can borrow up to $15 million for use in connection with the 2004 acquisition of NTC Communications LLC and other corporate purposes. The revolving credit facility has a 12 year term with quarterly payments beginning June 2006. Borrowings under the facility have an adjustable rate, less patronage credits, that can be converted to a fixed rate at the Company’s option. The loan is secured by a pledge of the stock of all of the subsidiaries of the Company as well as all of the outstanding membership interests in NTC.</w:t>
      </w:r>
    </w:p>
    <w:p>
      <w:pPr>
        <w:spacing w:after="0" w:line="172" w:lineRule="exact"/>
        <w:rPr>
          <w:sz w:val="20"/>
          <w:szCs w:val="20"/>
          <w:color w:val="auto"/>
        </w:rPr>
      </w:pPr>
    </w:p>
    <w:p>
      <w:pPr>
        <w:ind w:right="2119"/>
        <w:spacing w:after="0" w:line="256" w:lineRule="auto"/>
        <w:rPr>
          <w:sz w:val="20"/>
          <w:szCs w:val="20"/>
          <w:color w:val="auto"/>
        </w:rPr>
      </w:pPr>
      <w:r>
        <w:rPr>
          <w:rFonts w:ascii="Arial" w:cs="Arial" w:eastAsia="Arial" w:hAnsi="Arial"/>
          <w:sz w:val="18"/>
          <w:szCs w:val="18"/>
          <w:color w:val="auto"/>
        </w:rPr>
        <w:t>The RTB loans are payable $67 thousand monthly, including interest. RUS loans are payable $4 thousand quarterly, including interest. The RUS and RTB loan facilities have maturities through 2019. The CoBank term facility requires monthly payments of $332 thousand plus interest. The final maturity of the CoBank term loan is in 2013.</w:t>
      </w:r>
    </w:p>
    <w:p>
      <w:pPr>
        <w:spacing w:after="0" w:line="197" w:lineRule="exact"/>
        <w:rPr>
          <w:sz w:val="20"/>
          <w:szCs w:val="20"/>
          <w:color w:val="auto"/>
        </w:rPr>
      </w:pPr>
    </w:p>
    <w:p>
      <w:pPr>
        <w:ind w:right="2199"/>
        <w:spacing w:after="0" w:line="289" w:lineRule="auto"/>
        <w:rPr>
          <w:sz w:val="20"/>
          <w:szCs w:val="20"/>
          <w:color w:val="auto"/>
        </w:rPr>
      </w:pPr>
      <w:r>
        <w:rPr>
          <w:rFonts w:ascii="Arial" w:cs="Arial" w:eastAsia="Arial" w:hAnsi="Arial"/>
          <w:sz w:val="16"/>
          <w:szCs w:val="16"/>
          <w:color w:val="auto"/>
        </w:rPr>
        <w:t>The CoBank long-term debt is secured by a pledge of the stock of the Company’s subsidiaries. The outstanding balance of the CoBank term loan at December 31, 2005 is $29.8 million, which is at fixed rates ranging from approximately 6.67% to 8.05%. The stated rate excludes patronage credits that are received from CoBank. These patronage credits are a distribution of profits of CoBank, which is a cooperative required to distribute its profits to its members. During the first quarter of 2005 and 2004, the Company received patronage credits of approximately 100 and 81 basis points, respectively, on its outstanding CoBank debt balance. The Company accrued 100 basis points in the year ended December 31, 2005, in anticipation of the early 2006 distribution of the credits by CoBank.</w:t>
      </w:r>
    </w:p>
    <w:p>
      <w:pPr>
        <w:spacing w:after="0" w:line="172" w:lineRule="exact"/>
        <w:rPr>
          <w:sz w:val="20"/>
          <w:szCs w:val="20"/>
          <w:color w:val="auto"/>
        </w:rPr>
      </w:pPr>
    </w:p>
    <w:p>
      <w:pPr>
        <w:ind w:right="2159"/>
        <w:spacing w:after="0" w:line="306" w:lineRule="auto"/>
        <w:rPr>
          <w:sz w:val="20"/>
          <w:szCs w:val="20"/>
          <w:color w:val="auto"/>
        </w:rPr>
      </w:pPr>
      <w:r>
        <w:rPr>
          <w:rFonts w:ascii="Arial" w:cs="Arial" w:eastAsia="Arial" w:hAnsi="Arial"/>
          <w:sz w:val="16"/>
          <w:szCs w:val="16"/>
          <w:color w:val="auto"/>
        </w:rPr>
        <w:t>The Company is required to meet financial covenants for the CoBank debt measured at the end of each quarter, based on a trailing 12-month basis and calculated on continuing operations. The Company was in compliance with all covenants related to its debt agreements at December 31, 2005.</w:t>
      </w:r>
    </w:p>
    <w:p>
      <w:pPr>
        <w:spacing w:after="0" w:line="161" w:lineRule="exact"/>
        <w:rPr>
          <w:sz w:val="20"/>
          <w:szCs w:val="20"/>
          <w:color w:val="auto"/>
        </w:rPr>
      </w:pPr>
    </w:p>
    <w:p>
      <w:pPr>
        <w:ind w:right="2519"/>
        <w:spacing w:after="0" w:line="268" w:lineRule="auto"/>
        <w:rPr>
          <w:sz w:val="20"/>
          <w:szCs w:val="20"/>
          <w:color w:val="auto"/>
        </w:rPr>
      </w:pPr>
      <w:r>
        <w:rPr>
          <w:rFonts w:ascii="Arial" w:cs="Arial" w:eastAsia="Arial" w:hAnsi="Arial"/>
          <w:sz w:val="18"/>
          <w:szCs w:val="18"/>
          <w:color w:val="auto"/>
        </w:rPr>
        <w:t>The aggregate maturities of long-term debt for each of the five years subsequent to December 31, 2005 are as follows:</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95" w:name="page96"/>
    <w:bookmarkEnd w:id="95"/>
    <w:tbl>
      <w:tblPr>
        <w:tblLayout w:type="fixed"/>
        <w:tblInd w:w="1580" w:type="dxa"/>
        <w:tblCellMar>
          <w:top w:w="0" w:type="dxa"/>
          <w:left w:w="0" w:type="dxa"/>
          <w:bottom w:w="0" w:type="dxa"/>
          <w:right w:w="0" w:type="dxa"/>
        </w:tblCellMar>
      </w:tblPr>
      <w:tr>
        <w:trPr>
          <w:trHeight w:val="174"/>
        </w:trPr>
        <w:tc>
          <w:tcPr>
            <w:tcW w:w="380" w:type="dxa"/>
            <w:vAlign w:val="bottom"/>
          </w:tcPr>
          <w:p>
            <w:pPr>
              <w:spacing w:after="0"/>
              <w:rPr>
                <w:sz w:val="15"/>
                <w:szCs w:val="15"/>
                <w:color w:val="auto"/>
              </w:rPr>
            </w:pPr>
          </w:p>
        </w:tc>
        <w:tc>
          <w:tcPr>
            <w:tcW w:w="3240" w:type="dxa"/>
            <w:vAlign w:val="bottom"/>
            <w:gridSpan w:val="2"/>
          </w:tcPr>
          <w:p>
            <w:pPr>
              <w:jc w:val="center"/>
              <w:ind w:right="2860"/>
              <w:spacing w:after="0"/>
              <w:rPr>
                <w:sz w:val="20"/>
                <w:szCs w:val="20"/>
                <w:color w:val="auto"/>
              </w:rPr>
            </w:pPr>
            <w:r>
              <w:rPr>
                <w:rFonts w:ascii="Arial" w:cs="Arial" w:eastAsia="Arial" w:hAnsi="Arial"/>
                <w:sz w:val="14"/>
                <w:szCs w:val="14"/>
                <w:b w:val="1"/>
                <w:bCs w:val="1"/>
                <w:color w:val="auto"/>
                <w:w w:val="85"/>
              </w:rPr>
              <w:t>Year</w:t>
            </w:r>
          </w:p>
        </w:tc>
        <w:tc>
          <w:tcPr>
            <w:tcW w:w="120" w:type="dxa"/>
            <w:vAlign w:val="bottom"/>
          </w:tcPr>
          <w:p>
            <w:pPr>
              <w:spacing w:after="0"/>
              <w:rPr>
                <w:sz w:val="15"/>
                <w:szCs w:val="15"/>
                <w:color w:val="auto"/>
              </w:rPr>
            </w:pPr>
          </w:p>
        </w:tc>
        <w:tc>
          <w:tcPr>
            <w:tcW w:w="760" w:type="dxa"/>
            <w:vAlign w:val="bottom"/>
          </w:tcPr>
          <w:p>
            <w:pPr>
              <w:jc w:val="right"/>
              <w:ind w:right="135"/>
              <w:spacing w:after="0"/>
              <w:rPr>
                <w:sz w:val="20"/>
                <w:szCs w:val="20"/>
                <w:color w:val="auto"/>
              </w:rPr>
            </w:pPr>
            <w:r>
              <w:rPr>
                <w:rFonts w:ascii="Arial" w:cs="Arial" w:eastAsia="Arial" w:hAnsi="Arial"/>
                <w:sz w:val="14"/>
                <w:szCs w:val="14"/>
                <w:b w:val="1"/>
                <w:bCs w:val="1"/>
                <w:color w:val="auto"/>
                <w:w w:val="98"/>
              </w:rPr>
              <w:t>Amount</w:t>
            </w:r>
          </w:p>
        </w:tc>
      </w:tr>
      <w:tr>
        <w:trPr>
          <w:trHeight w:val="95"/>
        </w:trPr>
        <w:tc>
          <w:tcPr>
            <w:tcW w:w="3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860" w:type="dxa"/>
            <w:vAlign w:val="bottom"/>
          </w:tcPr>
          <w:p>
            <w:pPr>
              <w:spacing w:after="0"/>
              <w:rPr>
                <w:sz w:val="8"/>
                <w:szCs w:val="8"/>
                <w:color w:val="auto"/>
              </w:rPr>
            </w:pPr>
          </w:p>
        </w:tc>
        <w:tc>
          <w:tcPr>
            <w:tcW w:w="880" w:type="dxa"/>
            <w:vAlign w:val="bottom"/>
            <w:tcBorders>
              <w:bottom w:val="single" w:sz="8" w:color="808080"/>
            </w:tcBorders>
            <w:gridSpan w:val="2"/>
          </w:tcPr>
          <w:p>
            <w:pPr>
              <w:spacing w:after="0"/>
              <w:rPr>
                <w:sz w:val="8"/>
                <w:szCs w:val="8"/>
                <w:color w:val="auto"/>
              </w:rPr>
            </w:pPr>
          </w:p>
        </w:tc>
      </w:tr>
      <w:tr>
        <w:trPr>
          <w:trHeight w:val="250"/>
        </w:trPr>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w w:val="87"/>
              </w:rPr>
              <w:t>(in thousands</w:t>
            </w:r>
            <w:r>
              <w:rPr>
                <w:rFonts w:ascii="Arial" w:cs="Arial" w:eastAsia="Arial" w:hAnsi="Arial"/>
                <w:sz w:val="14"/>
                <w:szCs w:val="14"/>
                <w:i w:val="1"/>
                <w:iCs w:val="1"/>
                <w:color w:val="auto"/>
                <w:w w:val="87"/>
              </w:rPr>
              <w:t>)</w:t>
            </w:r>
          </w:p>
        </w:tc>
      </w:tr>
      <w:tr>
        <w:trPr>
          <w:trHeight w:val="216"/>
        </w:trPr>
        <w:tc>
          <w:tcPr>
            <w:tcW w:w="760" w:type="dxa"/>
            <w:vAlign w:val="bottom"/>
            <w:gridSpan w:val="2"/>
            <w:shd w:val="clear" w:color="auto" w:fill="EAF9E8"/>
          </w:tcPr>
          <w:p>
            <w:pPr>
              <w:jc w:val="center"/>
              <w:ind w:left="292"/>
              <w:spacing w:after="0"/>
              <w:rPr>
                <w:sz w:val="20"/>
                <w:szCs w:val="20"/>
                <w:color w:val="auto"/>
              </w:rPr>
            </w:pPr>
            <w:r>
              <w:rPr>
                <w:rFonts w:ascii="Arial" w:cs="Arial" w:eastAsia="Arial" w:hAnsi="Arial"/>
                <w:sz w:val="18"/>
                <w:szCs w:val="18"/>
                <w:color w:val="auto"/>
                <w:w w:val="84"/>
              </w:rPr>
              <w:t>2006</w:t>
            </w:r>
          </w:p>
        </w:tc>
        <w:tc>
          <w:tcPr>
            <w:tcW w:w="28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4,526</w:t>
            </w:r>
          </w:p>
        </w:tc>
      </w:tr>
      <w:tr>
        <w:trPr>
          <w:trHeight w:val="216"/>
        </w:trPr>
        <w:tc>
          <w:tcPr>
            <w:tcW w:w="760" w:type="dxa"/>
            <w:vAlign w:val="bottom"/>
            <w:gridSpan w:val="2"/>
          </w:tcPr>
          <w:p>
            <w:pPr>
              <w:jc w:val="center"/>
              <w:ind w:left="292"/>
              <w:spacing w:after="0"/>
              <w:rPr>
                <w:sz w:val="20"/>
                <w:szCs w:val="20"/>
                <w:color w:val="auto"/>
              </w:rPr>
            </w:pPr>
            <w:r>
              <w:rPr>
                <w:rFonts w:ascii="Arial" w:cs="Arial" w:eastAsia="Arial" w:hAnsi="Arial"/>
                <w:sz w:val="18"/>
                <w:szCs w:val="18"/>
                <w:color w:val="auto"/>
                <w:w w:val="84"/>
              </w:rPr>
              <w:t>2007</w:t>
            </w: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4,689</w:t>
            </w:r>
          </w:p>
        </w:tc>
      </w:tr>
      <w:tr>
        <w:trPr>
          <w:trHeight w:val="216"/>
        </w:trPr>
        <w:tc>
          <w:tcPr>
            <w:tcW w:w="760" w:type="dxa"/>
            <w:vAlign w:val="bottom"/>
            <w:gridSpan w:val="2"/>
            <w:shd w:val="clear" w:color="auto" w:fill="EAF9E8"/>
          </w:tcPr>
          <w:p>
            <w:pPr>
              <w:jc w:val="center"/>
              <w:ind w:left="292"/>
              <w:spacing w:after="0"/>
              <w:rPr>
                <w:sz w:val="20"/>
                <w:szCs w:val="20"/>
                <w:color w:val="auto"/>
              </w:rPr>
            </w:pPr>
            <w:r>
              <w:rPr>
                <w:rFonts w:ascii="Arial" w:cs="Arial" w:eastAsia="Arial" w:hAnsi="Arial"/>
                <w:sz w:val="18"/>
                <w:szCs w:val="18"/>
                <w:color w:val="auto"/>
                <w:w w:val="84"/>
              </w:rPr>
              <w:t>2008</w:t>
            </w:r>
          </w:p>
        </w:tc>
        <w:tc>
          <w:tcPr>
            <w:tcW w:w="28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4,864</w:t>
            </w:r>
          </w:p>
        </w:tc>
      </w:tr>
      <w:tr>
        <w:trPr>
          <w:trHeight w:val="216"/>
        </w:trPr>
        <w:tc>
          <w:tcPr>
            <w:tcW w:w="760" w:type="dxa"/>
            <w:vAlign w:val="bottom"/>
            <w:gridSpan w:val="2"/>
          </w:tcPr>
          <w:p>
            <w:pPr>
              <w:jc w:val="center"/>
              <w:ind w:left="292"/>
              <w:spacing w:after="0"/>
              <w:rPr>
                <w:sz w:val="20"/>
                <w:szCs w:val="20"/>
                <w:color w:val="auto"/>
              </w:rPr>
            </w:pPr>
            <w:r>
              <w:rPr>
                <w:rFonts w:ascii="Arial" w:cs="Arial" w:eastAsia="Arial" w:hAnsi="Arial"/>
                <w:sz w:val="18"/>
                <w:szCs w:val="18"/>
                <w:color w:val="auto"/>
                <w:w w:val="84"/>
              </w:rPr>
              <w:t>2009</w:t>
            </w: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5,053</w:t>
            </w:r>
          </w:p>
        </w:tc>
      </w:tr>
      <w:tr>
        <w:trPr>
          <w:trHeight w:val="216"/>
        </w:trPr>
        <w:tc>
          <w:tcPr>
            <w:tcW w:w="760" w:type="dxa"/>
            <w:vAlign w:val="bottom"/>
            <w:gridSpan w:val="2"/>
            <w:shd w:val="clear" w:color="auto" w:fill="EAF9E8"/>
          </w:tcPr>
          <w:p>
            <w:pPr>
              <w:jc w:val="center"/>
              <w:ind w:left="292"/>
              <w:spacing w:after="0"/>
              <w:rPr>
                <w:sz w:val="20"/>
                <w:szCs w:val="20"/>
                <w:color w:val="auto"/>
              </w:rPr>
            </w:pPr>
            <w:r>
              <w:rPr>
                <w:rFonts w:ascii="Arial" w:cs="Arial" w:eastAsia="Arial" w:hAnsi="Arial"/>
                <w:sz w:val="18"/>
                <w:szCs w:val="18"/>
                <w:color w:val="auto"/>
                <w:w w:val="84"/>
              </w:rPr>
              <w:t>2010</w:t>
            </w:r>
          </w:p>
        </w:tc>
        <w:tc>
          <w:tcPr>
            <w:tcW w:w="28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5,256</w:t>
            </w:r>
          </w:p>
        </w:tc>
      </w:tr>
      <w:tr>
        <w:trPr>
          <w:trHeight w:val="222"/>
        </w:trPr>
        <w:tc>
          <w:tcPr>
            <w:tcW w:w="3620" w:type="dxa"/>
            <w:vAlign w:val="bottom"/>
            <w:gridSpan w:val="3"/>
          </w:tcPr>
          <w:p>
            <w:pPr>
              <w:jc w:val="center"/>
              <w:ind w:right="2480"/>
              <w:spacing w:after="0"/>
              <w:rPr>
                <w:sz w:val="20"/>
                <w:szCs w:val="20"/>
                <w:color w:val="auto"/>
              </w:rPr>
            </w:pPr>
            <w:r>
              <w:rPr>
                <w:rFonts w:ascii="Arial" w:cs="Arial" w:eastAsia="Arial" w:hAnsi="Arial"/>
                <w:sz w:val="18"/>
                <w:szCs w:val="18"/>
                <w:color w:val="auto"/>
                <w:w w:val="86"/>
              </w:rPr>
              <w:t>Later years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11,530</w:t>
            </w:r>
          </w:p>
        </w:tc>
      </w:tr>
      <w:tr>
        <w:trPr>
          <w:trHeight w:val="102"/>
        </w:trPr>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r>
      <w:tr>
        <w:trPr>
          <w:trHeight w:val="102"/>
        </w:trPr>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216"/>
        </w:trPr>
        <w:tc>
          <w:tcPr>
            <w:tcW w:w="3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28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35,918</w:t>
            </w:r>
          </w:p>
        </w:tc>
      </w:tr>
      <w:tr>
        <w:trPr>
          <w:trHeight w:val="118"/>
        </w:trPr>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3304540</wp:posOffset>
            </wp:positionH>
            <wp:positionV relativeFrom="paragraph">
              <wp:posOffset>-14605</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-14605</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-14605</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119"/>
        <w:spacing w:after="0" w:line="335" w:lineRule="auto"/>
        <w:rPr>
          <w:sz w:val="20"/>
          <w:szCs w:val="20"/>
          <w:color w:val="auto"/>
        </w:rPr>
      </w:pPr>
      <w:r>
        <w:rPr>
          <w:rFonts w:ascii="Arial" w:cs="Arial" w:eastAsia="Arial" w:hAnsi="Arial"/>
          <w:sz w:val="15"/>
          <w:szCs w:val="15"/>
          <w:color w:val="auto"/>
        </w:rPr>
        <w:t>The estimated fair value of fixed rate debt instruments as of December 31, 2005, 2004 and 2003 was $33.6 million, $37.9 million and $42.6 million, respectively, determined by discounting the future cash flows of each instrument at rates offered for similar debt instruments of comparable maturities as of the respective year-end dates.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Total income taxes for the years ended December 31, 2005, 2004 and 2003 were allocated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840" w:type="dxa"/>
            <w:vAlign w:val="bottom"/>
          </w:tcPr>
          <w:p>
            <w:pPr>
              <w:jc w:val="right"/>
              <w:ind w:right="320"/>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800" w:type="dxa"/>
            <w:vAlign w:val="bottom"/>
          </w:tcPr>
          <w:p>
            <w:pPr>
              <w:jc w:val="right"/>
              <w:ind w:right="278"/>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r>
      <w:tr>
        <w:trPr>
          <w:trHeight w:val="95"/>
        </w:trPr>
        <w:tc>
          <w:tcPr>
            <w:tcW w:w="5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237"/>
        </w:trPr>
        <w:tc>
          <w:tcPr>
            <w:tcW w:w="5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i w:val="1"/>
                <w:iCs w:val="1"/>
                <w:color w:val="auto"/>
                <w:w w:val="82"/>
              </w:rPr>
              <w:t>(in thousands)</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61"/>
        </w:trPr>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60"/>
              <w:spacing w:after="0"/>
              <w:rPr>
                <w:sz w:val="20"/>
                <w:szCs w:val="20"/>
                <w:color w:val="auto"/>
              </w:rPr>
            </w:pPr>
            <w:r>
              <w:rPr>
                <w:rFonts w:ascii="Arial" w:cs="Arial" w:eastAsia="Arial" w:hAnsi="Arial"/>
                <w:sz w:val="14"/>
                <w:szCs w:val="14"/>
                <w:b w:val="1"/>
                <w:bCs w:val="1"/>
                <w:color w:val="auto"/>
                <w:w w:val="99"/>
              </w:rPr>
              <w:t>(Restated)</w:t>
            </w:r>
          </w:p>
        </w:tc>
        <w:tc>
          <w:tcPr>
            <w:tcW w:w="12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(Restated)</w:t>
            </w:r>
          </w:p>
        </w:tc>
      </w:tr>
      <w:tr>
        <w:trPr>
          <w:trHeight w:val="216"/>
        </w:trPr>
        <w:tc>
          <w:tcPr>
            <w:tcW w:w="5220" w:type="dxa"/>
            <w:vAlign w:val="bottom"/>
            <w:shd w:val="clear" w:color="auto" w:fill="EAF9E8"/>
          </w:tcPr>
          <w:p>
            <w:pPr>
              <w:spacing w:after="0"/>
              <w:rPr>
                <w:sz w:val="20"/>
                <w:szCs w:val="20"/>
                <w:color w:val="auto"/>
              </w:rPr>
            </w:pPr>
            <w:r>
              <w:rPr>
                <w:rFonts w:ascii="Arial" w:cs="Arial" w:eastAsia="Arial" w:hAnsi="Arial"/>
                <w:sz w:val="18"/>
                <w:szCs w:val="18"/>
                <w:color w:val="auto"/>
              </w:rPr>
              <w:t>Income tax expense on continuing operations</w:t>
            </w:r>
          </w:p>
        </w:tc>
        <w:tc>
          <w:tcPr>
            <w:tcW w:w="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ind w:right="16"/>
              <w:spacing w:after="0"/>
              <w:rPr>
                <w:sz w:val="20"/>
                <w:szCs w:val="20"/>
                <w:color w:val="auto"/>
              </w:rPr>
            </w:pPr>
            <w:r>
              <w:rPr>
                <w:rFonts w:ascii="Arial" w:cs="Arial" w:eastAsia="Arial" w:hAnsi="Arial"/>
                <w:sz w:val="18"/>
                <w:szCs w:val="18"/>
                <w:color w:val="auto"/>
              </w:rPr>
              <w:t>6,716</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AF9E8"/>
          </w:tcPr>
          <w:p>
            <w:pPr>
              <w:jc w:val="right"/>
              <w:ind w:right="60"/>
              <w:spacing w:after="0"/>
              <w:rPr>
                <w:sz w:val="20"/>
                <w:szCs w:val="20"/>
                <w:color w:val="auto"/>
              </w:rPr>
            </w:pPr>
            <w:r>
              <w:rPr>
                <w:rFonts w:ascii="Arial" w:cs="Arial" w:eastAsia="Arial" w:hAnsi="Arial"/>
                <w:sz w:val="18"/>
                <w:szCs w:val="18"/>
                <w:color w:val="auto"/>
              </w:rPr>
              <w:t>5,921</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AF9E8"/>
          </w:tcPr>
          <w:p>
            <w:pPr>
              <w:jc w:val="right"/>
              <w:ind w:right="18"/>
              <w:spacing w:after="0"/>
              <w:rPr>
                <w:sz w:val="20"/>
                <w:szCs w:val="20"/>
                <w:color w:val="auto"/>
              </w:rPr>
            </w:pPr>
            <w:r>
              <w:rPr>
                <w:rFonts w:ascii="Arial" w:cs="Arial" w:eastAsia="Arial" w:hAnsi="Arial"/>
                <w:sz w:val="18"/>
                <w:szCs w:val="18"/>
                <w:color w:val="auto"/>
              </w:rPr>
              <w:t>5,166</w:t>
            </w:r>
          </w:p>
        </w:tc>
        <w:tc>
          <w:tcPr>
            <w:tcW w:w="20" w:type="dxa"/>
            <w:vAlign w:val="bottom"/>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Income taxes on discontinued operations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14,414</w:t>
            </w:r>
          </w:p>
        </w:tc>
        <w:tc>
          <w:tcPr>
            <w:tcW w:w="20" w:type="dxa"/>
            <w:vAlign w:val="bottom"/>
          </w:tcPr>
          <w:p>
            <w:pPr>
              <w:spacing w:after="0"/>
              <w:rPr>
                <w:sz w:val="18"/>
                <w:szCs w:val="18"/>
                <w:color w:val="auto"/>
              </w:rPr>
            </w:pPr>
          </w:p>
        </w:tc>
      </w:tr>
      <w:tr>
        <w:trPr>
          <w:trHeight w:val="216"/>
        </w:trPr>
        <w:tc>
          <w:tcPr>
            <w:tcW w:w="5220" w:type="dxa"/>
            <w:vAlign w:val="bottom"/>
            <w:shd w:val="clear" w:color="auto" w:fill="EAF9E8"/>
          </w:tcPr>
          <w:p>
            <w:pPr>
              <w:spacing w:after="0"/>
              <w:rPr>
                <w:sz w:val="20"/>
                <w:szCs w:val="20"/>
                <w:color w:val="auto"/>
              </w:rPr>
            </w:pPr>
            <w:r>
              <w:rPr>
                <w:rFonts w:ascii="Arial" w:cs="Arial" w:eastAsia="Arial" w:hAnsi="Arial"/>
                <w:sz w:val="18"/>
                <w:szCs w:val="18"/>
                <w:color w:val="auto"/>
              </w:rPr>
              <w:t>Income tax from cumulative effect of an accounting change</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00" w:type="dxa"/>
            <w:vAlign w:val="bottom"/>
            <w:shd w:val="clear" w:color="auto" w:fill="EAF9E8"/>
          </w:tcPr>
          <w:p>
            <w:pPr>
              <w:jc w:val="right"/>
              <w:ind w:right="16"/>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840" w:type="dxa"/>
            <w:vAlign w:val="bottom"/>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r>
      <w:tr>
        <w:trPr>
          <w:trHeight w:val="208"/>
        </w:trPr>
        <w:tc>
          <w:tcPr>
            <w:tcW w:w="5220" w:type="dxa"/>
            <w:vAlign w:val="bottom"/>
          </w:tcPr>
          <w:p>
            <w:pPr>
              <w:spacing w:after="0"/>
              <w:rPr>
                <w:sz w:val="20"/>
                <w:szCs w:val="20"/>
                <w:color w:val="auto"/>
              </w:rPr>
            </w:pPr>
            <w:r>
              <w:rPr>
                <w:rFonts w:ascii="Arial" w:cs="Arial" w:eastAsia="Arial" w:hAnsi="Arial"/>
                <w:sz w:val="18"/>
                <w:szCs w:val="18"/>
                <w:color w:val="auto"/>
                <w:w w:val="91"/>
              </w:rPr>
              <w:t>Accumulated other comprehensive income for unrealized holding gains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5220" w:type="dxa"/>
            <w:vAlign w:val="bottom"/>
          </w:tcPr>
          <w:p>
            <w:pPr>
              <w:ind w:left="160"/>
              <w:spacing w:after="0"/>
              <w:rPr>
                <w:sz w:val="20"/>
                <w:szCs w:val="20"/>
                <w:color w:val="auto"/>
              </w:rPr>
            </w:pPr>
            <w:r>
              <w:rPr>
                <w:rFonts w:ascii="Arial" w:cs="Arial" w:eastAsia="Arial" w:hAnsi="Arial"/>
                <w:sz w:val="18"/>
                <w:szCs w:val="18"/>
                <w:color w:val="auto"/>
              </w:rPr>
              <w:t>(losses) on equity securities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r>
      <w:tr>
        <w:trPr>
          <w:trHeight w:val="110"/>
        </w:trPr>
        <w:tc>
          <w:tcPr>
            <w:tcW w:w="5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102"/>
        </w:trPr>
        <w:tc>
          <w:tcPr>
            <w:tcW w:w="5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5220" w:type="dxa"/>
            <w:vAlign w:val="bottom"/>
            <w:shd w:val="clear" w:color="auto" w:fill="EAF9E8"/>
          </w:tcPr>
          <w:p>
            <w:pPr>
              <w:spacing w:after="0"/>
              <w:rPr>
                <w:sz w:val="18"/>
                <w:szCs w:val="18"/>
                <w:color w:val="auto"/>
              </w:rPr>
            </w:pPr>
          </w:p>
        </w:tc>
        <w:tc>
          <w:tcPr>
            <w:tcW w:w="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ind w:right="16"/>
              <w:spacing w:after="0"/>
              <w:rPr>
                <w:sz w:val="20"/>
                <w:szCs w:val="20"/>
                <w:color w:val="auto"/>
              </w:rPr>
            </w:pPr>
            <w:r>
              <w:rPr>
                <w:rFonts w:ascii="Arial" w:cs="Arial" w:eastAsia="Arial" w:hAnsi="Arial"/>
                <w:sz w:val="18"/>
                <w:szCs w:val="18"/>
                <w:color w:val="auto"/>
              </w:rPr>
              <w:t>6,676</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AF9E8"/>
          </w:tcPr>
          <w:p>
            <w:pPr>
              <w:jc w:val="right"/>
              <w:ind w:right="60"/>
              <w:spacing w:after="0"/>
              <w:rPr>
                <w:sz w:val="20"/>
                <w:szCs w:val="20"/>
                <w:color w:val="auto"/>
              </w:rPr>
            </w:pPr>
            <w:r>
              <w:rPr>
                <w:rFonts w:ascii="Arial" w:cs="Arial" w:eastAsia="Arial" w:hAnsi="Arial"/>
                <w:sz w:val="18"/>
                <w:szCs w:val="18"/>
                <w:color w:val="auto"/>
              </w:rPr>
              <w:t>5,942</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AF9E8"/>
          </w:tcPr>
          <w:p>
            <w:pPr>
              <w:jc w:val="right"/>
              <w:ind w:right="18"/>
              <w:spacing w:after="0"/>
              <w:rPr>
                <w:sz w:val="20"/>
                <w:szCs w:val="20"/>
                <w:color w:val="auto"/>
              </w:rPr>
            </w:pPr>
            <w:r>
              <w:rPr>
                <w:rFonts w:ascii="Arial" w:cs="Arial" w:eastAsia="Arial" w:hAnsi="Arial"/>
                <w:sz w:val="18"/>
                <w:szCs w:val="18"/>
                <w:color w:val="auto"/>
              </w:rPr>
              <w:t>19,551</w:t>
            </w:r>
          </w:p>
        </w:tc>
        <w:tc>
          <w:tcPr>
            <w:tcW w:w="20" w:type="dxa"/>
            <w:vAlign w:val="bottom"/>
          </w:tcPr>
          <w:p>
            <w:pPr>
              <w:spacing w:after="0"/>
              <w:rPr>
                <w:sz w:val="18"/>
                <w:szCs w:val="18"/>
                <w:color w:val="auto"/>
              </w:rPr>
            </w:pPr>
          </w:p>
        </w:tc>
      </w:tr>
      <w:tr>
        <w:trPr>
          <w:trHeight w:val="118"/>
        </w:trPr>
        <w:tc>
          <w:tcPr>
            <w:tcW w:w="5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3441700</wp:posOffset>
            </wp:positionH>
            <wp:positionV relativeFrom="paragraph">
              <wp:posOffset>-14605</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-14605</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-14605</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-14605</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-14605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-14605</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-14605</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-14605</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-14605</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159"/>
        <w:spacing w:after="0" w:line="332" w:lineRule="auto"/>
        <w:rPr>
          <w:sz w:val="20"/>
          <w:szCs w:val="20"/>
          <w:color w:val="auto"/>
        </w:rPr>
      </w:pPr>
      <w:r>
        <w:rPr>
          <w:rFonts w:ascii="Arial" w:cs="Arial" w:eastAsia="Arial" w:hAnsi="Arial"/>
          <w:sz w:val="16"/>
          <w:szCs w:val="16"/>
          <w:color w:val="auto"/>
        </w:rPr>
        <w:t>The Company and its subsidiaries file income tax returns in several jurisdictions. The provision for the federal and state income taxes attributable to income from continuing operations consists of the following components: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6"/>
          </w:tcPr>
          <w:p>
            <w:pPr>
              <w:ind w:left="320"/>
              <w:spacing w:after="0"/>
              <w:rPr>
                <w:sz w:val="20"/>
                <w:szCs w:val="20"/>
                <w:color w:val="auto"/>
              </w:rPr>
            </w:pPr>
            <w:r>
              <w:rPr>
                <w:rFonts w:ascii="Arial" w:cs="Arial" w:eastAsia="Arial" w:hAnsi="Arial"/>
                <w:sz w:val="14"/>
                <w:szCs w:val="14"/>
                <w:b w:val="1"/>
                <w:bCs w:val="1"/>
                <w:color w:val="auto"/>
              </w:rPr>
              <w:t>Years Ended December 31,</w:t>
            </w:r>
          </w:p>
        </w:tc>
      </w:tr>
      <w:tr>
        <w:trPr>
          <w:trHeight w:val="95"/>
        </w:trPr>
        <w:tc>
          <w:tcPr>
            <w:tcW w:w="33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263"/>
        </w:trPr>
        <w:tc>
          <w:tcPr>
            <w:tcW w:w="338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237"/>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2"/>
                <w:szCs w:val="22"/>
                <w:color w:val="auto"/>
              </w:rPr>
            </w:pPr>
          </w:p>
        </w:tc>
        <w:tc>
          <w:tcPr>
            <w:tcW w:w="760" w:type="dxa"/>
            <w:vAlign w:val="bottom"/>
          </w:tcPr>
          <w:p>
            <w:pPr>
              <w:jc w:val="right"/>
              <w:ind w:right="297"/>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800" w:type="dxa"/>
            <w:vAlign w:val="bottom"/>
          </w:tcPr>
          <w:p>
            <w:pPr>
              <w:jc w:val="right"/>
              <w:ind w:right="277"/>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r>
      <w:tr>
        <w:trPr>
          <w:trHeight w:val="95"/>
        </w:trPr>
        <w:tc>
          <w:tcPr>
            <w:tcW w:w="33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237"/>
        </w:trPr>
        <w:tc>
          <w:tcPr>
            <w:tcW w:w="33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w w:val="84"/>
              </w:rPr>
              <w:t>(in thousands)</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61"/>
        </w:trPr>
        <w:tc>
          <w:tcPr>
            <w:tcW w:w="33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77"/>
              <w:spacing w:after="0"/>
              <w:rPr>
                <w:sz w:val="20"/>
                <w:szCs w:val="20"/>
                <w:color w:val="auto"/>
              </w:rPr>
            </w:pPr>
            <w:r>
              <w:rPr>
                <w:rFonts w:ascii="Arial" w:cs="Arial" w:eastAsia="Arial" w:hAnsi="Arial"/>
                <w:sz w:val="14"/>
                <w:szCs w:val="14"/>
                <w:b w:val="1"/>
                <w:bCs w:val="1"/>
                <w:color w:val="auto"/>
                <w:w w:val="84"/>
              </w:rPr>
              <w:t>(Restated)</w:t>
            </w:r>
          </w:p>
        </w:tc>
        <w:tc>
          <w:tcPr>
            <w:tcW w:w="8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(Restated)</w:t>
            </w:r>
          </w:p>
        </w:tc>
      </w:tr>
      <w:tr>
        <w:trPr>
          <w:trHeight w:val="216"/>
        </w:trPr>
        <w:tc>
          <w:tcPr>
            <w:tcW w:w="3380" w:type="dxa"/>
            <w:vAlign w:val="bottom"/>
            <w:shd w:val="clear" w:color="auto" w:fill="EAF9E8"/>
          </w:tcPr>
          <w:p>
            <w:pPr>
              <w:spacing w:after="0"/>
              <w:rPr>
                <w:sz w:val="20"/>
                <w:szCs w:val="20"/>
                <w:color w:val="auto"/>
              </w:rPr>
            </w:pPr>
            <w:r>
              <w:rPr>
                <w:rFonts w:ascii="Arial" w:cs="Arial" w:eastAsia="Arial" w:hAnsi="Arial"/>
                <w:sz w:val="18"/>
                <w:szCs w:val="18"/>
                <w:color w:val="auto"/>
              </w:rPr>
              <w:t>Current expense</w:t>
            </w:r>
          </w:p>
        </w:tc>
        <w:tc>
          <w:tcPr>
            <w:tcW w:w="2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tcPr>
          <w:p>
            <w:pPr>
              <w:ind w:left="640"/>
              <w:spacing w:after="0"/>
              <w:rPr>
                <w:sz w:val="20"/>
                <w:szCs w:val="20"/>
                <w:color w:val="auto"/>
              </w:rPr>
            </w:pPr>
            <w:r>
              <w:rPr>
                <w:rFonts w:ascii="Arial" w:cs="Arial" w:eastAsia="Arial" w:hAnsi="Arial"/>
                <w:sz w:val="18"/>
                <w:szCs w:val="18"/>
                <w:color w:val="auto"/>
              </w:rPr>
              <w:t>Federal taxes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7"/>
              <w:spacing w:after="0"/>
              <w:rPr>
                <w:sz w:val="20"/>
                <w:szCs w:val="20"/>
                <w:color w:val="auto"/>
              </w:rPr>
            </w:pPr>
            <w:r>
              <w:rPr>
                <w:rFonts w:ascii="Arial" w:cs="Arial" w:eastAsia="Arial" w:hAnsi="Arial"/>
                <w:sz w:val="18"/>
                <w:szCs w:val="18"/>
                <w:color w:val="auto"/>
              </w:rPr>
              <w:t>7,356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(323)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762</w:t>
            </w:r>
          </w:p>
        </w:tc>
        <w:tc>
          <w:tcPr>
            <w:tcW w:w="20" w:type="dxa"/>
            <w:vAlign w:val="bottom"/>
          </w:tcPr>
          <w:p>
            <w:pPr>
              <w:spacing w:after="0"/>
              <w:rPr>
                <w:sz w:val="18"/>
                <w:szCs w:val="18"/>
                <w:color w:val="auto"/>
              </w:rPr>
            </w:pPr>
          </w:p>
        </w:tc>
      </w:tr>
      <w:tr>
        <w:trPr>
          <w:trHeight w:val="216"/>
        </w:trPr>
        <w:tc>
          <w:tcPr>
            <w:tcW w:w="3380" w:type="dxa"/>
            <w:vAlign w:val="bottom"/>
            <w:shd w:val="clear" w:color="auto" w:fill="EAF9E8"/>
          </w:tcPr>
          <w:p>
            <w:pPr>
              <w:ind w:left="640"/>
              <w:spacing w:after="0"/>
              <w:rPr>
                <w:sz w:val="20"/>
                <w:szCs w:val="20"/>
                <w:color w:val="auto"/>
              </w:rPr>
            </w:pPr>
            <w:r>
              <w:rPr>
                <w:rFonts w:ascii="Arial" w:cs="Arial" w:eastAsia="Arial" w:hAnsi="Arial"/>
                <w:sz w:val="18"/>
                <w:szCs w:val="18"/>
                <w:color w:val="auto"/>
              </w:rPr>
              <w:t>State taxes</w:t>
            </w:r>
          </w:p>
        </w:tc>
        <w:tc>
          <w:tcPr>
            <w:tcW w:w="2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60" w:type="dxa"/>
            <w:vAlign w:val="bottom"/>
            <w:shd w:val="clear" w:color="auto" w:fill="EAF9E8"/>
          </w:tcPr>
          <w:p>
            <w:pPr>
              <w:jc w:val="right"/>
              <w:ind w:right="77"/>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EAF9E8"/>
          </w:tcPr>
          <w:p>
            <w:pPr>
              <w:spacing w:after="0"/>
              <w:rPr>
                <w:sz w:val="18"/>
                <w:szCs w:val="18"/>
                <w:color w:val="auto"/>
              </w:rPr>
            </w:pPr>
          </w:p>
        </w:tc>
        <w:tc>
          <w:tcPr>
            <w:tcW w:w="760" w:type="dxa"/>
            <w:vAlign w:val="bottom"/>
            <w:shd w:val="clear" w:color="auto" w:fill="EAF9E8"/>
          </w:tcPr>
          <w:p>
            <w:pPr>
              <w:jc w:val="right"/>
              <w:ind w:right="77"/>
              <w:spacing w:after="0"/>
              <w:rPr>
                <w:sz w:val="20"/>
                <w:szCs w:val="20"/>
                <w:color w:val="auto"/>
              </w:rPr>
            </w:pPr>
            <w:r>
              <w:rPr>
                <w:rFonts w:ascii="Arial" w:cs="Arial" w:eastAsia="Arial" w:hAnsi="Arial"/>
                <w:sz w:val="18"/>
                <w:szCs w:val="18"/>
                <w:color w:val="auto"/>
              </w:rPr>
              <w:t>442</w:t>
            </w:r>
          </w:p>
        </w:tc>
        <w:tc>
          <w:tcPr>
            <w:tcW w:w="8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17"/>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r>
      <w:tr>
        <w:trPr>
          <w:trHeight w:val="108"/>
        </w:trPr>
        <w:tc>
          <w:tcPr>
            <w:tcW w:w="33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316"/>
        </w:trPr>
        <w:tc>
          <w:tcPr>
            <w:tcW w:w="3380" w:type="dxa"/>
            <w:vAlign w:val="bottom"/>
          </w:tcPr>
          <w:p>
            <w:pPr>
              <w:ind w:left="640"/>
              <w:spacing w:after="0"/>
              <w:rPr>
                <w:sz w:val="20"/>
                <w:szCs w:val="20"/>
                <w:color w:val="auto"/>
              </w:rPr>
            </w:pPr>
            <w:r>
              <w:rPr>
                <w:rFonts w:ascii="Arial" w:cs="Arial" w:eastAsia="Arial" w:hAnsi="Arial"/>
                <w:sz w:val="18"/>
                <w:szCs w:val="18"/>
                <w:color w:val="auto"/>
              </w:rPr>
              <w:t>Total current provision (benefit)</w:t>
            </w: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77"/>
              <w:spacing w:after="0"/>
              <w:rPr>
                <w:sz w:val="20"/>
                <w:szCs w:val="20"/>
                <w:color w:val="auto"/>
              </w:rPr>
            </w:pPr>
            <w:r>
              <w:rPr>
                <w:rFonts w:ascii="Arial" w:cs="Arial" w:eastAsia="Arial" w:hAnsi="Arial"/>
                <w:sz w:val="18"/>
                <w:szCs w:val="18"/>
                <w:color w:val="auto"/>
              </w:rPr>
              <w:t>8,224</w:t>
            </w:r>
          </w:p>
        </w:tc>
        <w:tc>
          <w:tcPr>
            <w:tcW w:w="100" w:type="dxa"/>
            <w:vAlign w:val="bottom"/>
          </w:tcPr>
          <w:p>
            <w:pPr>
              <w:spacing w:after="0"/>
              <w:rPr>
                <w:sz w:val="24"/>
                <w:szCs w:val="24"/>
                <w:color w:val="auto"/>
              </w:rPr>
            </w:pPr>
          </w:p>
        </w:tc>
        <w:tc>
          <w:tcPr>
            <w:tcW w:w="760" w:type="dxa"/>
            <w:vAlign w:val="bottom"/>
          </w:tcPr>
          <w:p>
            <w:pPr>
              <w:jc w:val="right"/>
              <w:ind w:right="77"/>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909</w:t>
            </w:r>
          </w:p>
        </w:tc>
        <w:tc>
          <w:tcPr>
            <w:tcW w:w="20" w:type="dxa"/>
            <w:vAlign w:val="bottom"/>
          </w:tcPr>
          <w:p>
            <w:pPr>
              <w:spacing w:after="0"/>
              <w:rPr>
                <w:sz w:val="24"/>
                <w:szCs w:val="24"/>
                <w:color w:val="auto"/>
              </w:rPr>
            </w:pPr>
          </w:p>
        </w:tc>
      </w:tr>
      <w:tr>
        <w:trPr>
          <w:trHeight w:val="218"/>
        </w:trPr>
        <w:tc>
          <w:tcPr>
            <w:tcW w:w="3380" w:type="dxa"/>
            <w:vAlign w:val="bottom"/>
            <w:shd w:val="clear" w:color="auto" w:fill="EAF9E8"/>
          </w:tcPr>
          <w:p>
            <w:pPr>
              <w:spacing w:after="0"/>
              <w:rPr>
                <w:sz w:val="20"/>
                <w:szCs w:val="20"/>
                <w:color w:val="auto"/>
              </w:rPr>
            </w:pPr>
            <w:r>
              <w:rPr>
                <w:rFonts w:ascii="Arial" w:cs="Arial" w:eastAsia="Arial" w:hAnsi="Arial"/>
                <w:sz w:val="18"/>
                <w:szCs w:val="18"/>
                <w:color w:val="auto"/>
              </w:rPr>
              <w:t>Deferred expense</w:t>
            </w:r>
          </w:p>
        </w:tc>
        <w:tc>
          <w:tcPr>
            <w:tcW w:w="2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tcPr>
          <w:p>
            <w:pPr>
              <w:ind w:left="640"/>
              <w:spacing w:after="0"/>
              <w:rPr>
                <w:sz w:val="20"/>
                <w:szCs w:val="20"/>
                <w:color w:val="auto"/>
              </w:rPr>
            </w:pPr>
            <w:r>
              <w:rPr>
                <w:rFonts w:ascii="Arial" w:cs="Arial" w:eastAsia="Arial" w:hAnsi="Arial"/>
                <w:sz w:val="18"/>
                <w:szCs w:val="18"/>
                <w:color w:val="auto"/>
              </w:rPr>
              <w:t>Federal taxes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18"/>
                <w:szCs w:val="18"/>
                <w:color w:val="auto"/>
              </w:rPr>
            </w:pPr>
          </w:p>
        </w:tc>
        <w:tc>
          <w:tcPr>
            <w:tcW w:w="760" w:type="dxa"/>
            <w:vAlign w:val="bottom"/>
          </w:tcPr>
          <w:p>
            <w:pPr>
              <w:jc w:val="right"/>
              <w:ind w:right="77"/>
              <w:spacing w:after="0"/>
              <w:rPr>
                <w:sz w:val="20"/>
                <w:szCs w:val="20"/>
                <w:color w:val="auto"/>
              </w:rPr>
            </w:pPr>
            <w:r>
              <w:rPr>
                <w:rFonts w:ascii="Arial" w:cs="Arial" w:eastAsia="Arial" w:hAnsi="Arial"/>
                <w:sz w:val="18"/>
                <w:szCs w:val="18"/>
                <w:color w:val="auto"/>
              </w:rPr>
              <w:t>5,402</w:t>
            </w:r>
          </w:p>
        </w:tc>
        <w:tc>
          <w:tcPr>
            <w:tcW w:w="80" w:type="dxa"/>
            <w:vAlign w:val="bottom"/>
          </w:tcPr>
          <w:p>
            <w:pPr>
              <w:spacing w:after="0"/>
              <w:rPr>
                <w:sz w:val="18"/>
                <w:szCs w:val="18"/>
                <w:color w:val="auto"/>
              </w:rPr>
            </w:pP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3,981</w:t>
            </w:r>
          </w:p>
        </w:tc>
        <w:tc>
          <w:tcPr>
            <w:tcW w:w="20" w:type="dxa"/>
            <w:vAlign w:val="bottom"/>
          </w:tcPr>
          <w:p>
            <w:pPr>
              <w:spacing w:after="0"/>
              <w:rPr>
                <w:sz w:val="18"/>
                <w:szCs w:val="18"/>
                <w:color w:val="auto"/>
              </w:rPr>
            </w:pPr>
          </w:p>
        </w:tc>
      </w:tr>
      <w:tr>
        <w:trPr>
          <w:trHeight w:val="216"/>
        </w:trPr>
        <w:tc>
          <w:tcPr>
            <w:tcW w:w="3380" w:type="dxa"/>
            <w:vAlign w:val="bottom"/>
            <w:shd w:val="clear" w:color="auto" w:fill="EAF9E8"/>
          </w:tcPr>
          <w:p>
            <w:pPr>
              <w:ind w:left="640"/>
              <w:spacing w:after="0"/>
              <w:rPr>
                <w:sz w:val="20"/>
                <w:szCs w:val="20"/>
                <w:color w:val="auto"/>
              </w:rPr>
            </w:pPr>
            <w:r>
              <w:rPr>
                <w:rFonts w:ascii="Arial" w:cs="Arial" w:eastAsia="Arial" w:hAnsi="Arial"/>
                <w:sz w:val="18"/>
                <w:szCs w:val="18"/>
                <w:color w:val="auto"/>
              </w:rPr>
              <w:t>State taxes</w:t>
            </w:r>
          </w:p>
        </w:tc>
        <w:tc>
          <w:tcPr>
            <w:tcW w:w="2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60" w:type="dxa"/>
            <w:vAlign w:val="bottom"/>
            <w:shd w:val="clear" w:color="auto" w:fill="EAF9E8"/>
          </w:tcPr>
          <w:p>
            <w:pPr>
              <w:jc w:val="right"/>
              <w:ind w:right="17"/>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EAF9E8"/>
          </w:tcPr>
          <w:p>
            <w:pPr>
              <w:spacing w:after="0"/>
              <w:rPr>
                <w:sz w:val="18"/>
                <w:szCs w:val="18"/>
                <w:color w:val="auto"/>
              </w:rPr>
            </w:pPr>
          </w:p>
        </w:tc>
        <w:tc>
          <w:tcPr>
            <w:tcW w:w="760" w:type="dxa"/>
            <w:vAlign w:val="bottom"/>
            <w:shd w:val="clear" w:color="auto" w:fill="EAF9E8"/>
          </w:tcPr>
          <w:p>
            <w:pPr>
              <w:jc w:val="right"/>
              <w:ind w:right="77"/>
              <w:spacing w:after="0"/>
              <w:rPr>
                <w:sz w:val="20"/>
                <w:szCs w:val="20"/>
                <w:color w:val="auto"/>
              </w:rPr>
            </w:pPr>
            <w:r>
              <w:rPr>
                <w:rFonts w:ascii="Arial" w:cs="Arial" w:eastAsia="Arial" w:hAnsi="Arial"/>
                <w:sz w:val="18"/>
                <w:szCs w:val="18"/>
                <w:color w:val="auto"/>
              </w:rPr>
              <w:t>400</w:t>
            </w:r>
          </w:p>
        </w:tc>
        <w:tc>
          <w:tcPr>
            <w:tcW w:w="8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17"/>
              <w:spacing w:after="0"/>
              <w:rPr>
                <w:sz w:val="20"/>
                <w:szCs w:val="20"/>
                <w:color w:val="auto"/>
              </w:rPr>
            </w:pPr>
            <w:r>
              <w:rPr>
                <w:rFonts w:ascii="Arial" w:cs="Arial" w:eastAsia="Arial" w:hAnsi="Arial"/>
                <w:sz w:val="18"/>
                <w:szCs w:val="18"/>
                <w:color w:val="auto"/>
              </w:rPr>
              <w:t>276</w:t>
            </w:r>
          </w:p>
        </w:tc>
        <w:tc>
          <w:tcPr>
            <w:tcW w:w="20" w:type="dxa"/>
            <w:vAlign w:val="bottom"/>
          </w:tcPr>
          <w:p>
            <w:pPr>
              <w:spacing w:after="0"/>
              <w:rPr>
                <w:sz w:val="18"/>
                <w:szCs w:val="18"/>
                <w:color w:val="auto"/>
              </w:rPr>
            </w:pPr>
          </w:p>
        </w:tc>
      </w:tr>
      <w:tr>
        <w:trPr>
          <w:trHeight w:val="108"/>
        </w:trPr>
        <w:tc>
          <w:tcPr>
            <w:tcW w:w="33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316"/>
        </w:trPr>
        <w:tc>
          <w:tcPr>
            <w:tcW w:w="3380" w:type="dxa"/>
            <w:vAlign w:val="bottom"/>
          </w:tcPr>
          <w:p>
            <w:pPr>
              <w:ind w:left="640"/>
              <w:spacing w:after="0"/>
              <w:rPr>
                <w:sz w:val="20"/>
                <w:szCs w:val="20"/>
                <w:color w:val="auto"/>
              </w:rPr>
            </w:pPr>
            <w:r>
              <w:rPr>
                <w:rFonts w:ascii="Arial" w:cs="Arial" w:eastAsia="Arial" w:hAnsi="Arial"/>
                <w:sz w:val="18"/>
                <w:szCs w:val="18"/>
                <w:color w:val="auto"/>
              </w:rPr>
              <w:t>Total deferred provision</w:t>
            </w: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17"/>
              <w:spacing w:after="0"/>
              <w:rPr>
                <w:sz w:val="20"/>
                <w:szCs w:val="20"/>
                <w:color w:val="auto"/>
              </w:rPr>
            </w:pPr>
            <w:r>
              <w:rPr>
                <w:rFonts w:ascii="Arial" w:cs="Arial" w:eastAsia="Arial" w:hAnsi="Arial"/>
                <w:sz w:val="18"/>
                <w:szCs w:val="18"/>
                <w:color w:val="auto"/>
                <w:w w:val="94"/>
              </w:rPr>
              <w:t>(1,508)</w:t>
            </w:r>
          </w:p>
        </w:tc>
        <w:tc>
          <w:tcPr>
            <w:tcW w:w="100" w:type="dxa"/>
            <w:vAlign w:val="bottom"/>
          </w:tcPr>
          <w:p>
            <w:pPr>
              <w:spacing w:after="0"/>
              <w:rPr>
                <w:sz w:val="24"/>
                <w:szCs w:val="24"/>
                <w:color w:val="auto"/>
              </w:rPr>
            </w:pPr>
          </w:p>
        </w:tc>
        <w:tc>
          <w:tcPr>
            <w:tcW w:w="760" w:type="dxa"/>
            <w:vAlign w:val="bottom"/>
          </w:tcPr>
          <w:p>
            <w:pPr>
              <w:jc w:val="right"/>
              <w:ind w:right="77"/>
              <w:spacing w:after="0"/>
              <w:rPr>
                <w:sz w:val="20"/>
                <w:szCs w:val="20"/>
                <w:color w:val="auto"/>
              </w:rPr>
            </w:pPr>
            <w:r>
              <w:rPr>
                <w:rFonts w:ascii="Arial" w:cs="Arial" w:eastAsia="Arial" w:hAnsi="Arial"/>
                <w:sz w:val="18"/>
                <w:szCs w:val="18"/>
                <w:color w:val="auto"/>
              </w:rPr>
              <w:t>5,802</w:t>
            </w:r>
          </w:p>
        </w:tc>
        <w:tc>
          <w:tcPr>
            <w:tcW w:w="8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4,257</w:t>
            </w:r>
          </w:p>
        </w:tc>
        <w:tc>
          <w:tcPr>
            <w:tcW w:w="20" w:type="dxa"/>
            <w:vAlign w:val="bottom"/>
          </w:tcPr>
          <w:p>
            <w:pPr>
              <w:spacing w:after="0"/>
              <w:rPr>
                <w:sz w:val="24"/>
                <w:szCs w:val="24"/>
                <w:color w:val="auto"/>
              </w:rPr>
            </w:pPr>
          </w:p>
        </w:tc>
      </w:tr>
      <w:tr>
        <w:trPr>
          <w:trHeight w:val="110"/>
        </w:trPr>
        <w:tc>
          <w:tcPr>
            <w:tcW w:w="33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102"/>
        </w:trPr>
        <w:tc>
          <w:tcPr>
            <w:tcW w:w="33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33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Income tax expense</w:t>
            </w:r>
          </w:p>
        </w:tc>
        <w:tc>
          <w:tcPr>
            <w:tcW w:w="23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AF9E8"/>
          </w:tcPr>
          <w:p>
            <w:pPr>
              <w:jc w:val="right"/>
              <w:ind w:right="77"/>
              <w:spacing w:after="0"/>
              <w:rPr>
                <w:sz w:val="20"/>
                <w:szCs w:val="20"/>
                <w:color w:val="auto"/>
              </w:rPr>
            </w:pPr>
            <w:r>
              <w:rPr>
                <w:rFonts w:ascii="Arial" w:cs="Arial" w:eastAsia="Arial" w:hAnsi="Arial"/>
                <w:sz w:val="18"/>
                <w:szCs w:val="18"/>
                <w:color w:val="auto"/>
              </w:rPr>
              <w:t>6,716</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EAF9E8"/>
          </w:tcPr>
          <w:p>
            <w:pPr>
              <w:jc w:val="right"/>
              <w:ind w:right="77"/>
              <w:spacing w:after="0"/>
              <w:rPr>
                <w:sz w:val="20"/>
                <w:szCs w:val="20"/>
                <w:color w:val="auto"/>
              </w:rPr>
            </w:pPr>
            <w:r>
              <w:rPr>
                <w:rFonts w:ascii="Arial" w:cs="Arial" w:eastAsia="Arial" w:hAnsi="Arial"/>
                <w:sz w:val="18"/>
                <w:szCs w:val="18"/>
                <w:color w:val="auto"/>
              </w:rPr>
              <w:t>5,921</w:t>
            </w:r>
          </w:p>
        </w:tc>
        <w:tc>
          <w:tcPr>
            <w:tcW w:w="8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EAF9E8"/>
          </w:tcPr>
          <w:p>
            <w:pPr>
              <w:jc w:val="right"/>
              <w:ind w:right="17"/>
              <w:spacing w:after="0"/>
              <w:rPr>
                <w:sz w:val="20"/>
                <w:szCs w:val="20"/>
                <w:color w:val="auto"/>
              </w:rPr>
            </w:pPr>
            <w:r>
              <w:rPr>
                <w:rFonts w:ascii="Arial" w:cs="Arial" w:eastAsia="Arial" w:hAnsi="Arial"/>
                <w:sz w:val="18"/>
                <w:szCs w:val="18"/>
                <w:color w:val="auto"/>
              </w:rPr>
              <w:t>5,166</w:t>
            </w:r>
          </w:p>
        </w:tc>
        <w:tc>
          <w:tcPr>
            <w:tcW w:w="20" w:type="dxa"/>
            <w:vAlign w:val="bottom"/>
          </w:tcPr>
          <w:p>
            <w:pPr>
              <w:spacing w:after="0"/>
              <w:rPr>
                <w:sz w:val="18"/>
                <w:szCs w:val="18"/>
                <w:color w:val="auto"/>
              </w:rPr>
            </w:pPr>
          </w:p>
        </w:tc>
      </w:tr>
      <w:tr>
        <w:trPr>
          <w:trHeight w:val="118"/>
        </w:trPr>
        <w:tc>
          <w:tcPr>
            <w:tcW w:w="33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r>
        <w:trPr>
          <w:trHeight w:val="535"/>
        </w:trPr>
        <w:tc>
          <w:tcPr>
            <w:tcW w:w="3380" w:type="dxa"/>
            <w:vAlign w:val="bottom"/>
          </w:tcPr>
          <w:p>
            <w:pPr>
              <w:spacing w:after="0"/>
              <w:rPr>
                <w:sz w:val="24"/>
                <w:szCs w:val="24"/>
                <w:color w:val="auto"/>
              </w:rPr>
            </w:pPr>
          </w:p>
        </w:tc>
        <w:tc>
          <w:tcPr>
            <w:tcW w:w="2340" w:type="dxa"/>
            <w:vAlign w:val="bottom"/>
            <w:gridSpan w:val="2"/>
          </w:tcPr>
          <w:p>
            <w:pPr>
              <w:jc w:val="right"/>
              <w:ind w:right="1500"/>
              <w:spacing w:after="0"/>
              <w:rPr>
                <w:sz w:val="20"/>
                <w:szCs w:val="20"/>
                <w:color w:val="auto"/>
              </w:rPr>
            </w:pPr>
            <w:r>
              <w:rPr>
                <w:rFonts w:ascii="Arial" w:cs="Arial" w:eastAsia="Arial" w:hAnsi="Arial"/>
                <w:sz w:val="18"/>
                <w:szCs w:val="18"/>
                <w:color w:val="auto"/>
              </w:rPr>
              <w:t>F-23</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3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74"/>
        </w:trPr>
        <w:tc>
          <w:tcPr>
            <w:tcW w:w="3380" w:type="dxa"/>
            <w:vAlign w:val="bottom"/>
            <w:shd w:val="clear" w:color="auto" w:fill="808080"/>
          </w:tcPr>
          <w:p>
            <w:pPr>
              <w:spacing w:after="0"/>
              <w:rPr>
                <w:sz w:val="6"/>
                <w:szCs w:val="6"/>
                <w:color w:val="auto"/>
              </w:rPr>
            </w:pPr>
          </w:p>
        </w:tc>
        <w:tc>
          <w:tcPr>
            <w:tcW w:w="2240" w:type="dxa"/>
            <w:vAlign w:val="bottom"/>
            <w:shd w:val="clear" w:color="auto" w:fill="808080"/>
          </w:tcPr>
          <w:p>
            <w:pPr>
              <w:spacing w:after="0"/>
              <w:rPr>
                <w:sz w:val="6"/>
                <w:szCs w:val="6"/>
                <w:color w:val="auto"/>
              </w:rPr>
            </w:pPr>
          </w:p>
        </w:tc>
        <w:tc>
          <w:tcPr>
            <w:tcW w:w="100" w:type="dxa"/>
            <w:vAlign w:val="bottom"/>
            <w:shd w:val="clear" w:color="auto" w:fill="808080"/>
          </w:tcPr>
          <w:p>
            <w:pPr>
              <w:spacing w:after="0"/>
              <w:rPr>
                <w:sz w:val="6"/>
                <w:szCs w:val="6"/>
                <w:color w:val="auto"/>
              </w:rPr>
            </w:pPr>
          </w:p>
        </w:tc>
        <w:tc>
          <w:tcPr>
            <w:tcW w:w="660" w:type="dxa"/>
            <w:vAlign w:val="bottom"/>
            <w:shd w:val="clear" w:color="auto" w:fill="808080"/>
          </w:tcPr>
          <w:p>
            <w:pPr>
              <w:spacing w:after="0"/>
              <w:rPr>
                <w:sz w:val="6"/>
                <w:szCs w:val="6"/>
                <w:color w:val="auto"/>
              </w:rPr>
            </w:pPr>
          </w:p>
        </w:tc>
        <w:tc>
          <w:tcPr>
            <w:tcW w:w="100" w:type="dxa"/>
            <w:vAlign w:val="bottom"/>
            <w:shd w:val="clear" w:color="auto" w:fill="808080"/>
          </w:tcPr>
          <w:p>
            <w:pPr>
              <w:spacing w:after="0"/>
              <w:rPr>
                <w:sz w:val="6"/>
                <w:szCs w:val="6"/>
                <w:color w:val="auto"/>
              </w:rPr>
            </w:pPr>
          </w:p>
        </w:tc>
        <w:tc>
          <w:tcPr>
            <w:tcW w:w="76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80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-537210</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-537210</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-537210</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-537210</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-537210</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-537210</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-537210</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-537210</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-537210</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-537210</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383" w:right="1440" w:bottom="1440" w:gutter="0" w:footer="0" w:header="0"/>
        </w:sectPr>
      </w:pPr>
    </w:p>
    <w:bookmarkStart w:id="96" w:name="page97"/>
    <w:bookmarkEnd w:id="96"/>
    <w:p>
      <w:pPr>
        <w:ind w:right="2159"/>
        <w:spacing w:after="0" w:line="268" w:lineRule="auto"/>
        <w:rPr>
          <w:sz w:val="20"/>
          <w:szCs w:val="20"/>
          <w:color w:val="auto"/>
        </w:rPr>
      </w:pPr>
      <w:r>
        <w:rPr>
          <w:rFonts w:ascii="Arial" w:cs="Arial" w:eastAsia="Arial" w:hAnsi="Arial"/>
          <w:sz w:val="18"/>
          <w:szCs w:val="18"/>
          <w:color w:val="auto"/>
        </w:rPr>
        <w:t>A reconciliation of income taxes determined by applying the Federal and state tax rates to income from continuing operations is as follows for the years ended December 31, 2005, 2004 and 2003:</w:t>
      </w:r>
    </w:p>
    <w:p>
      <w:pPr>
        <w:spacing w:after="0" w:line="195" w:lineRule="exact"/>
        <w:rPr>
          <w:sz w:val="20"/>
          <w:szCs w:val="20"/>
          <w:color w:val="auto"/>
        </w:rPr>
      </w:pPr>
    </w:p>
    <w:p>
      <w:pPr>
        <w:ind w:left="602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68580</wp:posOffset>
            </wp:positionV>
            <wp:extent cx="162052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ectPr>
          <w:pgSz w:w="11900" w:h="16838" w:orient="portrait"/>
          <w:cols w:equalWidth="0" w:num="1">
            <w:col w:w="10219"/>
          </w:cols>
          <w:pgMar w:left="240" w:top="5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700"/>
        <w:spacing w:after="0" w:line="254" w:lineRule="auto"/>
        <w:rPr>
          <w:sz w:val="20"/>
          <w:szCs w:val="20"/>
          <w:color w:val="auto"/>
        </w:rPr>
      </w:pPr>
      <w:r>
        <w:rPr>
          <w:rFonts w:ascii="Arial" w:cs="Arial" w:eastAsia="Arial" w:hAnsi="Arial"/>
          <w:sz w:val="18"/>
          <w:szCs w:val="18"/>
          <w:color w:val="auto"/>
        </w:rPr>
        <w:t>Computed “expected” tax expense (35% for 2005 and 34% for 2004 and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5145405" cy="2743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145405"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State income taxes, net of federal tax effect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 of change of tax rates on deferred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5145405" cy="13716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14540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net</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145405" cy="13716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14540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220"/>
        <w:spacing w:after="0"/>
        <w:tabs>
          <w:tab w:leader="none" w:pos="1100" w:val="left"/>
          <w:tab w:leader="none" w:pos="1960" w:val="left"/>
        </w:tabs>
        <w:rPr>
          <w:sz w:val="20"/>
          <w:szCs w:val="20"/>
          <w:color w:val="auto"/>
        </w:rPr>
      </w:pPr>
      <w:r>
        <w:rPr>
          <w:rFonts w:ascii="Arial" w:cs="Arial" w:eastAsia="Arial" w:hAnsi="Arial"/>
          <w:sz w:val="14"/>
          <w:szCs w:val="14"/>
          <w:b w:val="1"/>
          <w:bCs w:val="1"/>
          <w:color w:val="auto"/>
        </w:rPr>
        <w:t>2005</w:t>
      </w:r>
      <w:r>
        <w:rPr>
          <w:sz w:val="20"/>
          <w:szCs w:val="20"/>
          <w:color w:val="auto"/>
        </w:rPr>
        <w:tab/>
      </w:r>
      <w:r>
        <w:rPr>
          <w:rFonts w:ascii="Arial" w:cs="Arial" w:eastAsia="Arial" w:hAnsi="Arial"/>
          <w:sz w:val="14"/>
          <w:szCs w:val="14"/>
          <w:b w:val="1"/>
          <w:bCs w:val="1"/>
          <w:color w:val="auto"/>
        </w:rPr>
        <w:t>2004</w:t>
      </w:r>
      <w:r>
        <w:rPr>
          <w:sz w:val="20"/>
          <w:szCs w:val="20"/>
          <w:color w:val="auto"/>
        </w:rPr>
        <w:tab/>
      </w:r>
      <w:r>
        <w:rPr>
          <w:rFonts w:ascii="Arial" w:cs="Arial" w:eastAsia="Arial" w:hAnsi="Arial"/>
          <w:sz w:val="12"/>
          <w:szCs w:val="12"/>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68580</wp:posOffset>
            </wp:positionV>
            <wp:extent cx="162052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199" w:lineRule="exact"/>
        <w:rPr>
          <w:sz w:val="20"/>
          <w:szCs w:val="20"/>
          <w:color w:val="auto"/>
        </w:rPr>
      </w:pPr>
    </w:p>
    <w:p>
      <w:pPr>
        <w:ind w:left="820"/>
        <w:spacing w:after="0"/>
        <w:rPr>
          <w:sz w:val="20"/>
          <w:szCs w:val="20"/>
          <w:color w:val="auto"/>
        </w:rPr>
      </w:pPr>
      <w:r>
        <w:rPr>
          <w:rFonts w:ascii="Arial" w:cs="Arial" w:eastAsia="Arial" w:hAnsi="Arial"/>
          <w:sz w:val="14"/>
          <w:szCs w:val="14"/>
          <w:b w:val="1"/>
          <w:bCs w:val="1"/>
          <w:i w:val="1"/>
          <w:iCs w:val="1"/>
          <w:color w:val="auto"/>
        </w:rPr>
        <w:t>(in thousands)</w:t>
      </w:r>
    </w:p>
    <w:p>
      <w:pPr>
        <w:ind w:left="1040"/>
        <w:spacing w:after="0"/>
        <w:tabs>
          <w:tab w:leader="none" w:pos="1820" w:val="left"/>
        </w:tabs>
        <w:rPr>
          <w:sz w:val="20"/>
          <w:szCs w:val="20"/>
          <w:color w:val="auto"/>
        </w:rPr>
      </w:pPr>
      <w:r>
        <w:rPr>
          <w:rFonts w:ascii="Arial" w:cs="Arial" w:eastAsia="Arial" w:hAnsi="Arial"/>
          <w:sz w:val="14"/>
          <w:szCs w:val="14"/>
          <w:b w:val="1"/>
          <w:bCs w:val="1"/>
          <w:color w:val="auto"/>
        </w:rPr>
        <w:t>(Restated)</w:t>
        <w:tab/>
        <w:t>(Restated)</w:t>
      </w:r>
    </w:p>
    <w:p>
      <w:pPr>
        <w:spacing w:after="0" w:line="194" w:lineRule="exact"/>
        <w:rPr>
          <w:sz w:val="20"/>
          <w:szCs w:val="20"/>
          <w:color w:val="auto"/>
        </w:rPr>
      </w:pPr>
    </w:p>
    <w:p>
      <w:pPr>
        <w:ind w:left="300" w:hanging="294"/>
        <w:spacing w:after="0"/>
        <w:tabs>
          <w:tab w:leader="none" w:pos="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6,107  $    5,426  $  5,000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0" w:type="dxa"/>
            <w:vAlign w:val="bottom"/>
          </w:tcPr>
          <w:p>
            <w:pPr>
              <w:jc w:val="right"/>
              <w:ind w:right="72"/>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556</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279</w:t>
            </w:r>
          </w:p>
        </w:tc>
      </w:tr>
      <w:tr>
        <w:trPr>
          <w:trHeight w:val="216"/>
        </w:trPr>
        <w:tc>
          <w:tcPr>
            <w:tcW w:w="860" w:type="dxa"/>
            <w:vAlign w:val="bottom"/>
          </w:tcPr>
          <w:p>
            <w:pPr>
              <w:jc w:val="right"/>
              <w:ind w:right="72"/>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22"/>
        </w:trPr>
        <w:tc>
          <w:tcPr>
            <w:tcW w:w="860" w:type="dxa"/>
            <w:vAlign w:val="bottom"/>
          </w:tcPr>
          <w:p>
            <w:pPr>
              <w:jc w:val="right"/>
              <w:ind w:right="12"/>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w:t>
            </w:r>
          </w:p>
        </w:tc>
        <w:tc>
          <w:tcPr>
            <w:tcW w:w="8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110"/>
        </w:trPr>
        <w:tc>
          <w:tcPr>
            <w:tcW w:w="8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r>
      <w:tr>
        <w:trPr>
          <w:trHeight w:val="316"/>
        </w:trPr>
        <w:tc>
          <w:tcPr>
            <w:tcW w:w="860" w:type="dxa"/>
            <w:vAlign w:val="bottom"/>
          </w:tcPr>
          <w:p>
            <w:pPr>
              <w:jc w:val="right"/>
              <w:ind w:right="72"/>
              <w:spacing w:after="0"/>
              <w:rPr>
                <w:sz w:val="20"/>
                <w:szCs w:val="20"/>
                <w:color w:val="auto"/>
              </w:rPr>
            </w:pPr>
            <w:r>
              <w:rPr>
                <w:rFonts w:ascii="Arial" w:cs="Arial" w:eastAsia="Arial" w:hAnsi="Arial"/>
                <w:sz w:val="18"/>
                <w:szCs w:val="18"/>
                <w:color w:val="auto"/>
                <w:w w:val="96"/>
              </w:rPr>
              <w:t>$   6,716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5,921</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  5,166</w:t>
            </w:r>
          </w:p>
        </w:tc>
      </w:tr>
      <w:tr>
        <w:trPr>
          <w:trHeight w:val="120"/>
        </w:trPr>
        <w:tc>
          <w:tcPr>
            <w:tcW w:w="8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61595</wp:posOffset>
            </wp:positionH>
            <wp:positionV relativeFrom="paragraph">
              <wp:posOffset>-14605</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-14605</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541655</wp:posOffset>
            </wp:positionH>
            <wp:positionV relativeFrom="paragraph">
              <wp:posOffset>-14605</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-14605</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1039495</wp:posOffset>
            </wp:positionH>
            <wp:positionV relativeFrom="paragraph">
              <wp:posOffset>-14605</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-14605</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1202055</wp:posOffset>
            </wp:positionH>
            <wp:positionV relativeFrom="paragraph">
              <wp:posOffset>-14605</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-14605</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1544955</wp:posOffset>
            </wp:positionH>
            <wp:positionV relativeFrom="paragraph">
              <wp:posOffset>-14605</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60" w:space="720"/>
            <w:col w:w="4639"/>
          </w:cols>
          <w:pgMar w:left="240" w:top="590" w:right="1440" w:bottom="1440" w:gutter="0" w:footer="0" w:header="0"/>
          <w:type w:val="continuous"/>
        </w:sectPr>
      </w:pP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Net deferred tax assets and liabilities consist of the following at December 31, 2005, 2004 and 2003: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5"/>
                <w:szCs w:val="15"/>
                <w:color w:val="auto"/>
              </w:rPr>
            </w:pPr>
          </w:p>
        </w:tc>
        <w:tc>
          <w:tcPr>
            <w:tcW w:w="640" w:type="dxa"/>
            <w:vAlign w:val="bottom"/>
          </w:tcPr>
          <w:p>
            <w:pPr>
              <w:jc w:val="right"/>
              <w:ind w:right="13"/>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5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w w:val="91"/>
              </w:rPr>
              <w:t>(in thousands</w:t>
            </w:r>
            <w:r>
              <w:rPr>
                <w:rFonts w:ascii="Arial" w:cs="Arial" w:eastAsia="Arial" w:hAnsi="Arial"/>
                <w:sz w:val="14"/>
                <w:szCs w:val="14"/>
                <w:color w:val="auto"/>
                <w:w w:val="91"/>
              </w:rPr>
              <w:t>)</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ind w:right="14"/>
              <w:spacing w:after="0"/>
              <w:rPr>
                <w:sz w:val="20"/>
                <w:szCs w:val="20"/>
                <w:color w:val="auto"/>
              </w:rPr>
            </w:pPr>
            <w:r>
              <w:rPr>
                <w:rFonts w:ascii="Arial" w:cs="Arial" w:eastAsia="Arial" w:hAnsi="Arial"/>
                <w:sz w:val="14"/>
                <w:szCs w:val="14"/>
                <w:b w:val="1"/>
                <w:bCs w:val="1"/>
                <w:color w:val="auto"/>
                <w:w w:val="81"/>
              </w:rPr>
              <w:t>(Restated)</w:t>
            </w:r>
          </w:p>
        </w:tc>
        <w:tc>
          <w:tcPr>
            <w:tcW w:w="900" w:type="dxa"/>
            <w:vAlign w:val="bottom"/>
            <w:gridSpan w:val="2"/>
          </w:tcPr>
          <w:p>
            <w:pPr>
              <w:ind w:left="180"/>
              <w:spacing w:after="0"/>
              <w:rPr>
                <w:sz w:val="20"/>
                <w:szCs w:val="20"/>
                <w:color w:val="auto"/>
              </w:rPr>
            </w:pPr>
            <w:r>
              <w:rPr>
                <w:rFonts w:ascii="Arial" w:cs="Arial" w:eastAsia="Arial" w:hAnsi="Arial"/>
                <w:sz w:val="14"/>
                <w:szCs w:val="14"/>
                <w:b w:val="1"/>
                <w:bCs w:val="1"/>
                <w:color w:val="auto"/>
              </w:rPr>
              <w:t>(Restated)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EAF9E8"/>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EAF9E8"/>
          </w:tcPr>
          <w:p>
            <w:pPr>
              <w:spacing w:after="0"/>
              <w:rPr>
                <w:sz w:val="18"/>
                <w:szCs w:val="18"/>
                <w:color w:val="auto"/>
              </w:rPr>
            </w:pPr>
          </w:p>
        </w:tc>
        <w:tc>
          <w:tcPr>
            <w:tcW w:w="6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64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60"/>
              <w:spacing w:after="0"/>
              <w:rPr>
                <w:sz w:val="20"/>
                <w:szCs w:val="20"/>
                <w:color w:val="auto"/>
              </w:rPr>
            </w:pPr>
            <w:r>
              <w:rPr>
                <w:rFonts w:ascii="Arial" w:cs="Arial" w:eastAsia="Arial" w:hAnsi="Arial"/>
                <w:sz w:val="18"/>
                <w:szCs w:val="18"/>
                <w:color w:val="auto"/>
              </w:rPr>
              <w:t>State net operating loss carryforwards, net of federal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1,310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1,583</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1,569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Lease obligations</w:t>
            </w:r>
          </w:p>
        </w:tc>
        <w:tc>
          <w:tcPr>
            <w:tcW w:w="10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843</w:t>
            </w:r>
          </w:p>
        </w:tc>
        <w:tc>
          <w:tcPr>
            <w:tcW w:w="240" w:type="dxa"/>
            <w:vAlign w:val="bottom"/>
            <w:shd w:val="clear" w:color="auto" w:fill="EAF9E8"/>
          </w:tcPr>
          <w:p>
            <w:pPr>
              <w:spacing w:after="0"/>
              <w:rPr>
                <w:sz w:val="18"/>
                <w:szCs w:val="18"/>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690</w:t>
            </w:r>
          </w:p>
        </w:tc>
        <w:tc>
          <w:tcPr>
            <w:tcW w:w="260" w:type="dxa"/>
            <w:vAlign w:val="bottom"/>
            <w:shd w:val="clear" w:color="auto" w:fill="EAF9E8"/>
          </w:tcPr>
          <w:p>
            <w:pPr>
              <w:spacing w:after="0"/>
              <w:rPr>
                <w:sz w:val="18"/>
                <w:szCs w:val="18"/>
                <w:color w:val="auto"/>
              </w:rPr>
            </w:pPr>
          </w:p>
        </w:tc>
        <w:tc>
          <w:tcPr>
            <w:tcW w:w="64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535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60"/>
              <w:spacing w:after="0"/>
              <w:rPr>
                <w:sz w:val="20"/>
                <w:szCs w:val="20"/>
                <w:color w:val="auto"/>
              </w:rPr>
            </w:pPr>
            <w:r>
              <w:rPr>
                <w:rFonts w:ascii="Arial" w:cs="Arial" w:eastAsia="Arial" w:hAnsi="Arial"/>
                <w:sz w:val="18"/>
                <w:szCs w:val="18"/>
                <w:color w:val="auto"/>
              </w:rPr>
              <w:t>Deferred revenues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212</w:t>
            </w:r>
          </w:p>
        </w:tc>
        <w:tc>
          <w:tcPr>
            <w:tcW w:w="26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Accrued pension costs</w:t>
            </w:r>
          </w:p>
        </w:tc>
        <w:tc>
          <w:tcPr>
            <w:tcW w:w="10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166</w:t>
            </w:r>
          </w:p>
        </w:tc>
        <w:tc>
          <w:tcPr>
            <w:tcW w:w="240" w:type="dxa"/>
            <w:vAlign w:val="bottom"/>
            <w:shd w:val="clear" w:color="auto" w:fill="EAF9E8"/>
          </w:tcPr>
          <w:p>
            <w:pPr>
              <w:spacing w:after="0"/>
              <w:rPr>
                <w:sz w:val="18"/>
                <w:szCs w:val="18"/>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175</w:t>
            </w:r>
          </w:p>
        </w:tc>
        <w:tc>
          <w:tcPr>
            <w:tcW w:w="260" w:type="dxa"/>
            <w:vAlign w:val="bottom"/>
            <w:shd w:val="clear" w:color="auto" w:fill="EAF9E8"/>
          </w:tcPr>
          <w:p>
            <w:pPr>
              <w:spacing w:after="0"/>
              <w:rPr>
                <w:sz w:val="18"/>
                <w:szCs w:val="18"/>
                <w:color w:val="auto"/>
              </w:rPr>
            </w:pPr>
          </w:p>
        </w:tc>
        <w:tc>
          <w:tcPr>
            <w:tcW w:w="64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60"/>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228</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Accrued compensation costs</w:t>
            </w:r>
          </w:p>
        </w:tc>
        <w:tc>
          <w:tcPr>
            <w:tcW w:w="10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380</w:t>
            </w:r>
          </w:p>
        </w:tc>
        <w:tc>
          <w:tcPr>
            <w:tcW w:w="240" w:type="dxa"/>
            <w:vAlign w:val="bottom"/>
            <w:shd w:val="clear" w:color="auto" w:fill="EAF9E8"/>
          </w:tcPr>
          <w:p>
            <w:pPr>
              <w:spacing w:after="0"/>
              <w:rPr>
                <w:sz w:val="18"/>
                <w:szCs w:val="18"/>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EAF9E8"/>
          </w:tcPr>
          <w:p>
            <w:pPr>
              <w:spacing w:after="0"/>
              <w:rPr>
                <w:sz w:val="18"/>
                <w:szCs w:val="18"/>
                <w:color w:val="auto"/>
              </w:rPr>
            </w:pPr>
          </w:p>
        </w:tc>
        <w:tc>
          <w:tcPr>
            <w:tcW w:w="64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8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306</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128</w:t>
            </w:r>
          </w:p>
        </w:tc>
        <w:tc>
          <w:tcPr>
            <w:tcW w:w="260" w:type="dxa"/>
            <w:vAlign w:val="bottom"/>
          </w:tcPr>
          <w:p>
            <w:pPr>
              <w:spacing w:after="0"/>
              <w:rPr>
                <w:sz w:val="19"/>
                <w:szCs w:val="19"/>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5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Total gross deferred tax assets</w:t>
            </w:r>
          </w:p>
        </w:tc>
        <w:tc>
          <w:tcPr>
            <w:tcW w:w="10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3,387</w:t>
            </w:r>
          </w:p>
        </w:tc>
        <w:tc>
          <w:tcPr>
            <w:tcW w:w="240" w:type="dxa"/>
            <w:vAlign w:val="bottom"/>
            <w:shd w:val="clear" w:color="auto" w:fill="EAF9E8"/>
          </w:tcPr>
          <w:p>
            <w:pPr>
              <w:spacing w:after="0"/>
              <w:rPr>
                <w:sz w:val="18"/>
                <w:szCs w:val="18"/>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2,978</w:t>
            </w:r>
          </w:p>
        </w:tc>
        <w:tc>
          <w:tcPr>
            <w:tcW w:w="260" w:type="dxa"/>
            <w:vAlign w:val="bottom"/>
            <w:shd w:val="clear" w:color="auto" w:fill="EAF9E8"/>
          </w:tcPr>
          <w:p>
            <w:pPr>
              <w:spacing w:after="0"/>
              <w:rPr>
                <w:sz w:val="18"/>
                <w:szCs w:val="18"/>
                <w:color w:val="auto"/>
              </w:rPr>
            </w:pPr>
          </w:p>
        </w:tc>
        <w:tc>
          <w:tcPr>
            <w:tcW w:w="64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3,157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80" w:type="dxa"/>
            <w:vAlign w:val="bottom"/>
          </w:tcPr>
          <w:p>
            <w:pPr>
              <w:ind w:left="160"/>
              <w:spacing w:after="0"/>
              <w:rPr>
                <w:sz w:val="20"/>
                <w:szCs w:val="20"/>
                <w:color w:val="auto"/>
              </w:rPr>
            </w:pPr>
            <w:r>
              <w:rPr>
                <w:rFonts w:ascii="Arial" w:cs="Arial" w:eastAsia="Arial" w:hAnsi="Arial"/>
                <w:sz w:val="18"/>
                <w:szCs w:val="18"/>
                <w:color w:val="auto"/>
              </w:rPr>
              <w:t>Less valuation allowance</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754</w:t>
            </w:r>
          </w:p>
        </w:tc>
        <w:tc>
          <w:tcPr>
            <w:tcW w:w="260" w:type="dxa"/>
            <w:vAlign w:val="bottom"/>
          </w:tcPr>
          <w:p>
            <w:pPr>
              <w:spacing w:after="0"/>
              <w:rPr>
                <w:sz w:val="19"/>
                <w:szCs w:val="19"/>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892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5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Net deferred tax assets</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3,387</w:t>
            </w:r>
          </w:p>
        </w:tc>
        <w:tc>
          <w:tcPr>
            <w:tcW w:w="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2,224</w:t>
            </w:r>
          </w:p>
        </w:tc>
        <w:tc>
          <w:tcPr>
            <w:tcW w:w="260" w:type="dxa"/>
            <w:vAlign w:val="bottom"/>
            <w:shd w:val="clear" w:color="auto" w:fill="EAF9E8"/>
          </w:tcPr>
          <w:p>
            <w:pPr>
              <w:ind w:left="16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2,265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580" w:type="dxa"/>
            <w:vAlign w:val="bottom"/>
            <w:vMerge w:val="restart"/>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465"/>
        </w:trPr>
        <w:tc>
          <w:tcPr>
            <w:tcW w:w="5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5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Plant-in-service</w:t>
            </w:r>
          </w:p>
        </w:tc>
        <w:tc>
          <w:tcPr>
            <w:tcW w:w="10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27,204</w:t>
            </w:r>
          </w:p>
        </w:tc>
        <w:tc>
          <w:tcPr>
            <w:tcW w:w="240" w:type="dxa"/>
            <w:vAlign w:val="bottom"/>
            <w:shd w:val="clear" w:color="auto" w:fill="EAF9E8"/>
          </w:tcPr>
          <w:p>
            <w:pPr>
              <w:spacing w:after="0"/>
              <w:rPr>
                <w:sz w:val="18"/>
                <w:szCs w:val="18"/>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25,844</w:t>
            </w:r>
          </w:p>
        </w:tc>
        <w:tc>
          <w:tcPr>
            <w:tcW w:w="260" w:type="dxa"/>
            <w:vAlign w:val="bottom"/>
            <w:shd w:val="clear" w:color="auto" w:fill="EAF9E8"/>
          </w:tcPr>
          <w:p>
            <w:pPr>
              <w:spacing w:after="0"/>
              <w:rPr>
                <w:sz w:val="18"/>
                <w:szCs w:val="18"/>
                <w:color w:val="auto"/>
              </w:rPr>
            </w:pPr>
          </w:p>
        </w:tc>
        <w:tc>
          <w:tcPr>
            <w:tcW w:w="64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w w:val="94"/>
              </w:rPr>
              <w:t>20,058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60"/>
              <w:spacing w:after="0"/>
              <w:rPr>
                <w:sz w:val="20"/>
                <w:szCs w:val="20"/>
                <w:color w:val="auto"/>
              </w:rPr>
            </w:pPr>
            <w:r>
              <w:rPr>
                <w:rFonts w:ascii="Arial" w:cs="Arial" w:eastAsia="Arial" w:hAnsi="Arial"/>
                <w:sz w:val="18"/>
                <w:szCs w:val="18"/>
                <w:color w:val="auto"/>
              </w:rPr>
              <w:t>Escrowed gain on sale of discontinued operations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1,859</w:t>
            </w:r>
          </w:p>
        </w:tc>
        <w:tc>
          <w:tcPr>
            <w:tcW w:w="26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1,859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Unrealized gain on investments</w:t>
            </w:r>
          </w:p>
        </w:tc>
        <w:tc>
          <w:tcPr>
            <w:tcW w:w="10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18"/>
                <w:szCs w:val="18"/>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EAF9E8"/>
          </w:tcPr>
          <w:p>
            <w:pPr>
              <w:spacing w:after="0"/>
              <w:rPr>
                <w:sz w:val="18"/>
                <w:szCs w:val="18"/>
                <w:color w:val="auto"/>
              </w:rPr>
            </w:pPr>
          </w:p>
        </w:tc>
        <w:tc>
          <w:tcPr>
            <w:tcW w:w="64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80" w:type="dxa"/>
            <w:vAlign w:val="bottom"/>
          </w:tcPr>
          <w:p>
            <w:pPr>
              <w:ind w:left="160"/>
              <w:spacing w:after="0"/>
              <w:rPr>
                <w:sz w:val="20"/>
                <w:szCs w:val="20"/>
                <w:color w:val="auto"/>
              </w:rPr>
            </w:pPr>
            <w:r>
              <w:rPr>
                <w:rFonts w:ascii="Arial" w:cs="Arial" w:eastAsia="Arial" w:hAnsi="Arial"/>
                <w:sz w:val="18"/>
                <w:szCs w:val="18"/>
                <w:color w:val="auto"/>
              </w:rPr>
              <w:t>Gain on investments, net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9"/>
                <w:szCs w:val="19"/>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5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Total gross deferred tax liabilities</w:t>
            </w:r>
          </w:p>
        </w:tc>
        <w:tc>
          <w:tcPr>
            <w:tcW w:w="10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27,454</w:t>
            </w:r>
          </w:p>
        </w:tc>
        <w:tc>
          <w:tcPr>
            <w:tcW w:w="240" w:type="dxa"/>
            <w:vAlign w:val="bottom"/>
            <w:shd w:val="clear" w:color="auto" w:fill="EAF9E8"/>
          </w:tcPr>
          <w:p>
            <w:pPr>
              <w:spacing w:after="0"/>
              <w:rPr>
                <w:sz w:val="18"/>
                <w:szCs w:val="18"/>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27,839</w:t>
            </w:r>
          </w:p>
        </w:tc>
        <w:tc>
          <w:tcPr>
            <w:tcW w:w="260" w:type="dxa"/>
            <w:vAlign w:val="bottom"/>
            <w:shd w:val="clear" w:color="auto" w:fill="EAF9E8"/>
          </w:tcPr>
          <w:p>
            <w:pPr>
              <w:spacing w:after="0"/>
              <w:rPr>
                <w:sz w:val="18"/>
                <w:szCs w:val="18"/>
                <w:color w:val="auto"/>
              </w:rPr>
            </w:pPr>
          </w:p>
        </w:tc>
        <w:tc>
          <w:tcPr>
            <w:tcW w:w="64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w w:val="94"/>
              </w:rPr>
              <w:t>22,055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5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80" w:type="dxa"/>
            <w:vAlign w:val="bottom"/>
          </w:tcPr>
          <w:p>
            <w:pPr>
              <w:ind w:left="160"/>
              <w:spacing w:after="0"/>
              <w:rPr>
                <w:sz w:val="20"/>
                <w:szCs w:val="20"/>
                <w:color w:val="auto"/>
              </w:rPr>
            </w:pPr>
            <w:r>
              <w:rPr>
                <w:rFonts w:ascii="Arial" w:cs="Arial" w:eastAsia="Arial" w:hAnsi="Arial"/>
                <w:sz w:val="18"/>
                <w:szCs w:val="18"/>
                <w:color w:val="auto"/>
              </w:rPr>
              <w:t>Net deferred tax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24,067</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25,615</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w w:val="94"/>
              </w:rPr>
              <w:t>19,790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5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-14605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-14605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-14605</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-14605</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-14605</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-14605</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-14605</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-14605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179"/>
        <w:spacing w:after="0" w:line="287" w:lineRule="auto"/>
        <w:rPr>
          <w:sz w:val="20"/>
          <w:szCs w:val="20"/>
          <w:color w:val="auto"/>
        </w:rPr>
      </w:pPr>
      <w:r>
        <w:rPr>
          <w:rFonts w:ascii="Arial" w:cs="Arial" w:eastAsia="Arial" w:hAnsi="Arial"/>
          <w:sz w:val="16"/>
          <w:szCs w:val="16"/>
          <w:color w:val="auto"/>
        </w:rPr>
        <w:t>In assessing the ability to realize deferred tax assets, management considers whether it is more likely than not that some portion or all of the deferred tax assets will not be realized. The ultimate realization of deferred tax assets is dependent upon generating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for which the deferred tax assets are deductible, management believes it more likely than not that the Company will realize the benefits of the deferred tax assets and has eliminated the valuation allowance at December 31, 2005. The Company has generated net operating loss carryforwards of approximately $22.0 million from its PCS operations in several states. These carry forwards expire at varying dates beginning in the year 2018 and ending in 2023.</w:t>
      </w:r>
    </w:p>
    <w:p>
      <w:pPr>
        <w:spacing w:after="0" w:line="17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90" w:right="1440"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Note 8. Significant Contractual Relationship</w:t>
      </w:r>
    </w:p>
    <w:p>
      <w:pPr>
        <w:spacing w:after="0" w:line="231" w:lineRule="exact"/>
        <w:rPr>
          <w:sz w:val="20"/>
          <w:szCs w:val="20"/>
          <w:color w:val="auto"/>
        </w:rPr>
      </w:pPr>
    </w:p>
    <w:p>
      <w:pPr>
        <w:ind w:right="2119"/>
        <w:spacing w:after="0" w:line="286" w:lineRule="auto"/>
        <w:rPr>
          <w:sz w:val="20"/>
          <w:szCs w:val="20"/>
          <w:color w:val="auto"/>
        </w:rPr>
      </w:pPr>
      <w:r>
        <w:rPr>
          <w:rFonts w:ascii="Arial" w:cs="Arial" w:eastAsia="Arial" w:hAnsi="Arial"/>
          <w:sz w:val="16"/>
          <w:szCs w:val="16"/>
          <w:color w:val="auto"/>
        </w:rPr>
        <w:t>In 1999, the Company executed a Management Agreement (the “Agreement”) with Sprint Nextel whereby the Company committed to construct and operate a PCS network using CDMA air interface technology. Under the Agreement, the Company is the exclusive PCS Affiliate of Sprint Nextel providing wireless mobility communications network products and services on the 1900 MHz band in its territory which extends from Altoona, York and Harrisburg, Pennsylvania, and south along the Interstate 81 corridor through Western Maryland, the panhandle of West Virginia, to Harrisonburg, Virginia. The Company is authorized to use the Sprint brand in its territory, and operate its network under the Sprint Nextel radio spectrum license. As an exclusive PCS Affiliate of Sprint Nextel, the Company has the exclusive right to build, own and maintain its portion of Sprint Nextel’s nationwide PCS network, in the aforementioned areas, to Sprint Nextel’s specifications. The initial term of the Agreement is for 20 years and is automatically renewable for three 10-year options, unless terminated by either party under provisions outlined in the Agreement.</w:t>
      </w:r>
    </w:p>
    <w:p>
      <w:pPr>
        <w:spacing w:after="0" w:line="181" w:lineRule="exact"/>
        <w:rPr>
          <w:sz w:val="20"/>
          <w:szCs w:val="20"/>
          <w:color w:val="auto"/>
        </w:rPr>
      </w:pPr>
    </w:p>
    <w:p>
      <w:pPr>
        <w:ind w:right="2139"/>
        <w:spacing w:after="0" w:line="285" w:lineRule="auto"/>
        <w:rPr>
          <w:sz w:val="20"/>
          <w:szCs w:val="20"/>
          <w:color w:val="auto"/>
        </w:rPr>
      </w:pPr>
      <w:r>
        <w:rPr>
          <w:rFonts w:ascii="Arial" w:cs="Arial" w:eastAsia="Arial" w:hAnsi="Arial"/>
          <w:sz w:val="16"/>
          <w:szCs w:val="16"/>
          <w:color w:val="auto"/>
        </w:rPr>
        <w:t>Under the Sprint Nextel agreements, Sprint Nextel provides the Company significant support services such as customer service, billing, collections, long distance, national network operations support, inventory logistics support, use of the Sprint Nextel brand names, national advertising, national distribution and product development. In addition, the Company derives substantial travel revenue and incurs substantial travel expenses when Sprint Nextel and Sprint Nextel’s PCS Affiliate partners’ subscribers incur minutes of use in the Company’s territory and when the Company’s subscribers incur minutes of use in Sprint Nextel and Sprint Nextel’s PCS Affiliate partners’ territories. These transactions are recorded as travel revenue, travel cost, cost of equipment and selling and marketing expense in the Company’s consolidated statements of income. Cost of service related to access to the nationwide network, including travel transactions and long distance expenses, are recorded in cost of goods sold. The costs of services such as billing, collections and customer service are included in selling, general and administrative costs. Cost of equipment transactions between the Company and Sprint Nextel relate to inventory purchased and subsidized costs of handsets. These costs also include transactions related to subsidized costs on handsets and commissions paid to Sprint Nextel for sales of handsets through Sprint Nextel’s national distribution programs.</w:t>
      </w:r>
    </w:p>
    <w:p>
      <w:pPr>
        <w:spacing w:after="0" w:line="182" w:lineRule="exact"/>
        <w:rPr>
          <w:sz w:val="20"/>
          <w:szCs w:val="20"/>
          <w:color w:val="auto"/>
        </w:rPr>
      </w:pPr>
    </w:p>
    <w:p>
      <w:pPr>
        <w:ind w:right="2159"/>
        <w:spacing w:after="0" w:line="290" w:lineRule="auto"/>
        <w:rPr>
          <w:sz w:val="20"/>
          <w:szCs w:val="20"/>
          <w:color w:val="auto"/>
        </w:rPr>
      </w:pPr>
      <w:r>
        <w:rPr>
          <w:rFonts w:ascii="Arial" w:cs="Arial" w:eastAsia="Arial" w:hAnsi="Arial"/>
          <w:sz w:val="16"/>
          <w:szCs w:val="16"/>
          <w:color w:val="auto"/>
        </w:rPr>
        <w:t>Historically, Sprint Nextel determined charges for services provided at the beginning of each calendar year. Sprint Nextel calculated the costs to provide these services for its network partners and required a final settlement against the charges actually paid. If the costs to provide these services were less than the amounts paid by Sprint Nextel’s network partners, Sprint Nextel issued a credit for these amounts. If the costs to provide the services were more that the amounts paid by Sprint Nextel’s network partners, Sprint Nextel charged the network partners for these amounts. For the years presented, the Company recorded the actual costs, after the adjustments, which were recorded for these services provided by Sprint Nextel.</w:t>
      </w:r>
    </w:p>
    <w:p>
      <w:pPr>
        <w:spacing w:after="0" w:line="172" w:lineRule="exact"/>
        <w:rPr>
          <w:sz w:val="20"/>
          <w:szCs w:val="20"/>
          <w:color w:val="auto"/>
        </w:rPr>
      </w:pPr>
    </w:p>
    <w:p>
      <w:pPr>
        <w:ind w:right="2199"/>
        <w:spacing w:after="0" w:line="287" w:lineRule="auto"/>
        <w:rPr>
          <w:sz w:val="20"/>
          <w:szCs w:val="20"/>
          <w:color w:val="auto"/>
        </w:rPr>
      </w:pPr>
      <w:r>
        <w:rPr>
          <w:rFonts w:ascii="Arial" w:cs="Arial" w:eastAsia="Arial" w:hAnsi="Arial"/>
          <w:sz w:val="16"/>
          <w:szCs w:val="16"/>
          <w:color w:val="auto"/>
        </w:rPr>
        <w:t>The wireless market is characterized by significant risks as a result of rapid changes in technology, increasing competition and the cost associated with the build-out and enhancement of Sprint Nextel’s nationwide digital wireless network. Sprint Nextel provides back-office and other services including travel clearing-house functions, to the Company. For periods before January 1, 2004, there was no prescribed formula defined in the agreements with Sprint Nextel for the calculation of the fee charged to the Company for these services. Sprint Nextel adjusted these fees at least annually. This situation changed with the execution of an amendment to the Agreement which occurred on January 31, 2004, retroactive to January 1, 2004 (the “Amended Agreement”). By simplifying the formulas used and fixing certain fees, the Amended Agreement provides greater certainty to the Company for certain future expenses and revenues during the term of the agreement that expires on December 31, 2006 and simplifies the methods used to settle revenue and expenses between the Company and Sprint Nextel.</w:t>
      </w:r>
    </w:p>
    <w:p>
      <w:pPr>
        <w:spacing w:after="0" w:line="177" w:lineRule="exact"/>
        <w:rPr>
          <w:sz w:val="20"/>
          <w:szCs w:val="20"/>
          <w:color w:val="auto"/>
        </w:rPr>
      </w:pPr>
    </w:p>
    <w:p>
      <w:pPr>
        <w:ind w:right="2179"/>
        <w:spacing w:after="0" w:line="291" w:lineRule="auto"/>
        <w:rPr>
          <w:sz w:val="20"/>
          <w:szCs w:val="20"/>
          <w:color w:val="auto"/>
        </w:rPr>
      </w:pPr>
      <w:r>
        <w:rPr>
          <w:rFonts w:ascii="Arial" w:cs="Arial" w:eastAsia="Arial" w:hAnsi="Arial"/>
          <w:sz w:val="16"/>
          <w:szCs w:val="16"/>
          <w:color w:val="auto"/>
        </w:rPr>
        <w:t>The Company entered into an amendment to the Amended Agreement with Sprint Nextel on May 24, 2004 (the “May 2004 Amendment”). Under the terms of the May 2004 Amendment, the Company has agreed to participate in all new and renewed reseller agreements signed through December 31, 2006. In addition, the Company signed an agreement to participate in all existing Sprint Nextel reseller arrangements applicable to the Company’s service area. In consideration for this participation, the Company received a reduction in the monthly fee per subscriber paid to Sprint Nextel for back office services and certain network services.</w:t>
      </w:r>
    </w:p>
    <w:p>
      <w:pPr>
        <w:spacing w:after="0" w:line="174" w:lineRule="exact"/>
        <w:rPr>
          <w:sz w:val="20"/>
          <w:szCs w:val="20"/>
          <w:color w:val="auto"/>
        </w:rPr>
      </w:pPr>
    </w:p>
    <w:p>
      <w:pPr>
        <w:ind w:right="2359"/>
        <w:spacing w:after="0" w:line="255" w:lineRule="auto"/>
        <w:rPr>
          <w:sz w:val="20"/>
          <w:szCs w:val="20"/>
          <w:color w:val="auto"/>
        </w:rPr>
      </w:pPr>
      <w:r>
        <w:rPr>
          <w:rFonts w:ascii="Arial" w:cs="Arial" w:eastAsia="Arial" w:hAnsi="Arial"/>
          <w:sz w:val="18"/>
          <w:szCs w:val="18"/>
          <w:color w:val="auto"/>
        </w:rPr>
        <w:t>The Company’s PCS subsidiary is dependent upon Sprint Nextel’s ability to execute certain functions such as billing, customer care, collections and other operating activities under the Company’s agreements with Sprint Nextel. Due to the high degree of integration within many of the Sprint Nextel systems, and the Company’s dependency on these systems, in many cases it would be difficult for the Company to perform these services in-house or to outsource the</w:t>
      </w:r>
    </w:p>
    <w:p>
      <w:pPr>
        <w:spacing w:after="0" w:line="19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98" w:name="page99"/>
    <w:bookmarkEnd w:id="98"/>
    <w:p>
      <w:pPr>
        <w:ind w:right="2259"/>
        <w:spacing w:after="0" w:line="291" w:lineRule="auto"/>
        <w:rPr>
          <w:sz w:val="20"/>
          <w:szCs w:val="20"/>
          <w:color w:val="auto"/>
        </w:rPr>
      </w:pPr>
      <w:r>
        <w:rPr>
          <w:rFonts w:ascii="Arial" w:cs="Arial" w:eastAsia="Arial" w:hAnsi="Arial"/>
          <w:sz w:val="16"/>
          <w:szCs w:val="16"/>
          <w:color w:val="auto"/>
        </w:rPr>
        <w:t>services to another provider. If Sprint Nextel is unable to perform any such service, the change could result in increased operating expenses and have an adverse impact on the Company’s operating results and cash flow. In addition, the Company’s ability to attract and maintain a sufficient customer base is critical to generating positive cash flow from operations and ultimately profitability for its PCS operation. Changes in technology, increased competition, or economic conditions in the wireless industry or the economy in general, individually and/or collectively, could have an adverse effect on the Company’s financial position and results of operations.</w:t>
      </w:r>
    </w:p>
    <w:p>
      <w:pPr>
        <w:spacing w:after="0" w:line="174" w:lineRule="exact"/>
        <w:rPr>
          <w:sz w:val="20"/>
          <w:szCs w:val="20"/>
          <w:color w:val="auto"/>
        </w:rPr>
      </w:pPr>
    </w:p>
    <w:p>
      <w:pPr>
        <w:ind w:right="2219"/>
        <w:spacing w:after="0" w:line="291" w:lineRule="auto"/>
        <w:rPr>
          <w:sz w:val="20"/>
          <w:szCs w:val="20"/>
          <w:color w:val="auto"/>
        </w:rPr>
      </w:pPr>
      <w:r>
        <w:rPr>
          <w:rFonts w:ascii="Arial" w:cs="Arial" w:eastAsia="Arial" w:hAnsi="Arial"/>
          <w:sz w:val="16"/>
          <w:szCs w:val="16"/>
          <w:color w:val="auto"/>
        </w:rPr>
        <w:t>The Company receives and pays travel fees for inter-market usage of the network by Sprint Nextel wireless subscribers not homed in a market in which they may use the service. Sprint Nextel and its PCS Affiliates pay the Company for the use of its network by their wireless subscribers, while the Company pays Sprint Nextel and its PCS Affiliates reciprocal fees for Company subscribers using other segments of the network not operated by the Company. The rates paid on inter-market travel have been reduced to $0.058 per minute since January 1, 2003. The rate will remain in effect through December 31, 2006.</w:t>
      </w:r>
    </w:p>
    <w:p>
      <w:pPr>
        <w:spacing w:after="0" w:line="174" w:lineRule="exact"/>
        <w:rPr>
          <w:sz w:val="20"/>
          <w:szCs w:val="20"/>
          <w:color w:val="auto"/>
        </w:rPr>
      </w:pPr>
    </w:p>
    <w:p>
      <w:pPr>
        <w:ind w:right="2199"/>
        <w:spacing w:after="0" w:line="253" w:lineRule="auto"/>
        <w:rPr>
          <w:sz w:val="20"/>
          <w:szCs w:val="20"/>
          <w:color w:val="auto"/>
        </w:rPr>
      </w:pPr>
      <w:r>
        <w:rPr>
          <w:rFonts w:ascii="Arial" w:cs="Arial" w:eastAsia="Arial" w:hAnsi="Arial"/>
          <w:sz w:val="18"/>
          <w:szCs w:val="18"/>
          <w:color w:val="auto"/>
        </w:rPr>
        <w:t>In connection with execution of the Amended Agreement, effective January 1, 2004, the Company and Sprint Nextel resolved several outstanding issues. The result of the resolution of these disputes was a favorable adjustment to revenue of $0.4 million in 2004 for the settlement of a dispute related to inter-market travel revenue generated by certain other affiliate subscribers traveling in the Company’s market. Additionally, there was a reduction to previously billed disputed software maintenance fees of $0.3 million in 2004 that resulted from a re-allocation of the fees from Sprint Nextel on a per subscriber basis versus the prior allocation which was on a per switch basis.</w:t>
      </w:r>
    </w:p>
    <w:p>
      <w:pPr>
        <w:spacing w:after="0" w:line="201" w:lineRule="exact"/>
        <w:rPr>
          <w:sz w:val="20"/>
          <w:szCs w:val="20"/>
          <w:color w:val="auto"/>
        </w:rPr>
      </w:pPr>
    </w:p>
    <w:p>
      <w:pPr>
        <w:jc w:val="both"/>
        <w:ind w:right="2239"/>
        <w:spacing w:after="0" w:line="259" w:lineRule="auto"/>
        <w:rPr>
          <w:sz w:val="20"/>
          <w:szCs w:val="20"/>
          <w:color w:val="auto"/>
        </w:rPr>
      </w:pPr>
      <w:r>
        <w:rPr>
          <w:rFonts w:ascii="Arial" w:cs="Arial" w:eastAsia="Arial" w:hAnsi="Arial"/>
          <w:sz w:val="18"/>
          <w:szCs w:val="18"/>
          <w:color w:val="auto"/>
        </w:rPr>
        <w:t>The Sprint Nextel agreements require the Company to maintain certain minimum network performance standards and to meet other performance requirements. The Company was in compliance in all material respects with these requirements as of December 31, 2005.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Sprint Nextel Merger</w:t>
      </w:r>
    </w:p>
    <w:p>
      <w:pPr>
        <w:spacing w:after="0" w:line="231" w:lineRule="exact"/>
        <w:rPr>
          <w:sz w:val="20"/>
          <w:szCs w:val="20"/>
          <w:color w:val="auto"/>
        </w:rPr>
      </w:pPr>
    </w:p>
    <w:p>
      <w:pPr>
        <w:ind w:right="2139"/>
        <w:spacing w:after="0" w:line="259" w:lineRule="auto"/>
        <w:rPr>
          <w:sz w:val="20"/>
          <w:szCs w:val="20"/>
          <w:color w:val="auto"/>
        </w:rPr>
      </w:pPr>
      <w:r>
        <w:rPr>
          <w:rFonts w:ascii="Arial" w:cs="Arial" w:eastAsia="Arial" w:hAnsi="Arial"/>
          <w:sz w:val="18"/>
          <w:szCs w:val="18"/>
          <w:color w:val="auto"/>
        </w:rPr>
        <w:t>On August 12, 2005, Sprint Communications, Inc. and Nextel Communications, Inc. merged to form Sprint Nextel Communications, Inc. Nextel and its affiliate Nextel Partners, Inc., are providers of digital wireless communications services in the Company’s PCS service area.</w:t>
      </w:r>
    </w:p>
    <w:p>
      <w:pPr>
        <w:spacing w:after="0" w:line="194" w:lineRule="exact"/>
        <w:rPr>
          <w:sz w:val="20"/>
          <w:szCs w:val="20"/>
          <w:color w:val="auto"/>
        </w:rPr>
      </w:pPr>
    </w:p>
    <w:p>
      <w:pPr>
        <w:ind w:right="2179"/>
        <w:spacing w:after="0" w:line="291" w:lineRule="auto"/>
        <w:rPr>
          <w:sz w:val="20"/>
          <w:szCs w:val="20"/>
          <w:color w:val="auto"/>
        </w:rPr>
      </w:pPr>
      <w:r>
        <w:rPr>
          <w:rFonts w:ascii="Arial" w:cs="Arial" w:eastAsia="Arial" w:hAnsi="Arial"/>
          <w:sz w:val="16"/>
          <w:szCs w:val="16"/>
          <w:color w:val="auto"/>
        </w:rPr>
        <w:t>The Company’s PCS subsidiary is one of a number of companies we refer to as the “Sprint PCS Affiliates,” which had entered into substantially similar management and affiliation agreements with Sprint Communications, Inc, prior to the Sprint Nextel merger. In connection with the merger, a number of the Sprint PCS Affiliates filed suit against Sprint Nextel alleging that the merger would result in a breach of the exclusivity provisions of their agreements with Sprint Nextel. A number of these legal proceedings are pending. In addition, since the Sprint Nextel merger was announced, Sprint Nextel has acquired several of the Sprint PCS Affiliates.</w:t>
      </w:r>
    </w:p>
    <w:p>
      <w:pPr>
        <w:spacing w:after="0" w:line="174" w:lineRule="exact"/>
        <w:rPr>
          <w:sz w:val="20"/>
          <w:szCs w:val="20"/>
          <w:color w:val="auto"/>
        </w:rPr>
      </w:pPr>
    </w:p>
    <w:p>
      <w:pPr>
        <w:ind w:right="2159"/>
        <w:spacing w:after="0" w:line="289" w:lineRule="auto"/>
        <w:rPr>
          <w:sz w:val="20"/>
          <w:szCs w:val="20"/>
          <w:color w:val="auto"/>
        </w:rPr>
      </w:pPr>
      <w:r>
        <w:rPr>
          <w:rFonts w:ascii="Arial" w:cs="Arial" w:eastAsia="Arial" w:hAnsi="Arial"/>
          <w:sz w:val="16"/>
          <w:szCs w:val="16"/>
          <w:color w:val="auto"/>
        </w:rPr>
        <w:t>Prior to the Sprint Nextel merger, the Company and Sprint Nextel entered into a forbearance agreement which sets forth Sprint Nextel’s agreement to observe specified limitations in operating Nextel’s wireless business in the Company’s PCS service area. The agreement also sets forth the Company’s agreement not to initiate litigation or seek certain injunctive or equitable relief under certain circumstances, in each case during the period in which the agreement remains in effect. Sprint Nextel and the Company are engaged in discussions concerning potential changes to the management agreement necessary to reflect the merger of Sprint and Nextel Communications, Inc and the acquisition of Nextel Partners, Inc. by Sprint Nextel. Unless extended, the forbearance agreement is currently set to expire on April 15, 2006.</w:t>
      </w:r>
    </w:p>
    <w:p>
      <w:pPr>
        <w:spacing w:after="0" w:line="172" w:lineRule="exact"/>
        <w:rPr>
          <w:sz w:val="20"/>
          <w:szCs w:val="20"/>
          <w:color w:val="auto"/>
        </w:rPr>
      </w:pPr>
    </w:p>
    <w:p>
      <w:pPr>
        <w:ind w:right="2159"/>
        <w:spacing w:after="0" w:line="286" w:lineRule="auto"/>
        <w:rPr>
          <w:sz w:val="20"/>
          <w:szCs w:val="20"/>
          <w:color w:val="auto"/>
        </w:rPr>
      </w:pPr>
      <w:r>
        <w:rPr>
          <w:rFonts w:ascii="Arial" w:cs="Arial" w:eastAsia="Arial" w:hAnsi="Arial"/>
          <w:sz w:val="16"/>
          <w:szCs w:val="16"/>
          <w:color w:val="auto"/>
        </w:rPr>
        <w:t>The Company believes that a significant portion of its PCS service area overlaps the service area operated by Nextel Partners under the Nextel brand. Nextel Partners was not a party to the Sprint Nextel merger. The agreements between Nextel Partners and Nextel contain exclusivity and other provisions that remain in place following the Sprint Nextel merger until such time that the acquisition of Nextel Partners by Sprint Nextel is completed. The Company believes that the provisions under the agreements between Nextel and Nextel Partners conflict with the Company’s rights under its management and affiliation agreements. Even if such provisions do not conflict, as long as Nextel Partners remains an independent entity, the Company’s ability to fully realize any of the benefits from the merger of Sprint and Nextel may be limited. Further, the continued operation by Nextel Partners of a competing network could have a negative impact on the Company’s results of operations. Sprint Nextel has entered into an agreement to acquire Nextel Partners. The acquisition of Nextel Partners by Sprint Nextel is subject to certain regulatory approvals, the timing of which are uncertain.</w:t>
      </w:r>
    </w:p>
    <w:p>
      <w:pPr>
        <w:spacing w:after="0" w:line="18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90" w:right="1440" w:bottom="1440" w:gutter="0" w:footer="0" w:header="0"/>
        </w:sectPr>
      </w:pPr>
    </w:p>
    <w:bookmarkStart w:id="99" w:name="page100"/>
    <w:bookmarkEnd w:id="99"/>
    <w:p>
      <w:pPr>
        <w:ind w:right="2119"/>
        <w:spacing w:after="0" w:line="290" w:lineRule="auto"/>
        <w:rPr>
          <w:sz w:val="20"/>
          <w:szCs w:val="20"/>
          <w:color w:val="auto"/>
        </w:rPr>
      </w:pPr>
      <w:r>
        <w:rPr>
          <w:rFonts w:ascii="Arial" w:cs="Arial" w:eastAsia="Arial" w:hAnsi="Arial"/>
          <w:sz w:val="16"/>
          <w:szCs w:val="16"/>
          <w:color w:val="auto"/>
        </w:rPr>
        <w:t>The Company has had discussions with Sprint Nextel regarding the continuance of their long-term relationship and the impact of the Sprint Nextel merger. As a result of the Sprint Nextel merger, Sprint Nextel may require the Company to meet additional program requirements, which the Company anticipates would increase capital expenditures and operating expenses. The Company is committed to working with Sprint Nextel to reach mutually acceptable arrangements with respect to the foregoing matters. There can be no assurance, however, that the Company and Sprint Nextel will be able to reach mutually acceptable arrangements or as to the terms of any such arrangements or the likely impact on the Company of any such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Related Party Transactions</w:t>
      </w:r>
    </w:p>
    <w:p>
      <w:pPr>
        <w:spacing w:after="0" w:line="231" w:lineRule="exact"/>
        <w:rPr>
          <w:sz w:val="20"/>
          <w:szCs w:val="20"/>
          <w:color w:val="auto"/>
        </w:rPr>
      </w:pPr>
    </w:p>
    <w:p>
      <w:pPr>
        <w:ind w:right="2119"/>
        <w:spacing w:after="0" w:line="290" w:lineRule="auto"/>
        <w:rPr>
          <w:sz w:val="20"/>
          <w:szCs w:val="20"/>
          <w:color w:val="auto"/>
        </w:rPr>
      </w:pPr>
      <w:r>
        <w:rPr>
          <w:rFonts w:ascii="Arial" w:cs="Arial" w:eastAsia="Arial" w:hAnsi="Arial"/>
          <w:sz w:val="16"/>
          <w:szCs w:val="16"/>
          <w:color w:val="auto"/>
        </w:rPr>
        <w:t>ValleyNet, an equity method investee of the Company, resells capacity on the Company’s fiber network under an operating lease agreement. Facility lease revenue from ValleyNet was approximately $3.8 million, $2.7 million and $3.1 million in the years ended December 31, 2005, 2004 and 2003, respectively. At December 31, 2005, 2004 and 2003, the Company had accounts receivable from ValleyNet of approximately $0.3 million, $0.3 million and $0.4 million, respectively. The Company’s PCS operating subsidiary leases capacity through ValleyNet fiber facilities. Payment for usage of these facilities was $1.0 million, $0.8 million and $0.8 million in the years ended December 31, 2005, 2004 and 2003 respectively.</w:t>
      </w:r>
    </w:p>
    <w:p>
      <w:pPr>
        <w:spacing w:after="0" w:line="172" w:lineRule="exact"/>
        <w:rPr>
          <w:sz w:val="20"/>
          <w:szCs w:val="20"/>
          <w:color w:val="auto"/>
        </w:rPr>
      </w:pPr>
    </w:p>
    <w:p>
      <w:pPr>
        <w:ind w:right="2259"/>
        <w:spacing w:after="0" w:line="306" w:lineRule="auto"/>
        <w:rPr>
          <w:sz w:val="20"/>
          <w:szCs w:val="20"/>
          <w:color w:val="auto"/>
        </w:rPr>
      </w:pPr>
      <w:r>
        <w:rPr>
          <w:rFonts w:ascii="Arial" w:cs="Arial" w:eastAsia="Arial" w:hAnsi="Arial"/>
          <w:sz w:val="16"/>
          <w:szCs w:val="16"/>
          <w:color w:val="auto"/>
        </w:rPr>
        <w:t>Virginia Independent Telephone Alliance, an equity method investee of the Company, provides SS7 signaling services to the Company. These transactions are recorded as expense on the Company’s books and were less than $30 thousand in each of the years ended December 31, 2005, 2004 and 2003.</w:t>
      </w:r>
    </w:p>
    <w:p>
      <w:pPr>
        <w:spacing w:after="0" w:line="161" w:lineRule="exact"/>
        <w:rPr>
          <w:sz w:val="20"/>
          <w:szCs w:val="20"/>
          <w:color w:val="auto"/>
        </w:rPr>
      </w:pPr>
    </w:p>
    <w:p>
      <w:pPr>
        <w:ind w:right="2459"/>
        <w:spacing w:after="0" w:line="256" w:lineRule="auto"/>
        <w:rPr>
          <w:sz w:val="20"/>
          <w:szCs w:val="20"/>
          <w:color w:val="auto"/>
        </w:rPr>
      </w:pPr>
      <w:r>
        <w:rPr>
          <w:rFonts w:ascii="Arial" w:cs="Arial" w:eastAsia="Arial" w:hAnsi="Arial"/>
          <w:sz w:val="18"/>
          <w:szCs w:val="18"/>
          <w:color w:val="auto"/>
        </w:rPr>
        <w:t>Two then current directors of the Company, along with their family members, collectively held 2.1% of the outstanding membership units of NTC which were acquired by the Company on November 30, 2004 when the Company purchased the remaining 83.9% of NTC that it did not already own. See Note 15 for additional information about the purchase of NTC.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Retirement Plans</w:t>
      </w:r>
    </w:p>
    <w:p>
      <w:pPr>
        <w:spacing w:after="0" w:line="231" w:lineRule="exact"/>
        <w:rPr>
          <w:sz w:val="20"/>
          <w:szCs w:val="20"/>
          <w:color w:val="auto"/>
        </w:rPr>
      </w:pPr>
    </w:p>
    <w:p>
      <w:pPr>
        <w:ind w:right="2239"/>
        <w:spacing w:after="0" w:line="259" w:lineRule="auto"/>
        <w:rPr>
          <w:sz w:val="20"/>
          <w:szCs w:val="20"/>
          <w:color w:val="auto"/>
        </w:rPr>
      </w:pPr>
      <w:r>
        <w:rPr>
          <w:rFonts w:ascii="Arial" w:cs="Arial" w:eastAsia="Arial" w:hAnsi="Arial"/>
          <w:sz w:val="18"/>
          <w:szCs w:val="18"/>
          <w:color w:val="auto"/>
        </w:rPr>
        <w:t>The Company maintains a noncontributory defined benefit pension plan and a separate defined contribution plan. The following table presents the defined benefit plan’s funded status and amounts recognized in the Company’s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74"/>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5"/>
                <w:szCs w:val="15"/>
                <w:color w:val="auto"/>
              </w:rPr>
            </w:pPr>
          </w:p>
        </w:tc>
        <w:tc>
          <w:tcPr>
            <w:tcW w:w="800" w:type="dxa"/>
            <w:vAlign w:val="bottom"/>
          </w:tcPr>
          <w:p>
            <w:pPr>
              <w:jc w:val="right"/>
              <w:ind w:right="54"/>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5"/>
                <w:szCs w:val="15"/>
                <w:color w:val="auto"/>
              </w:rPr>
            </w:pPr>
          </w:p>
        </w:tc>
        <w:tc>
          <w:tcPr>
            <w:tcW w:w="760" w:type="dxa"/>
            <w:vAlign w:val="bottom"/>
          </w:tcPr>
          <w:p>
            <w:pPr>
              <w:jc w:val="right"/>
              <w:ind w:right="1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gridSpan w:val="2"/>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gridSpan w:val="2"/>
          </w:tcPr>
          <w:p>
            <w:pPr>
              <w:jc w:val="right"/>
              <w:ind w:right="94"/>
              <w:spacing w:after="0"/>
              <w:rPr>
                <w:sz w:val="20"/>
                <w:szCs w:val="20"/>
                <w:color w:val="auto"/>
              </w:rPr>
            </w:pPr>
            <w:r>
              <w:rPr>
                <w:rFonts w:ascii="Arial" w:cs="Arial" w:eastAsia="Arial" w:hAnsi="Arial"/>
                <w:sz w:val="14"/>
                <w:szCs w:val="14"/>
                <w:b w:val="1"/>
                <w:bCs w:val="1"/>
                <w:i w:val="1"/>
                <w:iCs w:val="1"/>
                <w:color w:val="auto"/>
                <w:w w:val="97"/>
              </w:rPr>
              <w:t>(in thousands)</w:t>
            </w: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EAF9E8"/>
          </w:tcPr>
          <w:p>
            <w:pPr>
              <w:spacing w:after="0"/>
              <w:rPr>
                <w:sz w:val="20"/>
                <w:szCs w:val="20"/>
                <w:color w:val="auto"/>
              </w:rPr>
            </w:pPr>
            <w:r>
              <w:rPr>
                <w:rFonts w:ascii="Arial" w:cs="Arial" w:eastAsia="Arial" w:hAnsi="Arial"/>
                <w:sz w:val="18"/>
                <w:szCs w:val="18"/>
                <w:color w:val="auto"/>
              </w:rPr>
              <w:t>Change in benefit obligation:</w:t>
            </w:r>
          </w:p>
        </w:tc>
        <w:tc>
          <w:tcPr>
            <w:tcW w:w="15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40"/>
              <w:spacing w:after="0"/>
              <w:rPr>
                <w:sz w:val="20"/>
                <w:szCs w:val="20"/>
                <w:color w:val="auto"/>
              </w:rPr>
            </w:pPr>
            <w:r>
              <w:rPr>
                <w:rFonts w:ascii="Arial" w:cs="Arial" w:eastAsia="Arial" w:hAnsi="Arial"/>
                <w:sz w:val="18"/>
                <w:szCs w:val="18"/>
                <w:color w:val="auto"/>
              </w:rPr>
              <w:t>Benefit obligation, beginning</w:t>
            </w: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4"/>
              <w:spacing w:after="0"/>
              <w:rPr>
                <w:sz w:val="20"/>
                <w:szCs w:val="20"/>
                <w:color w:val="auto"/>
              </w:rPr>
            </w:pPr>
            <w:r>
              <w:rPr>
                <w:rFonts w:ascii="Arial" w:cs="Arial" w:eastAsia="Arial" w:hAnsi="Arial"/>
                <w:sz w:val="18"/>
                <w:szCs w:val="18"/>
                <w:color w:val="auto"/>
              </w:rPr>
              <w:t>13,594</w:t>
            </w:r>
          </w:p>
        </w:tc>
        <w:tc>
          <w:tcPr>
            <w:tcW w:w="340" w:type="dxa"/>
            <w:vAlign w:val="bottom"/>
          </w:tcPr>
          <w:p>
            <w:pPr>
              <w:jc w:val="right"/>
              <w:ind w:right="8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11,650</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9,585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EAF9E8"/>
          </w:tcPr>
          <w:p>
            <w:pPr>
              <w:ind w:left="300"/>
              <w:spacing w:after="0"/>
              <w:rPr>
                <w:sz w:val="20"/>
                <w:szCs w:val="20"/>
                <w:color w:val="auto"/>
              </w:rPr>
            </w:pPr>
            <w:r>
              <w:rPr>
                <w:rFonts w:ascii="Arial" w:cs="Arial" w:eastAsia="Arial" w:hAnsi="Arial"/>
                <w:sz w:val="18"/>
                <w:szCs w:val="18"/>
                <w:color w:val="auto"/>
              </w:rPr>
              <w:t>Service cost</w:t>
            </w:r>
          </w:p>
        </w:tc>
        <w:tc>
          <w:tcPr>
            <w:tcW w:w="15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744</w:t>
            </w: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54"/>
              <w:spacing w:after="0"/>
              <w:rPr>
                <w:sz w:val="20"/>
                <w:szCs w:val="20"/>
                <w:color w:val="auto"/>
              </w:rPr>
            </w:pPr>
            <w:r>
              <w:rPr>
                <w:rFonts w:ascii="Arial" w:cs="Arial" w:eastAsia="Arial" w:hAnsi="Arial"/>
                <w:sz w:val="18"/>
                <w:szCs w:val="18"/>
                <w:color w:val="auto"/>
              </w:rPr>
              <w:t>604</w:t>
            </w:r>
          </w:p>
        </w:tc>
        <w:tc>
          <w:tcPr>
            <w:tcW w:w="360" w:type="dxa"/>
            <w:vAlign w:val="bottom"/>
            <w:shd w:val="clear" w:color="auto" w:fill="EAF9E8"/>
          </w:tcPr>
          <w:p>
            <w:pPr>
              <w:spacing w:after="0"/>
              <w:rPr>
                <w:sz w:val="18"/>
                <w:szCs w:val="18"/>
                <w:color w:val="auto"/>
              </w:rPr>
            </w:pPr>
          </w:p>
        </w:tc>
        <w:tc>
          <w:tcPr>
            <w:tcW w:w="76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300"/>
              <w:spacing w:after="0"/>
              <w:rPr>
                <w:sz w:val="20"/>
                <w:szCs w:val="20"/>
                <w:color w:val="auto"/>
              </w:rPr>
            </w:pPr>
            <w:r>
              <w:rPr>
                <w:rFonts w:ascii="Arial" w:cs="Arial" w:eastAsia="Arial" w:hAnsi="Arial"/>
                <w:sz w:val="18"/>
                <w:szCs w:val="18"/>
                <w:color w:val="auto"/>
              </w:rPr>
              <w:t>Interest cost</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74"/>
              <w:spacing w:after="0"/>
              <w:rPr>
                <w:sz w:val="20"/>
                <w:szCs w:val="20"/>
                <w:color w:val="auto"/>
              </w:rPr>
            </w:pPr>
            <w:r>
              <w:rPr>
                <w:rFonts w:ascii="Arial" w:cs="Arial" w:eastAsia="Arial" w:hAnsi="Arial"/>
                <w:sz w:val="18"/>
                <w:szCs w:val="18"/>
                <w:color w:val="auto"/>
              </w:rPr>
              <w:t>774</w:t>
            </w:r>
          </w:p>
        </w:tc>
        <w:tc>
          <w:tcPr>
            <w:tcW w:w="340" w:type="dxa"/>
            <w:vAlign w:val="bottom"/>
          </w:tcPr>
          <w:p>
            <w:pPr>
              <w:spacing w:after="0"/>
              <w:rPr>
                <w:sz w:val="18"/>
                <w:szCs w:val="18"/>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691</w:t>
            </w:r>
          </w:p>
        </w:tc>
        <w:tc>
          <w:tcPr>
            <w:tcW w:w="36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615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EAF9E8"/>
          </w:tcPr>
          <w:p>
            <w:pPr>
              <w:ind w:left="300"/>
              <w:spacing w:after="0"/>
              <w:rPr>
                <w:sz w:val="20"/>
                <w:szCs w:val="20"/>
                <w:color w:val="auto"/>
              </w:rPr>
            </w:pPr>
            <w:r>
              <w:rPr>
                <w:rFonts w:ascii="Arial" w:cs="Arial" w:eastAsia="Arial" w:hAnsi="Arial"/>
                <w:sz w:val="18"/>
                <w:szCs w:val="18"/>
                <w:color w:val="auto"/>
              </w:rPr>
              <w:t>Actuarial (gain) loss</w:t>
            </w:r>
          </w:p>
        </w:tc>
        <w:tc>
          <w:tcPr>
            <w:tcW w:w="15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1,467</w:t>
            </w: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54"/>
              <w:spacing w:after="0"/>
              <w:rPr>
                <w:sz w:val="20"/>
                <w:szCs w:val="20"/>
                <w:color w:val="auto"/>
              </w:rPr>
            </w:pPr>
            <w:r>
              <w:rPr>
                <w:rFonts w:ascii="Arial" w:cs="Arial" w:eastAsia="Arial" w:hAnsi="Arial"/>
                <w:sz w:val="18"/>
                <w:szCs w:val="18"/>
                <w:color w:val="auto"/>
              </w:rPr>
              <w:t>910</w:t>
            </w:r>
          </w:p>
        </w:tc>
        <w:tc>
          <w:tcPr>
            <w:tcW w:w="360" w:type="dxa"/>
            <w:vAlign w:val="bottom"/>
            <w:shd w:val="clear" w:color="auto" w:fill="EAF9E8"/>
          </w:tcPr>
          <w:p>
            <w:pPr>
              <w:spacing w:after="0"/>
              <w:rPr>
                <w:sz w:val="18"/>
                <w:szCs w:val="18"/>
                <w:color w:val="auto"/>
              </w:rPr>
            </w:pPr>
          </w:p>
        </w:tc>
        <w:tc>
          <w:tcPr>
            <w:tcW w:w="76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1,211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300"/>
              <w:spacing w:after="0"/>
              <w:rPr>
                <w:sz w:val="20"/>
                <w:szCs w:val="20"/>
                <w:color w:val="auto"/>
              </w:rPr>
            </w:pPr>
            <w:r>
              <w:rPr>
                <w:rFonts w:ascii="Arial" w:cs="Arial" w:eastAsia="Arial" w:hAnsi="Arial"/>
                <w:sz w:val="18"/>
                <w:szCs w:val="18"/>
                <w:color w:val="auto"/>
              </w:rPr>
              <w:t>Benefits paid</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(305)</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(261)</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EAF9E8"/>
          </w:tcPr>
          <w:p>
            <w:pPr>
              <w:ind w:left="300"/>
              <w:spacing w:after="0"/>
              <w:rPr>
                <w:sz w:val="20"/>
                <w:szCs w:val="20"/>
                <w:color w:val="auto"/>
              </w:rPr>
            </w:pPr>
            <w:r>
              <w:rPr>
                <w:rFonts w:ascii="Arial" w:cs="Arial" w:eastAsia="Arial" w:hAnsi="Arial"/>
                <w:sz w:val="18"/>
                <w:szCs w:val="18"/>
                <w:color w:val="auto"/>
              </w:rPr>
              <w:t>Change in plan provisions</w:t>
            </w:r>
          </w:p>
        </w:tc>
        <w:tc>
          <w:tcPr>
            <w:tcW w:w="15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148</w:t>
            </w: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shd w:val="clear" w:color="auto" w:fill="EAF9E8"/>
          </w:tcPr>
          <w:p>
            <w:pPr>
              <w:spacing w:after="0"/>
              <w:rPr>
                <w:sz w:val="18"/>
                <w:szCs w:val="18"/>
                <w:color w:val="auto"/>
              </w:rPr>
            </w:pPr>
          </w:p>
        </w:tc>
        <w:tc>
          <w:tcPr>
            <w:tcW w:w="76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260" w:type="dxa"/>
            <w:vAlign w:val="bottom"/>
          </w:tcPr>
          <w:p>
            <w:pPr>
              <w:ind w:left="140"/>
              <w:spacing w:after="0"/>
              <w:rPr>
                <w:sz w:val="20"/>
                <w:szCs w:val="20"/>
                <w:color w:val="auto"/>
              </w:rPr>
            </w:pPr>
            <w:r>
              <w:rPr>
                <w:rFonts w:ascii="Arial" w:cs="Arial" w:eastAsia="Arial" w:hAnsi="Arial"/>
                <w:sz w:val="18"/>
                <w:szCs w:val="18"/>
                <w:color w:val="auto"/>
              </w:rPr>
              <w:t>Benefit obligation, ending</w:t>
            </w: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ind w:right="74"/>
              <w:spacing w:after="0"/>
              <w:rPr>
                <w:sz w:val="20"/>
                <w:szCs w:val="20"/>
                <w:color w:val="auto"/>
              </w:rPr>
            </w:pPr>
            <w:r>
              <w:rPr>
                <w:rFonts w:ascii="Arial" w:cs="Arial" w:eastAsia="Arial" w:hAnsi="Arial"/>
                <w:sz w:val="18"/>
                <w:szCs w:val="18"/>
                <w:color w:val="auto"/>
              </w:rPr>
              <w:t>16,422</w:t>
            </w:r>
          </w:p>
        </w:tc>
        <w:tc>
          <w:tcPr>
            <w:tcW w:w="340" w:type="dxa"/>
            <w:vAlign w:val="bottom"/>
          </w:tcPr>
          <w:p>
            <w:pPr>
              <w:spacing w:after="0"/>
              <w:rPr>
                <w:sz w:val="24"/>
                <w:szCs w:val="24"/>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13,594</w:t>
            </w:r>
          </w:p>
        </w:tc>
        <w:tc>
          <w:tcPr>
            <w:tcW w:w="360" w:type="dxa"/>
            <w:vAlign w:val="bottom"/>
          </w:tcPr>
          <w:p>
            <w:pPr>
              <w:spacing w:after="0"/>
              <w:rPr>
                <w:sz w:val="24"/>
                <w:szCs w:val="24"/>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11,650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3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EAF9E8"/>
          </w:tcPr>
          <w:p>
            <w:pPr>
              <w:spacing w:after="0"/>
              <w:rPr>
                <w:sz w:val="20"/>
                <w:szCs w:val="20"/>
                <w:color w:val="auto"/>
              </w:rPr>
            </w:pPr>
            <w:r>
              <w:rPr>
                <w:rFonts w:ascii="Arial" w:cs="Arial" w:eastAsia="Arial" w:hAnsi="Arial"/>
                <w:sz w:val="18"/>
                <w:szCs w:val="18"/>
                <w:color w:val="auto"/>
              </w:rPr>
              <w:t>Change in plan assets:</w:t>
            </w:r>
          </w:p>
        </w:tc>
        <w:tc>
          <w:tcPr>
            <w:tcW w:w="15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40"/>
              <w:spacing w:after="0"/>
              <w:rPr>
                <w:sz w:val="20"/>
                <w:szCs w:val="20"/>
                <w:color w:val="auto"/>
              </w:rPr>
            </w:pPr>
            <w:r>
              <w:rPr>
                <w:rFonts w:ascii="Arial" w:cs="Arial" w:eastAsia="Arial" w:hAnsi="Arial"/>
                <w:sz w:val="18"/>
                <w:szCs w:val="18"/>
                <w:color w:val="auto"/>
              </w:rPr>
              <w:t>Fair value of plan assets, beginning</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74"/>
              <w:spacing w:after="0"/>
              <w:rPr>
                <w:sz w:val="20"/>
                <w:szCs w:val="20"/>
                <w:color w:val="auto"/>
              </w:rPr>
            </w:pPr>
            <w:r>
              <w:rPr>
                <w:rFonts w:ascii="Arial" w:cs="Arial" w:eastAsia="Arial" w:hAnsi="Arial"/>
                <w:sz w:val="18"/>
                <w:szCs w:val="18"/>
                <w:color w:val="auto"/>
              </w:rPr>
              <w:t>10,717</w:t>
            </w:r>
          </w:p>
        </w:tc>
        <w:tc>
          <w:tcPr>
            <w:tcW w:w="340" w:type="dxa"/>
            <w:vAlign w:val="bottom"/>
          </w:tcPr>
          <w:p>
            <w:pPr>
              <w:spacing w:after="0"/>
              <w:rPr>
                <w:sz w:val="18"/>
                <w:szCs w:val="18"/>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7,853</w:t>
            </w:r>
          </w:p>
        </w:tc>
        <w:tc>
          <w:tcPr>
            <w:tcW w:w="36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6,705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EAF9E8"/>
          </w:tcPr>
          <w:p>
            <w:pPr>
              <w:ind w:left="300"/>
              <w:spacing w:after="0"/>
              <w:rPr>
                <w:sz w:val="20"/>
                <w:szCs w:val="20"/>
                <w:color w:val="auto"/>
              </w:rPr>
            </w:pPr>
            <w:r>
              <w:rPr>
                <w:rFonts w:ascii="Arial" w:cs="Arial" w:eastAsia="Arial" w:hAnsi="Arial"/>
                <w:sz w:val="18"/>
                <w:szCs w:val="18"/>
                <w:color w:val="auto"/>
              </w:rPr>
              <w:t>Actual return on plan assets</w:t>
            </w:r>
          </w:p>
        </w:tc>
        <w:tc>
          <w:tcPr>
            <w:tcW w:w="15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1,024</w:t>
            </w: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54"/>
              <w:spacing w:after="0"/>
              <w:rPr>
                <w:sz w:val="20"/>
                <w:szCs w:val="20"/>
                <w:color w:val="auto"/>
              </w:rPr>
            </w:pPr>
            <w:r>
              <w:rPr>
                <w:rFonts w:ascii="Arial" w:cs="Arial" w:eastAsia="Arial" w:hAnsi="Arial"/>
                <w:sz w:val="18"/>
                <w:szCs w:val="18"/>
                <w:color w:val="auto"/>
              </w:rPr>
              <w:t>1,154</w:t>
            </w:r>
          </w:p>
        </w:tc>
        <w:tc>
          <w:tcPr>
            <w:tcW w:w="360" w:type="dxa"/>
            <w:vAlign w:val="bottom"/>
            <w:shd w:val="clear" w:color="auto" w:fill="EAF9E8"/>
          </w:tcPr>
          <w:p>
            <w:pPr>
              <w:spacing w:after="0"/>
              <w:rPr>
                <w:sz w:val="18"/>
                <w:szCs w:val="18"/>
                <w:color w:val="auto"/>
              </w:rPr>
            </w:pPr>
          </w:p>
        </w:tc>
        <w:tc>
          <w:tcPr>
            <w:tcW w:w="76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948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300"/>
              <w:spacing w:after="0"/>
              <w:rPr>
                <w:sz w:val="20"/>
                <w:szCs w:val="20"/>
                <w:color w:val="auto"/>
              </w:rPr>
            </w:pPr>
            <w:r>
              <w:rPr>
                <w:rFonts w:ascii="Arial" w:cs="Arial" w:eastAsia="Arial" w:hAnsi="Arial"/>
                <w:sz w:val="18"/>
                <w:szCs w:val="18"/>
                <w:color w:val="auto"/>
              </w:rPr>
              <w:t>Benefits paid</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(305)</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(261)</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EAF9E8"/>
          </w:tcPr>
          <w:p>
            <w:pPr>
              <w:ind w:left="300"/>
              <w:spacing w:after="0"/>
              <w:rPr>
                <w:sz w:val="20"/>
                <w:szCs w:val="20"/>
                <w:color w:val="auto"/>
              </w:rPr>
            </w:pPr>
            <w:r>
              <w:rPr>
                <w:rFonts w:ascii="Arial" w:cs="Arial" w:eastAsia="Arial" w:hAnsi="Arial"/>
                <w:sz w:val="18"/>
                <w:szCs w:val="18"/>
                <w:color w:val="auto"/>
              </w:rPr>
              <w:t>Contributions made</w:t>
            </w:r>
          </w:p>
        </w:tc>
        <w:tc>
          <w:tcPr>
            <w:tcW w:w="15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1,219</w:t>
            </w:r>
          </w:p>
        </w:tc>
        <w:tc>
          <w:tcPr>
            <w:tcW w:w="34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54"/>
              <w:spacing w:after="0"/>
              <w:rPr>
                <w:sz w:val="20"/>
                <w:szCs w:val="20"/>
                <w:color w:val="auto"/>
              </w:rPr>
            </w:pPr>
            <w:r>
              <w:rPr>
                <w:rFonts w:ascii="Arial" w:cs="Arial" w:eastAsia="Arial" w:hAnsi="Arial"/>
                <w:sz w:val="18"/>
                <w:szCs w:val="18"/>
                <w:color w:val="auto"/>
              </w:rPr>
              <w:t>1,971</w:t>
            </w:r>
          </w:p>
        </w:tc>
        <w:tc>
          <w:tcPr>
            <w:tcW w:w="360" w:type="dxa"/>
            <w:vAlign w:val="bottom"/>
            <w:shd w:val="clear" w:color="auto" w:fill="EAF9E8"/>
          </w:tcPr>
          <w:p>
            <w:pPr>
              <w:spacing w:after="0"/>
              <w:rPr>
                <w:sz w:val="18"/>
                <w:szCs w:val="18"/>
                <w:color w:val="auto"/>
              </w:rPr>
            </w:pPr>
          </w:p>
        </w:tc>
        <w:tc>
          <w:tcPr>
            <w:tcW w:w="76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447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18"/>
                <w:szCs w:val="18"/>
                <w:color w:val="auto"/>
              </w:rPr>
              <w:t>F-27</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20" w:type="dxa"/>
            <w:vAlign w:val="bottom"/>
            <w:shd w:val="clear" w:color="auto" w:fill="808080"/>
          </w:tcPr>
          <w:p>
            <w:pPr>
              <w:spacing w:after="0"/>
              <w:rPr>
                <w:sz w:val="6"/>
                <w:szCs w:val="6"/>
                <w:color w:val="auto"/>
              </w:rPr>
            </w:pPr>
          </w:p>
        </w:tc>
        <w:tc>
          <w:tcPr>
            <w:tcW w:w="3260" w:type="dxa"/>
            <w:vAlign w:val="bottom"/>
            <w:shd w:val="clear" w:color="auto" w:fill="808080"/>
          </w:tcPr>
          <w:p>
            <w:pPr>
              <w:spacing w:after="0"/>
              <w:rPr>
                <w:sz w:val="6"/>
                <w:szCs w:val="6"/>
                <w:color w:val="auto"/>
              </w:rPr>
            </w:pPr>
          </w:p>
        </w:tc>
        <w:tc>
          <w:tcPr>
            <w:tcW w:w="1520" w:type="dxa"/>
            <w:vAlign w:val="bottom"/>
            <w:shd w:val="clear" w:color="auto" w:fill="808080"/>
          </w:tcPr>
          <w:p>
            <w:pPr>
              <w:spacing w:after="0"/>
              <w:rPr>
                <w:sz w:val="6"/>
                <w:szCs w:val="6"/>
                <w:color w:val="auto"/>
              </w:rPr>
            </w:pPr>
          </w:p>
        </w:tc>
        <w:tc>
          <w:tcPr>
            <w:tcW w:w="260" w:type="dxa"/>
            <w:vAlign w:val="bottom"/>
            <w:shd w:val="clear" w:color="auto" w:fill="808080"/>
          </w:tcPr>
          <w:p>
            <w:pPr>
              <w:spacing w:after="0"/>
              <w:rPr>
                <w:sz w:val="6"/>
                <w:szCs w:val="6"/>
                <w:color w:val="auto"/>
              </w:rPr>
            </w:pPr>
          </w:p>
        </w:tc>
        <w:tc>
          <w:tcPr>
            <w:tcW w:w="800" w:type="dxa"/>
            <w:vAlign w:val="bottom"/>
            <w:shd w:val="clear" w:color="auto" w:fill="808080"/>
          </w:tcPr>
          <w:p>
            <w:pPr>
              <w:spacing w:after="0"/>
              <w:rPr>
                <w:sz w:val="6"/>
                <w:szCs w:val="6"/>
                <w:color w:val="auto"/>
              </w:rPr>
            </w:pPr>
          </w:p>
        </w:tc>
        <w:tc>
          <w:tcPr>
            <w:tcW w:w="340" w:type="dxa"/>
            <w:vAlign w:val="bottom"/>
            <w:shd w:val="clear" w:color="auto" w:fill="808080"/>
          </w:tcPr>
          <w:p>
            <w:pPr>
              <w:spacing w:after="0"/>
              <w:rPr>
                <w:sz w:val="6"/>
                <w:szCs w:val="6"/>
                <w:color w:val="auto"/>
              </w:rPr>
            </w:pPr>
          </w:p>
        </w:tc>
        <w:tc>
          <w:tcPr>
            <w:tcW w:w="800" w:type="dxa"/>
            <w:vAlign w:val="bottom"/>
            <w:shd w:val="clear" w:color="auto" w:fill="808080"/>
          </w:tcPr>
          <w:p>
            <w:pPr>
              <w:spacing w:after="0"/>
              <w:rPr>
                <w:sz w:val="6"/>
                <w:szCs w:val="6"/>
                <w:color w:val="auto"/>
              </w:rPr>
            </w:pPr>
          </w:p>
        </w:tc>
        <w:tc>
          <w:tcPr>
            <w:tcW w:w="360" w:type="dxa"/>
            <w:vAlign w:val="bottom"/>
            <w:shd w:val="clear" w:color="auto" w:fill="808080"/>
          </w:tcPr>
          <w:p>
            <w:pPr>
              <w:spacing w:after="0"/>
              <w:rPr>
                <w:sz w:val="6"/>
                <w:szCs w:val="6"/>
                <w:color w:val="auto"/>
              </w:rPr>
            </w:pPr>
          </w:p>
        </w:tc>
        <w:tc>
          <w:tcPr>
            <w:tcW w:w="76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590" w:right="1440" w:bottom="1440" w:gutter="0" w:footer="0" w:header="0"/>
        </w:sectPr>
      </w:pPr>
    </w:p>
    <w:bookmarkStart w:id="100" w:name="page101"/>
    <w:bookmarkEnd w:id="100"/>
    <w:p>
      <w:pPr>
        <w:ind w:left="140"/>
        <w:spacing w:after="0"/>
        <w:rPr>
          <w:sz w:val="20"/>
          <w:szCs w:val="20"/>
          <w:color w:val="auto"/>
        </w:rPr>
      </w:pPr>
      <w:r>
        <w:rPr>
          <w:rFonts w:ascii="Arial" w:cs="Arial" w:eastAsia="Arial" w:hAnsi="Arial"/>
          <w:sz w:val="18"/>
          <w:szCs w:val="18"/>
          <w:color w:val="auto"/>
        </w:rPr>
        <w:t>Fair value of plan assets, 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145405" cy="13716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145405" cy="13716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Funded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145405" cy="13716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14540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Unrecognized net (gain)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Unrecognized prior service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5145405" cy="13716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14540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Unrecognized net transition asset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Accrued benefit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145405" cy="13716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145405" cy="13716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Components of net periodic benefit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5145405" cy="13716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145405" cy="137160"/>
                    </a:xfrm>
                    <a:prstGeom prst="rect">
                      <a:avLst/>
                    </a:prstGeom>
                    <a:noFill/>
                  </pic:spPr>
                </pic:pic>
              </a:graphicData>
            </a:graphic>
          </wp:anchor>
        </w:drawing>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Service cost</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Interest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5145405" cy="13716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145405"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Expected return on plan assets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Amortization of prior service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5145405" cy="13716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145405"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Amortization of net loss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Amortization of net transition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5145405" cy="13716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145405" cy="13716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Net periodic benefit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145405" cy="13716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14540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120" w:type="dxa"/>
            <w:vAlign w:val="bottom"/>
          </w:tcPr>
          <w:p>
            <w:pPr>
              <w:spacing w:after="0"/>
              <w:rPr>
                <w:sz w:val="19"/>
                <w:szCs w:val="19"/>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w w:val="87"/>
              </w:rPr>
              <w:t>12,655</w:t>
            </w:r>
          </w:p>
        </w:tc>
        <w:tc>
          <w:tcPr>
            <w:tcW w:w="220" w:type="dxa"/>
            <w:vAlign w:val="bottom"/>
          </w:tcPr>
          <w:p>
            <w:pPr>
              <w:spacing w:after="0"/>
              <w:rPr>
                <w:sz w:val="19"/>
                <w:szCs w:val="19"/>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w w:val="87"/>
              </w:rPr>
              <w:t>10,717</w:t>
            </w:r>
          </w:p>
        </w:tc>
        <w:tc>
          <w:tcPr>
            <w:tcW w:w="220" w:type="dxa"/>
            <w:vAlign w:val="bottom"/>
          </w:tcPr>
          <w:p>
            <w:pPr>
              <w:spacing w:after="0"/>
              <w:rPr>
                <w:sz w:val="19"/>
                <w:szCs w:val="19"/>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7,853</w:t>
            </w:r>
          </w:p>
        </w:tc>
      </w:tr>
      <w:tr>
        <w:trPr>
          <w:trHeight w:val="110"/>
        </w:trPr>
        <w:tc>
          <w:tcPr>
            <w:tcW w:w="1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r>
        <w:trPr>
          <w:trHeight w:val="458"/>
        </w:trPr>
        <w:tc>
          <w:tcPr>
            <w:tcW w:w="120" w:type="dxa"/>
            <w:vAlign w:val="bottom"/>
          </w:tcPr>
          <w:p>
            <w:pPr>
              <w:spacing w:after="0"/>
              <w:rPr>
                <w:sz w:val="24"/>
                <w:szCs w:val="24"/>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w w:val="91"/>
              </w:rPr>
              <w:t>(3,767)</w:t>
            </w:r>
          </w:p>
        </w:tc>
        <w:tc>
          <w:tcPr>
            <w:tcW w:w="220" w:type="dxa"/>
            <w:vAlign w:val="bottom"/>
          </w:tcPr>
          <w:p>
            <w:pPr>
              <w:spacing w:after="0"/>
              <w:rPr>
                <w:sz w:val="24"/>
                <w:szCs w:val="24"/>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4"/>
              </w:rPr>
              <w:t>(2,876)</w:t>
            </w:r>
          </w:p>
        </w:tc>
        <w:tc>
          <w:tcPr>
            <w:tcW w:w="220" w:type="dxa"/>
            <w:vAlign w:val="bottom"/>
          </w:tcPr>
          <w:p>
            <w:pPr>
              <w:spacing w:after="0"/>
              <w:rPr>
                <w:sz w:val="24"/>
                <w:szCs w:val="24"/>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w w:val="91"/>
              </w:rPr>
              <w:t>(3,797)</w:t>
            </w:r>
          </w:p>
        </w:tc>
      </w:tr>
      <w:tr>
        <w:trPr>
          <w:trHeight w:val="216"/>
        </w:trPr>
        <w:tc>
          <w:tcPr>
            <w:tcW w:w="12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3,667</w:t>
            </w:r>
          </w:p>
        </w:tc>
        <w:tc>
          <w:tcPr>
            <w:tcW w:w="22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2,501</w:t>
            </w:r>
          </w:p>
        </w:tc>
        <w:tc>
          <w:tcPr>
            <w:tcW w:w="22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2,229</w:t>
            </w:r>
          </w:p>
        </w:tc>
      </w:tr>
      <w:tr>
        <w:trPr>
          <w:trHeight w:val="216"/>
        </w:trPr>
        <w:tc>
          <w:tcPr>
            <w:tcW w:w="12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337</w:t>
            </w:r>
          </w:p>
        </w:tc>
        <w:tc>
          <w:tcPr>
            <w:tcW w:w="22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252</w:t>
            </w:r>
          </w:p>
        </w:tc>
      </w:tr>
      <w:tr>
        <w:trPr>
          <w:trHeight w:val="222"/>
        </w:trPr>
        <w:tc>
          <w:tcPr>
            <w:tcW w:w="120" w:type="dxa"/>
            <w:vAlign w:val="bottom"/>
          </w:tcPr>
          <w:p>
            <w:pPr>
              <w:spacing w:after="0"/>
              <w:rPr>
                <w:sz w:val="19"/>
                <w:szCs w:val="19"/>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(9)</w:t>
            </w:r>
          </w:p>
        </w:tc>
      </w:tr>
      <w:tr>
        <w:trPr>
          <w:trHeight w:val="110"/>
        </w:trPr>
        <w:tc>
          <w:tcPr>
            <w:tcW w:w="1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r>
        <w:trPr>
          <w:trHeight w:val="316"/>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237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(155)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2"/>
              <w:spacing w:after="0"/>
              <w:rPr>
                <w:sz w:val="20"/>
                <w:szCs w:val="20"/>
                <w:color w:val="auto"/>
              </w:rPr>
            </w:pPr>
            <w:r>
              <w:rPr>
                <w:rFonts w:ascii="Arial" w:cs="Arial" w:eastAsia="Arial" w:hAnsi="Arial"/>
                <w:sz w:val="18"/>
                <w:szCs w:val="18"/>
                <w:color w:val="auto"/>
                <w:w w:val="91"/>
              </w:rPr>
              <w:t>(1,325)</w:t>
            </w:r>
          </w:p>
        </w:tc>
      </w:tr>
      <w:tr>
        <w:trPr>
          <w:trHeight w:val="120"/>
        </w:trPr>
        <w:tc>
          <w:tcPr>
            <w:tcW w:w="1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r>
      <w:tr>
        <w:trPr>
          <w:trHeight w:val="529"/>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744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604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486</w:t>
            </w:r>
          </w:p>
        </w:tc>
      </w:tr>
      <w:tr>
        <w:trPr>
          <w:trHeight w:val="216"/>
        </w:trPr>
        <w:tc>
          <w:tcPr>
            <w:tcW w:w="12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774</w:t>
            </w:r>
          </w:p>
        </w:tc>
        <w:tc>
          <w:tcPr>
            <w:tcW w:w="22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691</w:t>
            </w:r>
          </w:p>
        </w:tc>
        <w:tc>
          <w:tcPr>
            <w:tcW w:w="22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615</w:t>
            </w:r>
          </w:p>
        </w:tc>
      </w:tr>
      <w:tr>
        <w:trPr>
          <w:trHeight w:val="216"/>
        </w:trPr>
        <w:tc>
          <w:tcPr>
            <w:tcW w:w="12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(793)</w:t>
            </w:r>
          </w:p>
        </w:tc>
        <w:tc>
          <w:tcPr>
            <w:tcW w:w="22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(579)</w:t>
            </w:r>
          </w:p>
        </w:tc>
        <w:tc>
          <w:tcPr>
            <w:tcW w:w="220" w:type="dxa"/>
            <w:vAlign w:val="bottom"/>
          </w:tcPr>
          <w:p>
            <w:pPr>
              <w:spacing w:after="0"/>
              <w:rPr>
                <w:sz w:val="18"/>
                <w:szCs w:val="18"/>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(494)</w:t>
            </w:r>
          </w:p>
        </w:tc>
      </w:tr>
      <w:tr>
        <w:trPr>
          <w:trHeight w:val="216"/>
        </w:trPr>
        <w:tc>
          <w:tcPr>
            <w:tcW w:w="12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31</w:t>
            </w:r>
          </w:p>
        </w:tc>
      </w:tr>
      <w:tr>
        <w:trPr>
          <w:trHeight w:val="216"/>
        </w:trPr>
        <w:tc>
          <w:tcPr>
            <w:tcW w:w="12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32</w:t>
            </w:r>
          </w:p>
        </w:tc>
      </w:tr>
      <w:tr>
        <w:trPr>
          <w:trHeight w:val="222"/>
        </w:trPr>
        <w:tc>
          <w:tcPr>
            <w:tcW w:w="120" w:type="dxa"/>
            <w:vAlign w:val="bottom"/>
          </w:tcPr>
          <w:p>
            <w:pPr>
              <w:spacing w:after="0"/>
              <w:rPr>
                <w:sz w:val="19"/>
                <w:szCs w:val="19"/>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(29)</w:t>
            </w:r>
          </w:p>
        </w:tc>
      </w:tr>
      <w:tr>
        <w:trPr>
          <w:trHeight w:val="110"/>
        </w:trPr>
        <w:tc>
          <w:tcPr>
            <w:tcW w:w="1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r>
        <w:trPr>
          <w:trHeight w:val="316"/>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827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800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641</w:t>
            </w:r>
          </w:p>
        </w:tc>
      </w:tr>
      <w:tr>
        <w:trPr>
          <w:trHeight w:val="120"/>
        </w:trPr>
        <w:tc>
          <w:tcPr>
            <w:tcW w:w="1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-2771140</wp:posOffset>
            </wp:positionV>
            <wp:extent cx="1663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663700" cy="8890"/>
                    </a:xfrm>
                    <a:prstGeom prst="rect">
                      <a:avLst/>
                    </a:prstGeom>
                    <a:noFill/>
                  </pic:spPr>
                </pic:pic>
              </a:graphicData>
            </a:graphic>
          </wp:anchor>
        </w:drawing>
        <w:drawing>
          <wp:anchor simplePos="0" relativeHeight="251657728" behindDoc="1" locked="0" layoutInCell="0" allowOverlap="1">
            <wp:simplePos x="0" y="0"/>
            <wp:positionH relativeFrom="column">
              <wp:posOffset>1655445</wp:posOffset>
            </wp:positionH>
            <wp:positionV relativeFrom="paragraph">
              <wp:posOffset>-1412240</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-1412240</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1655445</wp:posOffset>
            </wp:positionH>
            <wp:positionV relativeFrom="paragraph">
              <wp:posOffset>-14605</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00" w:space="720"/>
            <w:col w:w="4799"/>
          </w:cols>
          <w:pgMar w:left="240" w:top="617" w:right="1440" w:bottom="1440" w:gutter="0" w:footer="0" w:header="0"/>
        </w:sectPr>
      </w:pPr>
    </w:p>
    <w:p>
      <w:pPr>
        <w:spacing w:after="0" w:line="113" w:lineRule="exact"/>
        <w:rPr>
          <w:sz w:val="20"/>
          <w:szCs w:val="20"/>
          <w:color w:val="auto"/>
        </w:rPr>
      </w:pPr>
    </w:p>
    <w:p>
      <w:pPr>
        <w:ind w:right="2179"/>
        <w:spacing w:after="0" w:line="268" w:lineRule="auto"/>
        <w:rPr>
          <w:sz w:val="20"/>
          <w:szCs w:val="20"/>
          <w:color w:val="auto"/>
        </w:rPr>
      </w:pPr>
      <w:r>
        <w:rPr>
          <w:rFonts w:ascii="Arial" w:cs="Arial" w:eastAsia="Arial" w:hAnsi="Arial"/>
          <w:sz w:val="18"/>
          <w:szCs w:val="18"/>
          <w:color w:val="auto"/>
        </w:rPr>
        <w:t>The accumulated benefit obligation for the qualified retirement plan was $10,824, $9,115 and $7,872 at December 31, 2005, 2004 and 2003, respectively.</w:t>
      </w:r>
    </w:p>
    <w:p>
      <w:pPr>
        <w:spacing w:after="0" w:line="186" w:lineRule="exact"/>
        <w:rPr>
          <w:sz w:val="20"/>
          <w:szCs w:val="20"/>
          <w:color w:val="auto"/>
        </w:rPr>
      </w:pPr>
    </w:p>
    <w:p>
      <w:pPr>
        <w:ind w:right="2259"/>
        <w:spacing w:after="0" w:line="268" w:lineRule="auto"/>
        <w:rPr>
          <w:sz w:val="20"/>
          <w:szCs w:val="20"/>
          <w:color w:val="auto"/>
        </w:rPr>
      </w:pPr>
      <w:r>
        <w:rPr>
          <w:rFonts w:ascii="Arial" w:cs="Arial" w:eastAsia="Arial" w:hAnsi="Arial"/>
          <w:sz w:val="18"/>
          <w:szCs w:val="18"/>
          <w:color w:val="auto"/>
        </w:rPr>
        <w:t>Weighted average assumptions used by the Company in the determination of benefit obligations at December 31, 2005, 2004 and 2003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60" w:type="dxa"/>
            <w:vAlign w:val="bottom"/>
          </w:tcPr>
          <w:p>
            <w:pPr>
              <w:spacing w:after="0"/>
              <w:rPr>
                <w:sz w:val="15"/>
                <w:szCs w:val="15"/>
                <w:color w:val="auto"/>
              </w:rPr>
            </w:pPr>
          </w:p>
        </w:tc>
        <w:tc>
          <w:tcPr>
            <w:tcW w:w="920" w:type="dxa"/>
            <w:vAlign w:val="bottom"/>
          </w:tcPr>
          <w:p>
            <w:pPr>
              <w:jc w:val="right"/>
              <w:ind w:right="259"/>
              <w:spacing w:after="0"/>
              <w:rPr>
                <w:sz w:val="20"/>
                <w:szCs w:val="20"/>
                <w:color w:val="auto"/>
              </w:rPr>
            </w:pPr>
            <w:r>
              <w:rPr>
                <w:rFonts w:ascii="Arial" w:cs="Arial" w:eastAsia="Arial" w:hAnsi="Arial"/>
                <w:sz w:val="14"/>
                <w:szCs w:val="14"/>
                <w:b w:val="1"/>
                <w:bCs w:val="1"/>
                <w:color w:val="auto"/>
              </w:rPr>
              <w:t>2005</w:t>
            </w:r>
          </w:p>
        </w:tc>
        <w:tc>
          <w:tcPr>
            <w:tcW w:w="860" w:type="dxa"/>
            <w:vAlign w:val="bottom"/>
          </w:tcPr>
          <w:p>
            <w:pPr>
              <w:jc w:val="right"/>
              <w:ind w:right="259"/>
              <w:spacing w:after="0"/>
              <w:rPr>
                <w:sz w:val="20"/>
                <w:szCs w:val="20"/>
                <w:color w:val="auto"/>
              </w:rPr>
            </w:pPr>
            <w:r>
              <w:rPr>
                <w:rFonts w:ascii="Arial" w:cs="Arial" w:eastAsia="Arial" w:hAnsi="Arial"/>
                <w:sz w:val="14"/>
                <w:szCs w:val="14"/>
                <w:b w:val="1"/>
                <w:bCs w:val="1"/>
                <w:color w:val="auto"/>
              </w:rPr>
              <w:t>2004</w:t>
            </w:r>
          </w:p>
        </w:tc>
        <w:tc>
          <w:tcPr>
            <w:tcW w:w="900" w:type="dxa"/>
            <w:vAlign w:val="bottom"/>
          </w:tcPr>
          <w:p>
            <w:pPr>
              <w:jc w:val="right"/>
              <w:ind w:right="299"/>
              <w:spacing w:after="0"/>
              <w:rPr>
                <w:sz w:val="20"/>
                <w:szCs w:val="20"/>
                <w:color w:val="auto"/>
              </w:rPr>
            </w:pPr>
            <w:r>
              <w:rPr>
                <w:rFonts w:ascii="Arial" w:cs="Arial" w:eastAsia="Arial" w:hAnsi="Arial"/>
                <w:sz w:val="14"/>
                <w:szCs w:val="14"/>
                <w:b w:val="1"/>
                <w:bCs w:val="1"/>
                <w:color w:val="auto"/>
              </w:rPr>
              <w:t>2003</w:t>
            </w:r>
          </w:p>
        </w:tc>
      </w:tr>
      <w:tr>
        <w:trPr>
          <w:trHeight w:val="95"/>
        </w:trPr>
        <w:tc>
          <w:tcPr>
            <w:tcW w:w="546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r>
      <w:tr>
        <w:trPr>
          <w:trHeight w:val="309"/>
        </w:trPr>
        <w:tc>
          <w:tcPr>
            <w:tcW w:w="5460" w:type="dxa"/>
            <w:vAlign w:val="bottom"/>
          </w:tcPr>
          <w:p>
            <w:pPr>
              <w:spacing w:after="0"/>
              <w:rPr>
                <w:sz w:val="20"/>
                <w:szCs w:val="20"/>
                <w:color w:val="auto"/>
              </w:rPr>
            </w:pPr>
            <w:r>
              <w:rPr>
                <w:rFonts w:ascii="Arial" w:cs="Arial" w:eastAsia="Arial" w:hAnsi="Arial"/>
                <w:sz w:val="18"/>
                <w:szCs w:val="18"/>
                <w:color w:val="auto"/>
              </w:rPr>
              <w:t>Discount rate</w:t>
            </w:r>
          </w:p>
        </w:tc>
        <w:tc>
          <w:tcPr>
            <w:tcW w:w="920" w:type="dxa"/>
            <w:vAlign w:val="bottom"/>
          </w:tcPr>
          <w:p>
            <w:pPr>
              <w:jc w:val="right"/>
              <w:ind w:right="99"/>
              <w:spacing w:after="0"/>
              <w:rPr>
                <w:sz w:val="20"/>
                <w:szCs w:val="20"/>
                <w:color w:val="auto"/>
              </w:rPr>
            </w:pPr>
            <w:r>
              <w:rPr>
                <w:rFonts w:ascii="Arial" w:cs="Arial" w:eastAsia="Arial" w:hAnsi="Arial"/>
                <w:sz w:val="18"/>
                <w:szCs w:val="18"/>
                <w:color w:val="auto"/>
              </w:rPr>
              <w:t>5.50%</w:t>
            </w:r>
          </w:p>
        </w:tc>
        <w:tc>
          <w:tcPr>
            <w:tcW w:w="860" w:type="dxa"/>
            <w:vAlign w:val="bottom"/>
          </w:tcPr>
          <w:p>
            <w:pPr>
              <w:jc w:val="right"/>
              <w:ind w:right="119"/>
              <w:spacing w:after="0"/>
              <w:rPr>
                <w:sz w:val="20"/>
                <w:szCs w:val="20"/>
                <w:color w:val="auto"/>
              </w:rPr>
            </w:pPr>
            <w:r>
              <w:rPr>
                <w:rFonts w:ascii="Arial" w:cs="Arial" w:eastAsia="Arial" w:hAnsi="Arial"/>
                <w:sz w:val="18"/>
                <w:szCs w:val="18"/>
                <w:color w:val="auto"/>
              </w:rPr>
              <w:t>5.75%</w:t>
            </w:r>
          </w:p>
        </w:tc>
        <w:tc>
          <w:tcPr>
            <w:tcW w:w="900" w:type="dxa"/>
            <w:vAlign w:val="bottom"/>
          </w:tcPr>
          <w:p>
            <w:pPr>
              <w:jc w:val="right"/>
              <w:ind w:right="159"/>
              <w:spacing w:after="0"/>
              <w:rPr>
                <w:sz w:val="20"/>
                <w:szCs w:val="20"/>
                <w:color w:val="auto"/>
              </w:rPr>
            </w:pPr>
            <w:r>
              <w:rPr>
                <w:rFonts w:ascii="Arial" w:cs="Arial" w:eastAsia="Arial" w:hAnsi="Arial"/>
                <w:sz w:val="18"/>
                <w:szCs w:val="18"/>
                <w:color w:val="auto"/>
              </w:rPr>
              <w:t>6.00%</w:t>
            </w: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Rate of increase in compensation levels</w:t>
            </w:r>
          </w:p>
        </w:tc>
        <w:tc>
          <w:tcPr>
            <w:tcW w:w="920" w:type="dxa"/>
            <w:vAlign w:val="bottom"/>
          </w:tcPr>
          <w:p>
            <w:pPr>
              <w:jc w:val="right"/>
              <w:ind w:right="99"/>
              <w:spacing w:after="0"/>
              <w:rPr>
                <w:sz w:val="20"/>
                <w:szCs w:val="20"/>
                <w:color w:val="auto"/>
              </w:rPr>
            </w:pPr>
            <w:r>
              <w:rPr>
                <w:rFonts w:ascii="Arial" w:cs="Arial" w:eastAsia="Arial" w:hAnsi="Arial"/>
                <w:sz w:val="18"/>
                <w:szCs w:val="18"/>
                <w:color w:val="auto"/>
              </w:rPr>
              <w:t>4.50%</w:t>
            </w:r>
          </w:p>
        </w:tc>
        <w:tc>
          <w:tcPr>
            <w:tcW w:w="860" w:type="dxa"/>
            <w:vAlign w:val="bottom"/>
          </w:tcPr>
          <w:p>
            <w:pPr>
              <w:jc w:val="right"/>
              <w:ind w:right="119"/>
              <w:spacing w:after="0"/>
              <w:rPr>
                <w:sz w:val="20"/>
                <w:szCs w:val="20"/>
                <w:color w:val="auto"/>
              </w:rPr>
            </w:pPr>
            <w:r>
              <w:rPr>
                <w:rFonts w:ascii="Arial" w:cs="Arial" w:eastAsia="Arial" w:hAnsi="Arial"/>
                <w:sz w:val="18"/>
                <w:szCs w:val="18"/>
                <w:color w:val="auto"/>
              </w:rPr>
              <w:t>4.50%</w:t>
            </w:r>
          </w:p>
        </w:tc>
        <w:tc>
          <w:tcPr>
            <w:tcW w:w="900" w:type="dxa"/>
            <w:vAlign w:val="bottom"/>
          </w:tcPr>
          <w:p>
            <w:pPr>
              <w:jc w:val="right"/>
              <w:ind w:right="159"/>
              <w:spacing w:after="0"/>
              <w:rPr>
                <w:sz w:val="20"/>
                <w:szCs w:val="20"/>
                <w:color w:val="auto"/>
              </w:rPr>
            </w:pPr>
            <w:r>
              <w:rPr>
                <w:rFonts w:ascii="Arial" w:cs="Arial" w:eastAsia="Arial" w:hAnsi="Arial"/>
                <w:sz w:val="18"/>
                <w:szCs w:val="18"/>
                <w:color w:val="auto"/>
              </w:rPr>
              <w:t>4.50%</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assumptions used by the Company in the determination of net pension cost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2005, 2004, and 2003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920" w:type="dxa"/>
            <w:vAlign w:val="bottom"/>
          </w:tcPr>
          <w:p>
            <w:pPr>
              <w:jc w:val="right"/>
              <w:ind w:right="257"/>
              <w:spacing w:after="0"/>
              <w:rPr>
                <w:sz w:val="20"/>
                <w:szCs w:val="20"/>
                <w:color w:val="auto"/>
              </w:rPr>
            </w:pPr>
            <w:r>
              <w:rPr>
                <w:rFonts w:ascii="Arial" w:cs="Arial" w:eastAsia="Arial" w:hAnsi="Arial"/>
                <w:sz w:val="14"/>
                <w:szCs w:val="14"/>
                <w:b w:val="1"/>
                <w:bCs w:val="1"/>
                <w:color w:val="auto"/>
              </w:rPr>
              <w:t>2005</w:t>
            </w:r>
          </w:p>
        </w:tc>
        <w:tc>
          <w:tcPr>
            <w:tcW w:w="860" w:type="dxa"/>
            <w:vAlign w:val="bottom"/>
          </w:tcPr>
          <w:p>
            <w:pPr>
              <w:jc w:val="right"/>
              <w:ind w:right="257"/>
              <w:spacing w:after="0"/>
              <w:rPr>
                <w:sz w:val="20"/>
                <w:szCs w:val="20"/>
                <w:color w:val="auto"/>
              </w:rPr>
            </w:pPr>
            <w:r>
              <w:rPr>
                <w:rFonts w:ascii="Arial" w:cs="Arial" w:eastAsia="Arial" w:hAnsi="Arial"/>
                <w:sz w:val="14"/>
                <w:szCs w:val="14"/>
                <w:b w:val="1"/>
                <w:bCs w:val="1"/>
                <w:color w:val="auto"/>
              </w:rPr>
              <w:t>2004</w:t>
            </w:r>
          </w:p>
        </w:tc>
        <w:tc>
          <w:tcPr>
            <w:tcW w:w="880" w:type="dxa"/>
            <w:vAlign w:val="bottom"/>
          </w:tcPr>
          <w:p>
            <w:pPr>
              <w:jc w:val="right"/>
              <w:ind w:right="277"/>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EAF9E8"/>
          </w:tcPr>
          <w:p>
            <w:pPr>
              <w:spacing w:after="0"/>
              <w:rPr>
                <w:sz w:val="20"/>
                <w:szCs w:val="20"/>
                <w:color w:val="auto"/>
              </w:rPr>
            </w:pPr>
            <w:r>
              <w:rPr>
                <w:rFonts w:ascii="Arial" w:cs="Arial" w:eastAsia="Arial" w:hAnsi="Arial"/>
                <w:sz w:val="18"/>
                <w:szCs w:val="18"/>
                <w:color w:val="auto"/>
              </w:rPr>
              <w:t>Discount Rate</w:t>
            </w:r>
          </w:p>
        </w:tc>
        <w:tc>
          <w:tcPr>
            <w:tcW w:w="920" w:type="dxa"/>
            <w:vAlign w:val="bottom"/>
            <w:shd w:val="clear" w:color="auto" w:fill="EAF9E8"/>
          </w:tcPr>
          <w:p>
            <w:pPr>
              <w:jc w:val="right"/>
              <w:ind w:right="97"/>
              <w:spacing w:after="0"/>
              <w:rPr>
                <w:sz w:val="20"/>
                <w:szCs w:val="20"/>
                <w:color w:val="auto"/>
              </w:rPr>
            </w:pPr>
            <w:r>
              <w:rPr>
                <w:rFonts w:ascii="Arial" w:cs="Arial" w:eastAsia="Arial" w:hAnsi="Arial"/>
                <w:sz w:val="18"/>
                <w:szCs w:val="18"/>
                <w:color w:val="auto"/>
              </w:rPr>
              <w:t>5.75%</w:t>
            </w:r>
          </w:p>
        </w:tc>
        <w:tc>
          <w:tcPr>
            <w:tcW w:w="860" w:type="dxa"/>
            <w:vAlign w:val="bottom"/>
            <w:shd w:val="clear" w:color="auto" w:fill="EAF9E8"/>
          </w:tcPr>
          <w:p>
            <w:pPr>
              <w:jc w:val="right"/>
              <w:ind w:right="117"/>
              <w:spacing w:after="0"/>
              <w:rPr>
                <w:sz w:val="20"/>
                <w:szCs w:val="20"/>
                <w:color w:val="auto"/>
              </w:rPr>
            </w:pPr>
            <w:r>
              <w:rPr>
                <w:rFonts w:ascii="Arial" w:cs="Arial" w:eastAsia="Arial" w:hAnsi="Arial"/>
                <w:sz w:val="18"/>
                <w:szCs w:val="18"/>
                <w:color w:val="auto"/>
              </w:rPr>
              <w:t>6.00%</w:t>
            </w:r>
          </w:p>
        </w:tc>
        <w:tc>
          <w:tcPr>
            <w:tcW w:w="880" w:type="dxa"/>
            <w:vAlign w:val="bottom"/>
            <w:shd w:val="clear" w:color="auto" w:fill="EAF9E8"/>
          </w:tcPr>
          <w:p>
            <w:pPr>
              <w:jc w:val="right"/>
              <w:ind w:right="137"/>
              <w:spacing w:after="0"/>
              <w:rPr>
                <w:sz w:val="20"/>
                <w:szCs w:val="20"/>
                <w:color w:val="auto"/>
              </w:rPr>
            </w:pPr>
            <w:r>
              <w:rPr>
                <w:rFonts w:ascii="Arial" w:cs="Arial" w:eastAsia="Arial" w:hAnsi="Arial"/>
                <w:sz w:val="18"/>
                <w:szCs w:val="18"/>
                <w:color w:val="auto"/>
              </w:rPr>
              <w:t>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Rate of increase in compensation level</w:t>
            </w:r>
          </w:p>
        </w:tc>
        <w:tc>
          <w:tcPr>
            <w:tcW w:w="920" w:type="dxa"/>
            <w:vAlign w:val="bottom"/>
          </w:tcPr>
          <w:p>
            <w:pPr>
              <w:jc w:val="right"/>
              <w:ind w:right="97"/>
              <w:spacing w:after="0"/>
              <w:rPr>
                <w:sz w:val="20"/>
                <w:szCs w:val="20"/>
                <w:color w:val="auto"/>
              </w:rPr>
            </w:pPr>
            <w:r>
              <w:rPr>
                <w:rFonts w:ascii="Arial" w:cs="Arial" w:eastAsia="Arial" w:hAnsi="Arial"/>
                <w:sz w:val="18"/>
                <w:szCs w:val="18"/>
                <w:color w:val="auto"/>
              </w:rPr>
              <w:t>4.50%</w:t>
            </w:r>
          </w:p>
        </w:tc>
        <w:tc>
          <w:tcPr>
            <w:tcW w:w="860" w:type="dxa"/>
            <w:vAlign w:val="bottom"/>
          </w:tcPr>
          <w:p>
            <w:pPr>
              <w:jc w:val="right"/>
              <w:ind w:right="117"/>
              <w:spacing w:after="0"/>
              <w:rPr>
                <w:sz w:val="20"/>
                <w:szCs w:val="20"/>
                <w:color w:val="auto"/>
              </w:rPr>
            </w:pPr>
            <w:r>
              <w:rPr>
                <w:rFonts w:ascii="Arial" w:cs="Arial" w:eastAsia="Arial" w:hAnsi="Arial"/>
                <w:sz w:val="18"/>
                <w:szCs w:val="18"/>
                <w:color w:val="auto"/>
              </w:rPr>
              <w:t>4.50%</w:t>
            </w:r>
          </w:p>
        </w:tc>
        <w:tc>
          <w:tcPr>
            <w:tcW w:w="880" w:type="dxa"/>
            <w:vAlign w:val="bottom"/>
          </w:tcPr>
          <w:p>
            <w:pPr>
              <w:jc w:val="right"/>
              <w:ind w:right="137"/>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AF9E8"/>
          </w:tcPr>
          <w:p>
            <w:pPr>
              <w:spacing w:after="0"/>
              <w:rPr>
                <w:sz w:val="20"/>
                <w:szCs w:val="20"/>
                <w:color w:val="auto"/>
              </w:rPr>
            </w:pPr>
            <w:r>
              <w:rPr>
                <w:rFonts w:ascii="Arial" w:cs="Arial" w:eastAsia="Arial" w:hAnsi="Arial"/>
                <w:sz w:val="18"/>
                <w:szCs w:val="18"/>
                <w:color w:val="auto"/>
              </w:rPr>
              <w:t>Expected long-term rate of return on plan assets</w:t>
            </w:r>
          </w:p>
        </w:tc>
        <w:tc>
          <w:tcPr>
            <w:tcW w:w="920" w:type="dxa"/>
            <w:vAlign w:val="bottom"/>
            <w:shd w:val="clear" w:color="auto" w:fill="EAF9E8"/>
          </w:tcPr>
          <w:p>
            <w:pPr>
              <w:jc w:val="right"/>
              <w:ind w:right="97"/>
              <w:spacing w:after="0"/>
              <w:rPr>
                <w:sz w:val="20"/>
                <w:szCs w:val="20"/>
                <w:color w:val="auto"/>
              </w:rPr>
            </w:pPr>
            <w:r>
              <w:rPr>
                <w:rFonts w:ascii="Arial" w:cs="Arial" w:eastAsia="Arial" w:hAnsi="Arial"/>
                <w:sz w:val="18"/>
                <w:szCs w:val="18"/>
                <w:color w:val="auto"/>
              </w:rPr>
              <w:t>7.50%</w:t>
            </w:r>
          </w:p>
        </w:tc>
        <w:tc>
          <w:tcPr>
            <w:tcW w:w="860" w:type="dxa"/>
            <w:vAlign w:val="bottom"/>
            <w:shd w:val="clear" w:color="auto" w:fill="EAF9E8"/>
          </w:tcPr>
          <w:p>
            <w:pPr>
              <w:jc w:val="right"/>
              <w:ind w:right="117"/>
              <w:spacing w:after="0"/>
              <w:rPr>
                <w:sz w:val="20"/>
                <w:szCs w:val="20"/>
                <w:color w:val="auto"/>
              </w:rPr>
            </w:pPr>
            <w:r>
              <w:rPr>
                <w:rFonts w:ascii="Arial" w:cs="Arial" w:eastAsia="Arial" w:hAnsi="Arial"/>
                <w:sz w:val="18"/>
                <w:szCs w:val="18"/>
                <w:color w:val="auto"/>
              </w:rPr>
              <w:t>7.50%</w:t>
            </w:r>
          </w:p>
        </w:tc>
        <w:tc>
          <w:tcPr>
            <w:tcW w:w="880" w:type="dxa"/>
            <w:vAlign w:val="bottom"/>
            <w:shd w:val="clear" w:color="auto" w:fill="EAF9E8"/>
          </w:tcPr>
          <w:p>
            <w:pPr>
              <w:jc w:val="right"/>
              <w:ind w:right="137"/>
              <w:spacing w:after="0"/>
              <w:rPr>
                <w:sz w:val="20"/>
                <w:szCs w:val="20"/>
                <w:color w:val="auto"/>
              </w:rPr>
            </w:pPr>
            <w:r>
              <w:rPr>
                <w:rFonts w:ascii="Arial" w:cs="Arial" w:eastAsia="Arial" w:hAnsi="Arial"/>
                <w:sz w:val="18"/>
                <w:szCs w:val="18"/>
                <w:color w:val="auto"/>
              </w:rPr>
              <w:t>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419"/>
        <w:spacing w:after="0" w:line="268" w:lineRule="auto"/>
        <w:rPr>
          <w:sz w:val="20"/>
          <w:szCs w:val="20"/>
          <w:color w:val="auto"/>
        </w:rPr>
      </w:pPr>
      <w:r>
        <w:rPr>
          <w:rFonts w:ascii="Arial" w:cs="Arial" w:eastAsia="Arial" w:hAnsi="Arial"/>
          <w:sz w:val="18"/>
          <w:szCs w:val="18"/>
          <w:color w:val="auto"/>
        </w:rPr>
        <w:t>The Company’s pension plan asset allocations based on market value at December 31, 2005 and 2004, by asset category were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60" w:type="dxa"/>
            <w:vAlign w:val="bottom"/>
          </w:tcPr>
          <w:p>
            <w:pPr>
              <w:spacing w:after="0"/>
              <w:rPr>
                <w:sz w:val="20"/>
                <w:szCs w:val="20"/>
                <w:color w:val="auto"/>
              </w:rPr>
            </w:pPr>
            <w:r>
              <w:rPr>
                <w:rFonts w:ascii="Arial" w:cs="Arial" w:eastAsia="Arial" w:hAnsi="Arial"/>
                <w:sz w:val="14"/>
                <w:szCs w:val="14"/>
                <w:b w:val="1"/>
                <w:bCs w:val="1"/>
                <w:color w:val="auto"/>
              </w:rPr>
              <w:t>Asset Category</w:t>
            </w:r>
          </w:p>
        </w:tc>
        <w:tc>
          <w:tcPr>
            <w:tcW w:w="920" w:type="dxa"/>
            <w:vAlign w:val="bottom"/>
          </w:tcPr>
          <w:p>
            <w:pPr>
              <w:jc w:val="right"/>
              <w:ind w:right="256"/>
              <w:spacing w:after="0"/>
              <w:rPr>
                <w:sz w:val="20"/>
                <w:szCs w:val="20"/>
                <w:color w:val="auto"/>
              </w:rPr>
            </w:pPr>
            <w:r>
              <w:rPr>
                <w:rFonts w:ascii="Arial" w:cs="Arial" w:eastAsia="Arial" w:hAnsi="Arial"/>
                <w:sz w:val="14"/>
                <w:szCs w:val="14"/>
                <w:b w:val="1"/>
                <w:bCs w:val="1"/>
                <w:color w:val="auto"/>
              </w:rPr>
              <w:t>2005</w:t>
            </w:r>
          </w:p>
        </w:tc>
        <w:tc>
          <w:tcPr>
            <w:tcW w:w="980" w:type="dxa"/>
            <w:vAlign w:val="bottom"/>
          </w:tcPr>
          <w:p>
            <w:pPr>
              <w:jc w:val="right"/>
              <w:ind w:right="376"/>
              <w:spacing w:after="0"/>
              <w:rPr>
                <w:sz w:val="20"/>
                <w:szCs w:val="20"/>
                <w:color w:val="auto"/>
              </w:rPr>
            </w:pPr>
            <w:r>
              <w:rPr>
                <w:rFonts w:ascii="Arial" w:cs="Arial" w:eastAsia="Arial" w:hAnsi="Arial"/>
                <w:sz w:val="14"/>
                <w:szCs w:val="14"/>
                <w:b w:val="1"/>
                <w:bCs w:val="1"/>
                <w:color w:val="auto"/>
              </w:rPr>
              <w:t>2004</w:t>
            </w:r>
          </w:p>
        </w:tc>
        <w:tc>
          <w:tcPr>
            <w:tcW w:w="760" w:type="dxa"/>
            <w:vAlign w:val="bottom"/>
          </w:tcPr>
          <w:p>
            <w:pPr>
              <w:spacing w:after="0"/>
              <w:rPr>
                <w:sz w:val="15"/>
                <w:szCs w:val="15"/>
                <w:color w:val="auto"/>
              </w:rPr>
            </w:pPr>
          </w:p>
        </w:tc>
      </w:tr>
      <w:tr>
        <w:trPr>
          <w:trHeight w:val="95"/>
        </w:trPr>
        <w:tc>
          <w:tcPr>
            <w:tcW w:w="546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760" w:type="dxa"/>
            <w:vAlign w:val="bottom"/>
          </w:tcPr>
          <w:p>
            <w:pPr>
              <w:spacing w:after="0"/>
              <w:rPr>
                <w:sz w:val="8"/>
                <w:szCs w:val="8"/>
                <w:color w:val="auto"/>
              </w:rPr>
            </w:pPr>
          </w:p>
        </w:tc>
      </w:tr>
      <w:tr>
        <w:trPr>
          <w:trHeight w:val="102"/>
        </w:trPr>
        <w:tc>
          <w:tcPr>
            <w:tcW w:w="5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243"/>
        </w:trPr>
        <w:tc>
          <w:tcPr>
            <w:tcW w:w="5460" w:type="dxa"/>
            <w:vAlign w:val="bottom"/>
            <w:shd w:val="clear" w:color="auto" w:fill="EAF9E8"/>
          </w:tcPr>
          <w:p>
            <w:pPr>
              <w:spacing w:after="0"/>
              <w:rPr>
                <w:sz w:val="20"/>
                <w:szCs w:val="20"/>
                <w:color w:val="auto"/>
              </w:rPr>
            </w:pPr>
            <w:r>
              <w:rPr>
                <w:rFonts w:ascii="Arial" w:cs="Arial" w:eastAsia="Arial" w:hAnsi="Arial"/>
                <w:sz w:val="18"/>
                <w:szCs w:val="18"/>
                <w:color w:val="auto"/>
              </w:rPr>
              <w:t>Equity securities</w:t>
            </w:r>
          </w:p>
        </w:tc>
        <w:tc>
          <w:tcPr>
            <w:tcW w:w="920" w:type="dxa"/>
            <w:vAlign w:val="bottom"/>
            <w:shd w:val="clear" w:color="auto" w:fill="EAF9E8"/>
          </w:tcPr>
          <w:p>
            <w:pPr>
              <w:jc w:val="right"/>
              <w:ind w:right="96"/>
              <w:spacing w:after="0"/>
              <w:rPr>
                <w:sz w:val="20"/>
                <w:szCs w:val="20"/>
                <w:color w:val="auto"/>
              </w:rPr>
            </w:pPr>
            <w:r>
              <w:rPr>
                <w:rFonts w:ascii="Arial" w:cs="Arial" w:eastAsia="Arial" w:hAnsi="Arial"/>
                <w:sz w:val="18"/>
                <w:szCs w:val="18"/>
                <w:color w:val="auto"/>
              </w:rPr>
              <w:t>64.4%</w:t>
            </w:r>
          </w:p>
        </w:tc>
        <w:tc>
          <w:tcPr>
            <w:tcW w:w="980" w:type="dxa"/>
            <w:vAlign w:val="bottom"/>
            <w:shd w:val="clear" w:color="auto" w:fill="EAF9E8"/>
          </w:tcPr>
          <w:p>
            <w:pPr>
              <w:jc w:val="right"/>
              <w:ind w:right="236"/>
              <w:spacing w:after="0"/>
              <w:rPr>
                <w:sz w:val="20"/>
                <w:szCs w:val="20"/>
                <w:color w:val="auto"/>
              </w:rPr>
            </w:pPr>
            <w:r>
              <w:rPr>
                <w:rFonts w:ascii="Arial" w:cs="Arial" w:eastAsia="Arial" w:hAnsi="Arial"/>
                <w:sz w:val="18"/>
                <w:szCs w:val="18"/>
                <w:color w:val="auto"/>
              </w:rPr>
              <w:t>64.9%</w:t>
            </w:r>
          </w:p>
        </w:tc>
        <w:tc>
          <w:tcPr>
            <w:tcW w:w="760" w:type="dxa"/>
            <w:vAlign w:val="bottom"/>
            <w:shd w:val="clear" w:color="auto" w:fill="EAF9E8"/>
          </w:tcPr>
          <w:p>
            <w:pPr>
              <w:spacing w:after="0"/>
              <w:rPr>
                <w:sz w:val="21"/>
                <w:szCs w:val="21"/>
                <w:color w:val="auto"/>
              </w:rPr>
            </w:pPr>
          </w:p>
        </w:tc>
      </w:tr>
      <w:tr>
        <w:trPr>
          <w:trHeight w:val="242"/>
        </w:trPr>
        <w:tc>
          <w:tcPr>
            <w:tcW w:w="5460" w:type="dxa"/>
            <w:vAlign w:val="bottom"/>
          </w:tcPr>
          <w:p>
            <w:pPr>
              <w:spacing w:after="0"/>
              <w:rPr>
                <w:sz w:val="20"/>
                <w:szCs w:val="20"/>
                <w:color w:val="auto"/>
              </w:rPr>
            </w:pPr>
            <w:r>
              <w:rPr>
                <w:rFonts w:ascii="Arial" w:cs="Arial" w:eastAsia="Arial" w:hAnsi="Arial"/>
                <w:sz w:val="18"/>
                <w:szCs w:val="18"/>
                <w:color w:val="auto"/>
              </w:rPr>
              <w:t>Debt securities</w:t>
            </w:r>
          </w:p>
        </w:tc>
        <w:tc>
          <w:tcPr>
            <w:tcW w:w="920" w:type="dxa"/>
            <w:vAlign w:val="bottom"/>
          </w:tcPr>
          <w:p>
            <w:pPr>
              <w:jc w:val="right"/>
              <w:ind w:right="96"/>
              <w:spacing w:after="0"/>
              <w:rPr>
                <w:sz w:val="20"/>
                <w:szCs w:val="20"/>
                <w:color w:val="auto"/>
              </w:rPr>
            </w:pPr>
            <w:r>
              <w:rPr>
                <w:rFonts w:ascii="Arial" w:cs="Arial" w:eastAsia="Arial" w:hAnsi="Arial"/>
                <w:sz w:val="18"/>
                <w:szCs w:val="18"/>
                <w:color w:val="auto"/>
              </w:rPr>
              <w:t>34.4%</w:t>
            </w:r>
          </w:p>
        </w:tc>
        <w:tc>
          <w:tcPr>
            <w:tcW w:w="980" w:type="dxa"/>
            <w:vAlign w:val="bottom"/>
          </w:tcPr>
          <w:p>
            <w:pPr>
              <w:jc w:val="right"/>
              <w:ind w:right="236"/>
              <w:spacing w:after="0"/>
              <w:rPr>
                <w:sz w:val="20"/>
                <w:szCs w:val="20"/>
                <w:color w:val="auto"/>
              </w:rPr>
            </w:pPr>
            <w:r>
              <w:rPr>
                <w:rFonts w:ascii="Arial" w:cs="Arial" w:eastAsia="Arial" w:hAnsi="Arial"/>
                <w:sz w:val="18"/>
                <w:szCs w:val="18"/>
                <w:color w:val="auto"/>
              </w:rPr>
              <w:t>20.5%</w:t>
            </w:r>
          </w:p>
        </w:tc>
        <w:tc>
          <w:tcPr>
            <w:tcW w:w="760" w:type="dxa"/>
            <w:vAlign w:val="bottom"/>
          </w:tcPr>
          <w:p>
            <w:pPr>
              <w:spacing w:after="0"/>
              <w:rPr>
                <w:sz w:val="21"/>
                <w:szCs w:val="21"/>
                <w:color w:val="auto"/>
              </w:rPr>
            </w:pPr>
          </w:p>
        </w:tc>
      </w:tr>
      <w:tr>
        <w:trPr>
          <w:trHeight w:val="244"/>
        </w:trPr>
        <w:tc>
          <w:tcPr>
            <w:tcW w:w="5460" w:type="dxa"/>
            <w:vAlign w:val="bottom"/>
            <w:shd w:val="clear" w:color="auto" w:fill="EAF9E8"/>
          </w:tcPr>
          <w:p>
            <w:pPr>
              <w:spacing w:after="0"/>
              <w:rPr>
                <w:sz w:val="20"/>
                <w:szCs w:val="20"/>
                <w:color w:val="auto"/>
              </w:rPr>
            </w:pPr>
            <w:r>
              <w:rPr>
                <w:rFonts w:ascii="Arial" w:cs="Arial" w:eastAsia="Arial" w:hAnsi="Arial"/>
                <w:sz w:val="18"/>
                <w:szCs w:val="18"/>
                <w:color w:val="auto"/>
              </w:rPr>
              <w:t>Cash and cash equivalents</w:t>
            </w:r>
          </w:p>
        </w:tc>
        <w:tc>
          <w:tcPr>
            <w:tcW w:w="920" w:type="dxa"/>
            <w:vAlign w:val="bottom"/>
            <w:shd w:val="clear" w:color="auto" w:fill="EAF9E8"/>
          </w:tcPr>
          <w:p>
            <w:pPr>
              <w:jc w:val="right"/>
              <w:ind w:right="96"/>
              <w:spacing w:after="0"/>
              <w:rPr>
                <w:sz w:val="20"/>
                <w:szCs w:val="20"/>
                <w:color w:val="auto"/>
              </w:rPr>
            </w:pPr>
            <w:r>
              <w:rPr>
                <w:rFonts w:ascii="Arial" w:cs="Arial" w:eastAsia="Arial" w:hAnsi="Arial"/>
                <w:sz w:val="18"/>
                <w:szCs w:val="18"/>
                <w:color w:val="auto"/>
              </w:rPr>
              <w:t>1.2%</w:t>
            </w:r>
          </w:p>
        </w:tc>
        <w:tc>
          <w:tcPr>
            <w:tcW w:w="980" w:type="dxa"/>
            <w:vAlign w:val="bottom"/>
            <w:shd w:val="clear" w:color="auto" w:fill="EAF9E8"/>
          </w:tcPr>
          <w:p>
            <w:pPr>
              <w:jc w:val="right"/>
              <w:ind w:right="236"/>
              <w:spacing w:after="0"/>
              <w:rPr>
                <w:sz w:val="20"/>
                <w:szCs w:val="20"/>
                <w:color w:val="auto"/>
              </w:rPr>
            </w:pPr>
            <w:r>
              <w:rPr>
                <w:rFonts w:ascii="Arial" w:cs="Arial" w:eastAsia="Arial" w:hAnsi="Arial"/>
                <w:sz w:val="18"/>
                <w:szCs w:val="18"/>
                <w:color w:val="auto"/>
              </w:rPr>
              <w:t>14.6%</w:t>
            </w:r>
          </w:p>
        </w:tc>
        <w:tc>
          <w:tcPr>
            <w:tcW w:w="760" w:type="dxa"/>
            <w:vAlign w:val="bottom"/>
            <w:shd w:val="clear" w:color="auto" w:fill="EAF9E8"/>
          </w:tcPr>
          <w:p>
            <w:pPr>
              <w:spacing w:after="0"/>
              <w:rPr>
                <w:sz w:val="21"/>
                <w:szCs w:val="21"/>
                <w:color w:val="auto"/>
              </w:rPr>
            </w:pPr>
          </w:p>
        </w:tc>
      </w:tr>
      <w:tr>
        <w:trPr>
          <w:trHeight w:val="108"/>
        </w:trPr>
        <w:tc>
          <w:tcPr>
            <w:tcW w:w="546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r>
      <w:tr>
        <w:trPr>
          <w:trHeight w:val="102"/>
        </w:trPr>
        <w:tc>
          <w:tcPr>
            <w:tcW w:w="5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243"/>
        </w:trPr>
        <w:tc>
          <w:tcPr>
            <w:tcW w:w="5460" w:type="dxa"/>
            <w:vAlign w:val="bottom"/>
            <w:shd w:val="clear" w:color="auto" w:fill="EAF9E8"/>
          </w:tcPr>
          <w:p>
            <w:pPr>
              <w:spacing w:after="0"/>
              <w:rPr>
                <w:sz w:val="21"/>
                <w:szCs w:val="21"/>
                <w:color w:val="auto"/>
              </w:rPr>
            </w:pPr>
          </w:p>
        </w:tc>
        <w:tc>
          <w:tcPr>
            <w:tcW w:w="920" w:type="dxa"/>
            <w:vAlign w:val="bottom"/>
            <w:shd w:val="clear" w:color="auto" w:fill="EAF9E8"/>
          </w:tcPr>
          <w:p>
            <w:pPr>
              <w:jc w:val="right"/>
              <w:ind w:right="96"/>
              <w:spacing w:after="0"/>
              <w:rPr>
                <w:sz w:val="20"/>
                <w:szCs w:val="20"/>
                <w:color w:val="auto"/>
              </w:rPr>
            </w:pPr>
            <w:r>
              <w:rPr>
                <w:rFonts w:ascii="Arial" w:cs="Arial" w:eastAsia="Arial" w:hAnsi="Arial"/>
                <w:sz w:val="18"/>
                <w:szCs w:val="18"/>
                <w:color w:val="auto"/>
              </w:rPr>
              <w:t>100%</w:t>
            </w:r>
          </w:p>
        </w:tc>
        <w:tc>
          <w:tcPr>
            <w:tcW w:w="980" w:type="dxa"/>
            <w:vAlign w:val="bottom"/>
            <w:shd w:val="clear" w:color="auto" w:fill="EAF9E8"/>
          </w:tcPr>
          <w:p>
            <w:pPr>
              <w:jc w:val="right"/>
              <w:ind w:right="236"/>
              <w:spacing w:after="0"/>
              <w:rPr>
                <w:sz w:val="20"/>
                <w:szCs w:val="20"/>
                <w:color w:val="auto"/>
              </w:rPr>
            </w:pPr>
            <w:r>
              <w:rPr>
                <w:rFonts w:ascii="Arial" w:cs="Arial" w:eastAsia="Arial" w:hAnsi="Arial"/>
                <w:sz w:val="18"/>
                <w:szCs w:val="18"/>
                <w:color w:val="auto"/>
              </w:rPr>
              <w:t>100%</w:t>
            </w:r>
          </w:p>
        </w:tc>
        <w:tc>
          <w:tcPr>
            <w:tcW w:w="760" w:type="dxa"/>
            <w:vAlign w:val="bottom"/>
            <w:shd w:val="clear" w:color="auto" w:fill="EAF9E8"/>
          </w:tcPr>
          <w:p>
            <w:pPr>
              <w:spacing w:after="0"/>
              <w:rPr>
                <w:sz w:val="21"/>
                <w:szCs w:val="21"/>
                <w:color w:val="auto"/>
              </w:rPr>
            </w:pPr>
          </w:p>
        </w:tc>
      </w:tr>
      <w:tr>
        <w:trPr>
          <w:trHeight w:val="118"/>
        </w:trPr>
        <w:tc>
          <w:tcPr>
            <w:tcW w:w="546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7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-14605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-14605</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219"/>
        <w:spacing w:after="0" w:line="268" w:lineRule="auto"/>
        <w:rPr>
          <w:sz w:val="20"/>
          <w:szCs w:val="20"/>
          <w:color w:val="auto"/>
        </w:rPr>
      </w:pPr>
      <w:r>
        <w:rPr>
          <w:rFonts w:ascii="Arial" w:cs="Arial" w:eastAsia="Arial" w:hAnsi="Arial"/>
          <w:sz w:val="18"/>
          <w:szCs w:val="18"/>
          <w:color w:val="auto"/>
        </w:rPr>
        <w:t>The following benefits payments, which reflect expected future service, as appropriate, are expected to be paid by the plan as follows:</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617" w:right="1440" w:bottom="1440" w:gutter="0" w:footer="0" w:header="0"/>
          <w:type w:val="continuous"/>
        </w:sectPr>
      </w:pPr>
    </w:p>
    <w:bookmarkStart w:id="101" w:name="page102"/>
    <w:bookmarkEnd w:id="101"/>
    <w:tbl>
      <w:tblPr>
        <w:tblLayout w:type="fixed"/>
        <w:tblInd w:w="420" w:type="dxa"/>
        <w:tblCellMar>
          <w:top w:w="0" w:type="dxa"/>
          <w:left w:w="0" w:type="dxa"/>
          <w:bottom w:w="0" w:type="dxa"/>
          <w:right w:w="0" w:type="dxa"/>
        </w:tblCellMar>
      </w:tblPr>
      <w:tr>
        <w:trPr>
          <w:trHeight w:val="174"/>
        </w:trPr>
        <w:tc>
          <w:tcPr>
            <w:tcW w:w="2460" w:type="dxa"/>
            <w:vAlign w:val="bottom"/>
          </w:tcPr>
          <w:p>
            <w:pPr>
              <w:ind w:left="1060"/>
              <w:spacing w:after="0"/>
              <w:rPr>
                <w:sz w:val="20"/>
                <w:szCs w:val="20"/>
                <w:color w:val="auto"/>
              </w:rPr>
            </w:pPr>
            <w:r>
              <w:rPr>
                <w:rFonts w:ascii="Arial" w:cs="Arial" w:eastAsia="Arial" w:hAnsi="Arial"/>
                <w:sz w:val="14"/>
                <w:szCs w:val="14"/>
                <w:b w:val="1"/>
                <w:bCs w:val="1"/>
                <w:color w:val="auto"/>
              </w:rPr>
              <w:t>Year Ending</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r>
      <w:tr>
        <w:trPr>
          <w:trHeight w:val="95"/>
        </w:trPr>
        <w:tc>
          <w:tcPr>
            <w:tcW w:w="24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gridSpan w:val="2"/>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r>
      <w:tr>
        <w:trPr>
          <w:trHeight w:val="250"/>
        </w:trPr>
        <w:tc>
          <w:tcPr>
            <w:tcW w:w="2460" w:type="dxa"/>
            <w:vAlign w:val="bottom"/>
          </w:tcPr>
          <w:p>
            <w:pPr>
              <w:spacing w:after="0"/>
              <w:rPr>
                <w:sz w:val="21"/>
                <w:szCs w:val="21"/>
                <w:color w:val="auto"/>
              </w:rPr>
            </w:pPr>
          </w:p>
        </w:tc>
        <w:tc>
          <w:tcPr>
            <w:tcW w:w="1620" w:type="dxa"/>
            <w:vAlign w:val="bottom"/>
            <w:gridSpan w:val="5"/>
          </w:tcPr>
          <w:p>
            <w:pPr>
              <w:ind w:left="600"/>
              <w:spacing w:after="0"/>
              <w:rPr>
                <w:sz w:val="20"/>
                <w:szCs w:val="20"/>
                <w:color w:val="auto"/>
              </w:rPr>
            </w:pPr>
            <w:r>
              <w:rPr>
                <w:rFonts w:ascii="Arial" w:cs="Arial" w:eastAsia="Arial" w:hAnsi="Arial"/>
                <w:sz w:val="14"/>
                <w:szCs w:val="14"/>
                <w:b w:val="1"/>
                <w:bCs w:val="1"/>
                <w:i w:val="1"/>
                <w:iCs w:val="1"/>
                <w:color w:val="auto"/>
              </w:rPr>
              <w:t>(in thousands)</w:t>
            </w:r>
          </w:p>
        </w:tc>
      </w:tr>
      <w:tr>
        <w:trPr>
          <w:trHeight w:val="216"/>
        </w:trPr>
        <w:tc>
          <w:tcPr>
            <w:tcW w:w="2460" w:type="dxa"/>
            <w:vAlign w:val="bottom"/>
            <w:shd w:val="clear" w:color="auto" w:fill="EAF9E8"/>
          </w:tcPr>
          <w:p>
            <w:pPr>
              <w:jc w:val="center"/>
              <w:ind w:left="315"/>
              <w:spacing w:after="0"/>
              <w:rPr>
                <w:sz w:val="20"/>
                <w:szCs w:val="20"/>
                <w:color w:val="auto"/>
              </w:rPr>
            </w:pPr>
            <w:r>
              <w:rPr>
                <w:rFonts w:ascii="Arial" w:cs="Arial" w:eastAsia="Arial" w:hAnsi="Arial"/>
                <w:sz w:val="18"/>
                <w:szCs w:val="18"/>
                <w:color w:val="auto"/>
                <w:w w:val="84"/>
              </w:rPr>
              <w:t>2006</w:t>
            </w:r>
          </w:p>
        </w:tc>
        <w:tc>
          <w:tcPr>
            <w:tcW w:w="740" w:type="dxa"/>
            <w:vAlign w:val="bottom"/>
            <w:gridSpan w:val="2"/>
            <w:shd w:val="clear" w:color="auto" w:fill="EAF9E8"/>
          </w:tcPr>
          <w:p>
            <w:pPr>
              <w:ind w:left="6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EAF9E8"/>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460" w:type="dxa"/>
            <w:vAlign w:val="bottom"/>
          </w:tcPr>
          <w:p>
            <w:pPr>
              <w:jc w:val="center"/>
              <w:ind w:left="315"/>
              <w:spacing w:after="0"/>
              <w:rPr>
                <w:sz w:val="20"/>
                <w:szCs w:val="20"/>
                <w:color w:val="auto"/>
              </w:rPr>
            </w:pPr>
            <w:r>
              <w:rPr>
                <w:rFonts w:ascii="Arial" w:cs="Arial" w:eastAsia="Arial" w:hAnsi="Arial"/>
                <w:sz w:val="18"/>
                <w:szCs w:val="18"/>
                <w:color w:val="auto"/>
                <w:w w:val="84"/>
              </w:rPr>
              <w:t>2007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460" w:type="dxa"/>
            <w:vAlign w:val="bottom"/>
            <w:shd w:val="clear" w:color="auto" w:fill="EAF9E8"/>
          </w:tcPr>
          <w:p>
            <w:pPr>
              <w:jc w:val="center"/>
              <w:ind w:left="315"/>
              <w:spacing w:after="0"/>
              <w:rPr>
                <w:sz w:val="20"/>
                <w:szCs w:val="20"/>
                <w:color w:val="auto"/>
              </w:rPr>
            </w:pPr>
            <w:r>
              <w:rPr>
                <w:rFonts w:ascii="Arial" w:cs="Arial" w:eastAsia="Arial" w:hAnsi="Arial"/>
                <w:sz w:val="18"/>
                <w:szCs w:val="18"/>
                <w:color w:val="auto"/>
                <w:w w:val="84"/>
              </w:rPr>
              <w:t>2008</w:t>
            </w:r>
          </w:p>
        </w:tc>
        <w:tc>
          <w:tcPr>
            <w:tcW w:w="6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EAF9E8"/>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460" w:type="dxa"/>
            <w:vAlign w:val="bottom"/>
          </w:tcPr>
          <w:p>
            <w:pPr>
              <w:jc w:val="center"/>
              <w:ind w:left="315"/>
              <w:spacing w:after="0"/>
              <w:rPr>
                <w:sz w:val="20"/>
                <w:szCs w:val="20"/>
                <w:color w:val="auto"/>
              </w:rPr>
            </w:pPr>
            <w:r>
              <w:rPr>
                <w:rFonts w:ascii="Arial" w:cs="Arial" w:eastAsia="Arial" w:hAnsi="Arial"/>
                <w:sz w:val="18"/>
                <w:szCs w:val="18"/>
                <w:color w:val="auto"/>
                <w:w w:val="84"/>
              </w:rPr>
              <w:t>2009</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460" w:type="dxa"/>
            <w:vAlign w:val="bottom"/>
            <w:shd w:val="clear" w:color="auto" w:fill="EAF9E8"/>
          </w:tcPr>
          <w:p>
            <w:pPr>
              <w:jc w:val="center"/>
              <w:ind w:left="315"/>
              <w:spacing w:after="0"/>
              <w:rPr>
                <w:sz w:val="20"/>
                <w:szCs w:val="20"/>
                <w:color w:val="auto"/>
              </w:rPr>
            </w:pPr>
            <w:r>
              <w:rPr>
                <w:rFonts w:ascii="Arial" w:cs="Arial" w:eastAsia="Arial" w:hAnsi="Arial"/>
                <w:sz w:val="18"/>
                <w:szCs w:val="18"/>
                <w:color w:val="auto"/>
                <w:w w:val="84"/>
              </w:rPr>
              <w:t>2010</w:t>
            </w:r>
          </w:p>
        </w:tc>
        <w:tc>
          <w:tcPr>
            <w:tcW w:w="6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EAF9E8"/>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2460" w:type="dxa"/>
            <w:vAlign w:val="bottom"/>
          </w:tcPr>
          <w:p>
            <w:pPr>
              <w:jc w:val="center"/>
              <w:ind w:left="335"/>
              <w:spacing w:after="0"/>
              <w:rPr>
                <w:sz w:val="20"/>
                <w:szCs w:val="20"/>
                <w:color w:val="auto"/>
              </w:rPr>
            </w:pPr>
            <w:r>
              <w:rPr>
                <w:rFonts w:ascii="Arial" w:cs="Arial" w:eastAsia="Arial" w:hAnsi="Arial"/>
                <w:sz w:val="18"/>
                <w:szCs w:val="18"/>
                <w:color w:val="auto"/>
                <w:w w:val="87"/>
              </w:rPr>
              <w:t>2011 - 2015</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3,186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02"/>
        </w:trPr>
        <w:tc>
          <w:tcPr>
            <w:tcW w:w="2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02"/>
        </w:trPr>
        <w:tc>
          <w:tcPr>
            <w:tcW w:w="2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2460" w:type="dxa"/>
            <w:vAlign w:val="bottom"/>
            <w:shd w:val="clear" w:color="auto" w:fill="EAF9E8"/>
          </w:tcPr>
          <w:p>
            <w:pPr>
              <w:spacing w:after="0"/>
              <w:rPr>
                <w:sz w:val="18"/>
                <w:szCs w:val="18"/>
                <w:color w:val="auto"/>
              </w:rPr>
            </w:pPr>
          </w:p>
        </w:tc>
        <w:tc>
          <w:tcPr>
            <w:tcW w:w="740" w:type="dxa"/>
            <w:vAlign w:val="bottom"/>
            <w:gridSpan w:val="2"/>
            <w:shd w:val="clear" w:color="auto" w:fill="EAF9E8"/>
          </w:tcPr>
          <w:p>
            <w:pPr>
              <w:ind w:left="6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4,750</w:t>
            </w:r>
          </w:p>
        </w:tc>
        <w:tc>
          <w:tcPr>
            <w:tcW w:w="100" w:type="dxa"/>
            <w:vAlign w:val="bottom"/>
            <w:shd w:val="clear" w:color="auto" w:fill="EAF9E8"/>
          </w:tcPr>
          <w:p>
            <w:pPr>
              <w:spacing w:after="0"/>
              <w:rPr>
                <w:sz w:val="18"/>
                <w:szCs w:val="18"/>
                <w:color w:val="auto"/>
              </w:rPr>
            </w:pPr>
          </w:p>
        </w:tc>
        <w:tc>
          <w:tcPr>
            <w:tcW w:w="40" w:type="dxa"/>
            <w:vAlign w:val="bottom"/>
          </w:tcPr>
          <w:p>
            <w:pPr>
              <w:spacing w:after="0"/>
              <w:rPr>
                <w:sz w:val="18"/>
                <w:szCs w:val="18"/>
                <w:color w:val="auto"/>
              </w:rPr>
            </w:pPr>
          </w:p>
        </w:tc>
      </w:tr>
      <w:tr>
        <w:trPr>
          <w:trHeight w:val="118"/>
        </w:trPr>
        <w:tc>
          <w:tcPr>
            <w:tcW w:w="2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2215515</wp:posOffset>
            </wp:positionH>
            <wp:positionV relativeFrom="paragraph">
              <wp:posOffset>-14605</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-14605</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2275840</wp:posOffset>
            </wp:positionH>
            <wp:positionV relativeFrom="paragraph">
              <wp:posOffset>-14605</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w:t>
      </w:r>
    </w:p>
    <w:p>
      <w:pPr>
        <w:spacing w:after="0" w:line="231" w:lineRule="exact"/>
        <w:rPr>
          <w:sz w:val="20"/>
          <w:szCs w:val="20"/>
          <w:color w:val="auto"/>
        </w:rPr>
      </w:pPr>
    </w:p>
    <w:p>
      <w:pPr>
        <w:ind w:right="2159"/>
        <w:spacing w:after="0" w:line="291" w:lineRule="auto"/>
        <w:rPr>
          <w:sz w:val="20"/>
          <w:szCs w:val="20"/>
          <w:color w:val="auto"/>
        </w:rPr>
      </w:pPr>
      <w:r>
        <w:rPr>
          <w:rFonts w:ascii="Arial" w:cs="Arial" w:eastAsia="Arial" w:hAnsi="Arial"/>
          <w:sz w:val="16"/>
          <w:szCs w:val="16"/>
          <w:color w:val="auto"/>
        </w:rPr>
        <w:t>The investment policy of the Company’s Pension Plan is for assets to be invested in a manner consistent with the fiduciary standards of the Employee Retirement Income Security Act of 1974, as amended. This investment policy is to preserve capital, which includes the investment objectives of inflationary protection and protection of the principal amounts contributed to the Pension Plan. Of lesser importance is the consistency of growth, which will tend to minimize the annual fluctuations in the normal cost. It is anticipated that growth of the fund will result from both capital appreciation and the re-investment of current income.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231" w:lineRule="exact"/>
        <w:rPr>
          <w:sz w:val="20"/>
          <w:szCs w:val="20"/>
          <w:color w:val="auto"/>
        </w:rPr>
      </w:pPr>
    </w:p>
    <w:p>
      <w:pPr>
        <w:jc w:val="both"/>
        <w:ind w:right="2339"/>
        <w:spacing w:after="0" w:line="259" w:lineRule="auto"/>
        <w:rPr>
          <w:sz w:val="20"/>
          <w:szCs w:val="20"/>
          <w:color w:val="auto"/>
        </w:rPr>
      </w:pPr>
      <w:r>
        <w:rPr>
          <w:rFonts w:ascii="Arial" w:cs="Arial" w:eastAsia="Arial" w:hAnsi="Arial"/>
          <w:sz w:val="18"/>
          <w:szCs w:val="18"/>
          <w:color w:val="auto"/>
        </w:rPr>
        <w:t>The Company expects to contribute at least $0.7 million to the noncontributory defined benefit plan in 2006 and contributed $1.2 million in the year ended December 31, 2005 and $2.0 million in the year ended December 31, 2004.</w:t>
      </w:r>
    </w:p>
    <w:p>
      <w:pPr>
        <w:spacing w:after="0" w:line="194" w:lineRule="exact"/>
        <w:rPr>
          <w:sz w:val="20"/>
          <w:szCs w:val="20"/>
          <w:color w:val="auto"/>
        </w:rPr>
      </w:pPr>
    </w:p>
    <w:p>
      <w:pPr>
        <w:ind w:right="2219"/>
        <w:spacing w:after="0" w:line="332" w:lineRule="auto"/>
        <w:rPr>
          <w:sz w:val="20"/>
          <w:szCs w:val="20"/>
          <w:color w:val="auto"/>
        </w:rPr>
      </w:pPr>
      <w:r>
        <w:rPr>
          <w:rFonts w:ascii="Arial" w:cs="Arial" w:eastAsia="Arial" w:hAnsi="Arial"/>
          <w:sz w:val="16"/>
          <w:szCs w:val="16"/>
          <w:color w:val="auto"/>
        </w:rPr>
        <w:t>The Company’s matching contributions to the defined contribution plan were approximately $305 thousand, $254 thousand and $228 thousand for the years ended December 31, 2005, 2004 and 2003, respectively.</w:t>
      </w:r>
    </w:p>
    <w:p>
      <w:pPr>
        <w:spacing w:after="0" w:line="139" w:lineRule="exact"/>
        <w:rPr>
          <w:sz w:val="20"/>
          <w:szCs w:val="20"/>
          <w:color w:val="auto"/>
        </w:rPr>
      </w:pPr>
    </w:p>
    <w:p>
      <w:pPr>
        <w:ind w:right="2579"/>
        <w:spacing w:after="0" w:line="298" w:lineRule="auto"/>
        <w:rPr>
          <w:sz w:val="20"/>
          <w:szCs w:val="20"/>
          <w:color w:val="auto"/>
        </w:rPr>
      </w:pPr>
      <w:r>
        <w:rPr>
          <w:rFonts w:ascii="Arial" w:cs="Arial" w:eastAsia="Arial" w:hAnsi="Arial"/>
          <w:sz w:val="16"/>
          <w:szCs w:val="16"/>
          <w:color w:val="auto"/>
        </w:rPr>
        <w:t>In May 2003, the Company adopted an unfunded nonqualified Supplemental Executive Retirement Plan (the “SERP”) for named executives. The plan was established to provide retirement benefits in addition to those provided under the Retirement Plan that covers all employees. The following table presents the actuarial information for the SERP at December 31, 2005, 2004 and 2003.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53"/>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5"/>
                <w:szCs w:val="15"/>
                <w:color w:val="auto"/>
              </w:rPr>
            </w:pPr>
          </w:p>
        </w:tc>
        <w:tc>
          <w:tcPr>
            <w:tcW w:w="70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5"/>
                <w:szCs w:val="15"/>
                <w:color w:val="auto"/>
              </w:rPr>
            </w:pPr>
          </w:p>
        </w:tc>
        <w:tc>
          <w:tcPr>
            <w:tcW w:w="6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gridSpan w:val="2"/>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w w:val="89"/>
              </w:rPr>
              <w:t>(in thousands)</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AF9E8"/>
          </w:tcPr>
          <w:p>
            <w:pPr>
              <w:spacing w:after="0"/>
              <w:rPr>
                <w:sz w:val="20"/>
                <w:szCs w:val="20"/>
                <w:color w:val="auto"/>
              </w:rPr>
            </w:pPr>
            <w:r>
              <w:rPr>
                <w:rFonts w:ascii="Arial" w:cs="Arial" w:eastAsia="Arial" w:hAnsi="Arial"/>
                <w:sz w:val="18"/>
                <w:szCs w:val="18"/>
                <w:color w:val="auto"/>
              </w:rPr>
              <w:t>Change in benefit obligation:</w:t>
            </w:r>
          </w:p>
        </w:tc>
        <w:tc>
          <w:tcPr>
            <w:tcW w:w="120" w:type="dxa"/>
            <w:vAlign w:val="bottom"/>
            <w:shd w:val="clear" w:color="auto" w:fill="EAF9E8"/>
          </w:tcPr>
          <w:p>
            <w:pPr>
              <w:spacing w:after="0"/>
              <w:rPr>
                <w:sz w:val="18"/>
                <w:szCs w:val="18"/>
                <w:color w:val="auto"/>
              </w:rPr>
            </w:pPr>
          </w:p>
        </w:tc>
        <w:tc>
          <w:tcPr>
            <w:tcW w:w="6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2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80"/>
              <w:spacing w:after="0"/>
              <w:rPr>
                <w:sz w:val="20"/>
                <w:szCs w:val="20"/>
                <w:color w:val="auto"/>
              </w:rPr>
            </w:pPr>
            <w:r>
              <w:rPr>
                <w:rFonts w:ascii="Arial" w:cs="Arial" w:eastAsia="Arial" w:hAnsi="Arial"/>
                <w:sz w:val="18"/>
                <w:szCs w:val="18"/>
                <w:color w:val="auto"/>
              </w:rPr>
              <w:t>Benefit obligation, beginning</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1,235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3"/>
              <w:spacing w:after="0"/>
              <w:rPr>
                <w:sz w:val="20"/>
                <w:szCs w:val="20"/>
                <w:color w:val="auto"/>
              </w:rPr>
            </w:pPr>
            <w:r>
              <w:rPr>
                <w:rFonts w:ascii="Arial" w:cs="Arial" w:eastAsia="Arial" w:hAnsi="Arial"/>
                <w:sz w:val="18"/>
                <w:szCs w:val="18"/>
                <w:color w:val="auto"/>
              </w:rPr>
              <w:t>869</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Service cost</w:t>
            </w:r>
          </w:p>
        </w:tc>
        <w:tc>
          <w:tcPr>
            <w:tcW w:w="120" w:type="dxa"/>
            <w:vAlign w:val="bottom"/>
            <w:shd w:val="clear" w:color="auto" w:fill="EAF9E8"/>
          </w:tcPr>
          <w:p>
            <w:pPr>
              <w:spacing w:after="0"/>
              <w:rPr>
                <w:sz w:val="18"/>
                <w:szCs w:val="18"/>
                <w:color w:val="auto"/>
              </w:rPr>
            </w:pPr>
          </w:p>
        </w:tc>
        <w:tc>
          <w:tcPr>
            <w:tcW w:w="62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152</w:t>
            </w:r>
          </w:p>
        </w:tc>
        <w:tc>
          <w:tcPr>
            <w:tcW w:w="240" w:type="dxa"/>
            <w:vAlign w:val="bottom"/>
            <w:shd w:val="clear" w:color="auto" w:fill="EAF9E8"/>
          </w:tcPr>
          <w:p>
            <w:pPr>
              <w:spacing w:after="0"/>
              <w:rPr>
                <w:sz w:val="18"/>
                <w:szCs w:val="18"/>
                <w:color w:val="auto"/>
              </w:rPr>
            </w:pPr>
          </w:p>
        </w:tc>
        <w:tc>
          <w:tcPr>
            <w:tcW w:w="700" w:type="dxa"/>
            <w:vAlign w:val="bottom"/>
            <w:shd w:val="clear" w:color="auto" w:fill="EAF9E8"/>
          </w:tcPr>
          <w:p>
            <w:pPr>
              <w:jc w:val="right"/>
              <w:ind w:right="113"/>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EAF9E8"/>
          </w:tcPr>
          <w:p>
            <w:pPr>
              <w:spacing w:after="0"/>
              <w:rPr>
                <w:sz w:val="18"/>
                <w:szCs w:val="18"/>
                <w:color w:val="auto"/>
              </w:rPr>
            </w:pPr>
          </w:p>
        </w:tc>
        <w:tc>
          <w:tcPr>
            <w:tcW w:w="620" w:type="dxa"/>
            <w:vAlign w:val="bottom"/>
            <w:shd w:val="clear" w:color="auto" w:fill="EAF9E8"/>
          </w:tcPr>
          <w:p>
            <w:pPr>
              <w:jc w:val="right"/>
              <w:ind w:right="193"/>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40"/>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8"/>
                <w:szCs w:val="18"/>
                <w:color w:val="auto"/>
              </w:rPr>
            </w:pPr>
          </w:p>
        </w:tc>
        <w:tc>
          <w:tcPr>
            <w:tcW w:w="700" w:type="dxa"/>
            <w:vAlign w:val="bottom"/>
          </w:tcPr>
          <w:p>
            <w:pPr>
              <w:jc w:val="right"/>
              <w:ind w:right="113"/>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620" w:type="dxa"/>
            <w:vAlign w:val="bottom"/>
          </w:tcPr>
          <w:p>
            <w:pPr>
              <w:jc w:val="right"/>
              <w:ind w:right="193"/>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Actuarial loss</w:t>
            </w:r>
          </w:p>
        </w:tc>
        <w:tc>
          <w:tcPr>
            <w:tcW w:w="120" w:type="dxa"/>
            <w:vAlign w:val="bottom"/>
            <w:shd w:val="clear" w:color="auto" w:fill="EAF9E8"/>
          </w:tcPr>
          <w:p>
            <w:pPr>
              <w:spacing w:after="0"/>
              <w:rPr>
                <w:sz w:val="18"/>
                <w:szCs w:val="18"/>
                <w:color w:val="auto"/>
              </w:rPr>
            </w:pPr>
          </w:p>
        </w:tc>
        <w:tc>
          <w:tcPr>
            <w:tcW w:w="62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497</w:t>
            </w:r>
          </w:p>
        </w:tc>
        <w:tc>
          <w:tcPr>
            <w:tcW w:w="240" w:type="dxa"/>
            <w:vAlign w:val="bottom"/>
            <w:shd w:val="clear" w:color="auto" w:fill="EAF9E8"/>
          </w:tcPr>
          <w:p>
            <w:pPr>
              <w:spacing w:after="0"/>
              <w:rPr>
                <w:sz w:val="18"/>
                <w:szCs w:val="18"/>
                <w:color w:val="auto"/>
              </w:rPr>
            </w:pPr>
          </w:p>
        </w:tc>
        <w:tc>
          <w:tcPr>
            <w:tcW w:w="700" w:type="dxa"/>
            <w:vAlign w:val="bottom"/>
            <w:shd w:val="clear" w:color="auto" w:fill="EAF9E8"/>
          </w:tcPr>
          <w:p>
            <w:pPr>
              <w:jc w:val="right"/>
              <w:ind w:right="113"/>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EAF9E8"/>
          </w:tcPr>
          <w:p>
            <w:pPr>
              <w:spacing w:after="0"/>
              <w:rPr>
                <w:sz w:val="18"/>
                <w:szCs w:val="18"/>
                <w:color w:val="auto"/>
              </w:rPr>
            </w:pPr>
          </w:p>
        </w:tc>
        <w:tc>
          <w:tcPr>
            <w:tcW w:w="620" w:type="dxa"/>
            <w:vAlign w:val="bottom"/>
            <w:shd w:val="clear" w:color="auto" w:fill="EAF9E8"/>
          </w:tcPr>
          <w:p>
            <w:pPr>
              <w:jc w:val="right"/>
              <w:ind w:right="193"/>
              <w:spacing w:after="0"/>
              <w:rPr>
                <w:sz w:val="20"/>
                <w:szCs w:val="20"/>
                <w:color w:val="auto"/>
              </w:rPr>
            </w:pPr>
            <w:r>
              <w:rPr>
                <w:rFonts w:ascii="Arial" w:cs="Arial" w:eastAsia="Arial" w:hAnsi="Arial"/>
                <w:sz w:val="18"/>
                <w:szCs w:val="18"/>
                <w:color w:val="auto"/>
              </w:rPr>
              <w:t>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ind w:left="140"/>
              <w:spacing w:after="0"/>
              <w:rPr>
                <w:sz w:val="20"/>
                <w:szCs w:val="20"/>
                <w:color w:val="auto"/>
              </w:rPr>
            </w:pPr>
            <w:r>
              <w:rPr>
                <w:rFonts w:ascii="Arial" w:cs="Arial" w:eastAsia="Arial" w:hAnsi="Arial"/>
                <w:sz w:val="18"/>
                <w:szCs w:val="18"/>
                <w:color w:val="auto"/>
              </w:rPr>
              <w:t>Plan adoption</w:t>
            </w:r>
          </w:p>
        </w:tc>
        <w:tc>
          <w:tcPr>
            <w:tcW w:w="12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right"/>
              <w:ind w:right="193"/>
              <w:spacing w:after="0"/>
              <w:rPr>
                <w:sz w:val="20"/>
                <w:szCs w:val="20"/>
                <w:color w:val="auto"/>
              </w:rPr>
            </w:pPr>
            <w:r>
              <w:rPr>
                <w:rFonts w:ascii="Arial" w:cs="Arial" w:eastAsia="Arial" w:hAnsi="Arial"/>
                <w:sz w:val="18"/>
                <w:szCs w:val="18"/>
                <w:color w:val="auto"/>
              </w:rPr>
              <w:t>546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Benefit obligation, ending</w:t>
            </w:r>
          </w:p>
        </w:tc>
        <w:tc>
          <w:tcPr>
            <w:tcW w:w="120" w:type="dxa"/>
            <w:vAlign w:val="bottom"/>
            <w:shd w:val="clear" w:color="auto" w:fill="EAF9E8"/>
          </w:tcPr>
          <w:p>
            <w:pPr>
              <w:spacing w:after="0"/>
              <w:rPr>
                <w:sz w:val="18"/>
                <w:szCs w:val="18"/>
                <w:color w:val="auto"/>
              </w:rPr>
            </w:pPr>
          </w:p>
        </w:tc>
        <w:tc>
          <w:tcPr>
            <w:tcW w:w="62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1,955</w:t>
            </w:r>
          </w:p>
        </w:tc>
        <w:tc>
          <w:tcPr>
            <w:tcW w:w="240" w:type="dxa"/>
            <w:vAlign w:val="bottom"/>
            <w:shd w:val="clear" w:color="auto" w:fill="EAF9E8"/>
          </w:tcPr>
          <w:p>
            <w:pPr>
              <w:spacing w:after="0"/>
              <w:rPr>
                <w:sz w:val="18"/>
                <w:szCs w:val="18"/>
                <w:color w:val="auto"/>
              </w:rPr>
            </w:pPr>
          </w:p>
        </w:tc>
        <w:tc>
          <w:tcPr>
            <w:tcW w:w="700" w:type="dxa"/>
            <w:vAlign w:val="bottom"/>
            <w:shd w:val="clear" w:color="auto" w:fill="EAF9E8"/>
          </w:tcPr>
          <w:p>
            <w:pPr>
              <w:jc w:val="right"/>
              <w:ind w:right="113"/>
              <w:spacing w:after="0"/>
              <w:rPr>
                <w:sz w:val="20"/>
                <w:szCs w:val="20"/>
                <w:color w:val="auto"/>
              </w:rPr>
            </w:pPr>
            <w:r>
              <w:rPr>
                <w:rFonts w:ascii="Arial" w:cs="Arial" w:eastAsia="Arial" w:hAnsi="Arial"/>
                <w:sz w:val="18"/>
                <w:szCs w:val="18"/>
                <w:color w:val="auto"/>
              </w:rPr>
              <w:t>1,235</w:t>
            </w:r>
          </w:p>
        </w:tc>
        <w:tc>
          <w:tcPr>
            <w:tcW w:w="140" w:type="dxa"/>
            <w:vAlign w:val="bottom"/>
            <w:shd w:val="clear" w:color="auto" w:fill="EAF9E8"/>
          </w:tcPr>
          <w:p>
            <w:pPr>
              <w:spacing w:after="0"/>
              <w:rPr>
                <w:sz w:val="18"/>
                <w:szCs w:val="18"/>
                <w:color w:val="auto"/>
              </w:rPr>
            </w:pPr>
          </w:p>
        </w:tc>
        <w:tc>
          <w:tcPr>
            <w:tcW w:w="620" w:type="dxa"/>
            <w:vAlign w:val="bottom"/>
            <w:shd w:val="clear" w:color="auto" w:fill="EAF9E8"/>
          </w:tcPr>
          <w:p>
            <w:pPr>
              <w:jc w:val="right"/>
              <w:ind w:right="193"/>
              <w:spacing w:after="0"/>
              <w:rPr>
                <w:sz w:val="20"/>
                <w:szCs w:val="20"/>
                <w:color w:val="auto"/>
              </w:rPr>
            </w:pPr>
            <w:r>
              <w:rPr>
                <w:rFonts w:ascii="Arial" w:cs="Arial" w:eastAsia="Arial" w:hAnsi="Arial"/>
                <w:sz w:val="18"/>
                <w:szCs w:val="18"/>
                <w:color w:val="auto"/>
              </w:rPr>
              <w:t>869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80" w:type="dxa"/>
            <w:vAlign w:val="bottom"/>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5680" w:type="dxa"/>
            <w:vAlign w:val="bottom"/>
            <w:gridSpan w:val="2"/>
          </w:tcPr>
          <w:p>
            <w:pPr>
              <w:spacing w:after="0"/>
              <w:rPr>
                <w:sz w:val="20"/>
                <w:szCs w:val="20"/>
                <w:color w:val="auto"/>
              </w:rPr>
            </w:pPr>
            <w:r>
              <w:rPr>
                <w:rFonts w:ascii="Arial" w:cs="Arial" w:eastAsia="Arial" w:hAnsi="Arial"/>
                <w:sz w:val="18"/>
                <w:szCs w:val="18"/>
                <w:color w:val="auto"/>
              </w:rPr>
              <w:t>Funded status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1"/>
              </w:rPr>
              <w:t>(1,955)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w w:val="94"/>
              </w:rPr>
              <w:t>(1,235)</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3"/>
              <w:spacing w:after="0"/>
              <w:rPr>
                <w:sz w:val="20"/>
                <w:szCs w:val="20"/>
                <w:color w:val="auto"/>
              </w:rPr>
            </w:pPr>
            <w:r>
              <w:rPr>
                <w:rFonts w:ascii="Arial" w:cs="Arial" w:eastAsia="Arial" w:hAnsi="Arial"/>
                <w:sz w:val="18"/>
                <w:szCs w:val="18"/>
                <w:color w:val="auto"/>
                <w:w w:val="90"/>
              </w:rPr>
              <w:t>(869)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60" w:type="dxa"/>
            <w:vAlign w:val="bottom"/>
            <w:shd w:val="clear" w:color="auto" w:fill="EAF9E8"/>
          </w:tcPr>
          <w:p>
            <w:pPr>
              <w:spacing w:after="0"/>
              <w:rPr>
                <w:sz w:val="20"/>
                <w:szCs w:val="20"/>
                <w:color w:val="auto"/>
              </w:rPr>
            </w:pPr>
            <w:r>
              <w:rPr>
                <w:rFonts w:ascii="Arial" w:cs="Arial" w:eastAsia="Arial" w:hAnsi="Arial"/>
                <w:sz w:val="18"/>
                <w:szCs w:val="18"/>
                <w:color w:val="auto"/>
              </w:rPr>
              <w:t>Unrecognized net loss</w:t>
            </w:r>
          </w:p>
        </w:tc>
        <w:tc>
          <w:tcPr>
            <w:tcW w:w="120" w:type="dxa"/>
            <w:vAlign w:val="bottom"/>
            <w:shd w:val="clear" w:color="auto" w:fill="EAF9E8"/>
          </w:tcPr>
          <w:p>
            <w:pPr>
              <w:spacing w:after="0"/>
              <w:rPr>
                <w:sz w:val="18"/>
                <w:szCs w:val="18"/>
                <w:color w:val="auto"/>
              </w:rPr>
            </w:pPr>
          </w:p>
        </w:tc>
        <w:tc>
          <w:tcPr>
            <w:tcW w:w="62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942</w:t>
            </w:r>
          </w:p>
        </w:tc>
        <w:tc>
          <w:tcPr>
            <w:tcW w:w="240" w:type="dxa"/>
            <w:vAlign w:val="bottom"/>
            <w:shd w:val="clear" w:color="auto" w:fill="EAF9E8"/>
          </w:tcPr>
          <w:p>
            <w:pPr>
              <w:spacing w:after="0"/>
              <w:rPr>
                <w:sz w:val="18"/>
                <w:szCs w:val="18"/>
                <w:color w:val="auto"/>
              </w:rPr>
            </w:pPr>
          </w:p>
        </w:tc>
        <w:tc>
          <w:tcPr>
            <w:tcW w:w="700" w:type="dxa"/>
            <w:vAlign w:val="bottom"/>
            <w:shd w:val="clear" w:color="auto" w:fill="EAF9E8"/>
          </w:tcPr>
          <w:p>
            <w:pPr>
              <w:jc w:val="right"/>
              <w:ind w:right="113"/>
              <w:spacing w:after="0"/>
              <w:rPr>
                <w:sz w:val="20"/>
                <w:szCs w:val="20"/>
                <w:color w:val="auto"/>
              </w:rPr>
            </w:pPr>
            <w:r>
              <w:rPr>
                <w:rFonts w:ascii="Arial" w:cs="Arial" w:eastAsia="Arial" w:hAnsi="Arial"/>
                <w:sz w:val="18"/>
                <w:szCs w:val="18"/>
                <w:color w:val="auto"/>
              </w:rPr>
              <w:t>465</w:t>
            </w:r>
          </w:p>
        </w:tc>
        <w:tc>
          <w:tcPr>
            <w:tcW w:w="140" w:type="dxa"/>
            <w:vAlign w:val="bottom"/>
            <w:shd w:val="clear" w:color="auto" w:fill="EAF9E8"/>
          </w:tcPr>
          <w:p>
            <w:pPr>
              <w:spacing w:after="0"/>
              <w:rPr>
                <w:sz w:val="18"/>
                <w:szCs w:val="18"/>
                <w:color w:val="auto"/>
              </w:rPr>
            </w:pPr>
          </w:p>
        </w:tc>
        <w:tc>
          <w:tcPr>
            <w:tcW w:w="620" w:type="dxa"/>
            <w:vAlign w:val="bottom"/>
            <w:shd w:val="clear" w:color="auto" w:fill="EAF9E8"/>
          </w:tcPr>
          <w:p>
            <w:pPr>
              <w:jc w:val="right"/>
              <w:ind w:right="193"/>
              <w:spacing w:after="0"/>
              <w:rPr>
                <w:sz w:val="20"/>
                <w:szCs w:val="20"/>
                <w:color w:val="auto"/>
              </w:rPr>
            </w:pPr>
            <w:r>
              <w:rPr>
                <w:rFonts w:ascii="Arial" w:cs="Arial" w:eastAsia="Arial" w:hAnsi="Arial"/>
                <w:sz w:val="18"/>
                <w:szCs w:val="18"/>
                <w:color w:val="auto"/>
              </w:rPr>
              <w:t>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Additional minimum liability</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(553)</w:t>
            </w:r>
          </w:p>
        </w:tc>
        <w:tc>
          <w:tcPr>
            <w:tcW w:w="24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(387)</w:t>
            </w:r>
          </w:p>
        </w:tc>
        <w:tc>
          <w:tcPr>
            <w:tcW w:w="140" w:type="dxa"/>
            <w:vAlign w:val="bottom"/>
          </w:tcPr>
          <w:p>
            <w:pPr>
              <w:spacing w:after="0"/>
              <w:rPr>
                <w:sz w:val="18"/>
                <w:szCs w:val="18"/>
                <w:color w:val="auto"/>
              </w:rPr>
            </w:pPr>
          </w:p>
        </w:tc>
        <w:tc>
          <w:tcPr>
            <w:tcW w:w="620" w:type="dxa"/>
            <w:vAlign w:val="bottom"/>
          </w:tcPr>
          <w:p>
            <w:pPr>
              <w:jc w:val="right"/>
              <w:ind w:right="133"/>
              <w:spacing w:after="0"/>
              <w:rPr>
                <w:sz w:val="20"/>
                <w:szCs w:val="20"/>
                <w:color w:val="auto"/>
              </w:rPr>
            </w:pPr>
            <w:r>
              <w:rPr>
                <w:rFonts w:ascii="Arial" w:cs="Arial" w:eastAsia="Arial" w:hAnsi="Arial"/>
                <w:sz w:val="18"/>
                <w:szCs w:val="18"/>
                <w:color w:val="auto"/>
                <w:w w:val="90"/>
              </w:rPr>
              <w:t>(380)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AF9E8"/>
          </w:tcPr>
          <w:p>
            <w:pPr>
              <w:spacing w:after="0"/>
              <w:rPr>
                <w:sz w:val="20"/>
                <w:szCs w:val="20"/>
                <w:color w:val="auto"/>
              </w:rPr>
            </w:pPr>
            <w:r>
              <w:rPr>
                <w:rFonts w:ascii="Arial" w:cs="Arial" w:eastAsia="Arial" w:hAnsi="Arial"/>
                <w:sz w:val="18"/>
                <w:szCs w:val="18"/>
                <w:color w:val="auto"/>
              </w:rPr>
              <w:t>Intangible asset</w:t>
            </w:r>
          </w:p>
        </w:tc>
        <w:tc>
          <w:tcPr>
            <w:tcW w:w="120" w:type="dxa"/>
            <w:vAlign w:val="bottom"/>
            <w:shd w:val="clear" w:color="auto" w:fill="EAF9E8"/>
          </w:tcPr>
          <w:p>
            <w:pPr>
              <w:spacing w:after="0"/>
              <w:rPr>
                <w:sz w:val="18"/>
                <w:szCs w:val="18"/>
                <w:color w:val="auto"/>
              </w:rPr>
            </w:pPr>
          </w:p>
        </w:tc>
        <w:tc>
          <w:tcPr>
            <w:tcW w:w="62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449</w:t>
            </w:r>
          </w:p>
        </w:tc>
        <w:tc>
          <w:tcPr>
            <w:tcW w:w="240" w:type="dxa"/>
            <w:vAlign w:val="bottom"/>
            <w:shd w:val="clear" w:color="auto" w:fill="EAF9E8"/>
          </w:tcPr>
          <w:p>
            <w:pPr>
              <w:spacing w:after="0"/>
              <w:rPr>
                <w:sz w:val="18"/>
                <w:szCs w:val="18"/>
                <w:color w:val="auto"/>
              </w:rPr>
            </w:pPr>
          </w:p>
        </w:tc>
        <w:tc>
          <w:tcPr>
            <w:tcW w:w="700" w:type="dxa"/>
            <w:vAlign w:val="bottom"/>
            <w:shd w:val="clear" w:color="auto" w:fill="EAF9E8"/>
          </w:tcPr>
          <w:p>
            <w:pPr>
              <w:jc w:val="right"/>
              <w:ind w:right="113"/>
              <w:spacing w:after="0"/>
              <w:rPr>
                <w:sz w:val="20"/>
                <w:szCs w:val="20"/>
                <w:color w:val="auto"/>
              </w:rPr>
            </w:pPr>
            <w:r>
              <w:rPr>
                <w:rFonts w:ascii="Arial" w:cs="Arial" w:eastAsia="Arial" w:hAnsi="Arial"/>
                <w:sz w:val="18"/>
                <w:szCs w:val="18"/>
                <w:color w:val="auto"/>
              </w:rPr>
              <w:t>387</w:t>
            </w:r>
          </w:p>
        </w:tc>
        <w:tc>
          <w:tcPr>
            <w:tcW w:w="140" w:type="dxa"/>
            <w:vAlign w:val="bottom"/>
            <w:shd w:val="clear" w:color="auto" w:fill="EAF9E8"/>
          </w:tcPr>
          <w:p>
            <w:pPr>
              <w:spacing w:after="0"/>
              <w:rPr>
                <w:sz w:val="18"/>
                <w:szCs w:val="18"/>
                <w:color w:val="auto"/>
              </w:rPr>
            </w:pPr>
          </w:p>
        </w:tc>
        <w:tc>
          <w:tcPr>
            <w:tcW w:w="620" w:type="dxa"/>
            <w:vAlign w:val="bottom"/>
            <w:shd w:val="clear" w:color="auto" w:fill="EAF9E8"/>
          </w:tcPr>
          <w:p>
            <w:pPr>
              <w:jc w:val="right"/>
              <w:ind w:right="193"/>
              <w:spacing w:after="0"/>
              <w:rPr>
                <w:sz w:val="20"/>
                <w:szCs w:val="20"/>
                <w:color w:val="auto"/>
              </w:rPr>
            </w:pPr>
            <w:r>
              <w:rPr>
                <w:rFonts w:ascii="Arial" w:cs="Arial" w:eastAsia="Arial" w:hAnsi="Arial"/>
                <w:sz w:val="18"/>
                <w:szCs w:val="18"/>
                <w:color w:val="auto"/>
              </w:rPr>
              <w:t>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Unrecognized prior service cost</w:t>
            </w:r>
          </w:p>
        </w:tc>
        <w:tc>
          <w:tcPr>
            <w:tcW w:w="1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449</w:t>
            </w:r>
          </w:p>
        </w:tc>
        <w:tc>
          <w:tcPr>
            <w:tcW w:w="240" w:type="dxa"/>
            <w:vAlign w:val="bottom"/>
          </w:tcPr>
          <w:p>
            <w:pPr>
              <w:spacing w:after="0"/>
              <w:rPr>
                <w:sz w:val="18"/>
                <w:szCs w:val="18"/>
                <w:color w:val="auto"/>
              </w:rPr>
            </w:pPr>
          </w:p>
        </w:tc>
        <w:tc>
          <w:tcPr>
            <w:tcW w:w="700" w:type="dxa"/>
            <w:vAlign w:val="bottom"/>
          </w:tcPr>
          <w:p>
            <w:pPr>
              <w:jc w:val="right"/>
              <w:ind w:right="113"/>
              <w:spacing w:after="0"/>
              <w:rPr>
                <w:sz w:val="20"/>
                <w:szCs w:val="20"/>
                <w:color w:val="auto"/>
              </w:rPr>
            </w:pPr>
            <w:r>
              <w:rPr>
                <w:rFonts w:ascii="Arial" w:cs="Arial" w:eastAsia="Arial" w:hAnsi="Arial"/>
                <w:sz w:val="18"/>
                <w:szCs w:val="18"/>
                <w:color w:val="auto"/>
              </w:rPr>
              <w:t>485</w:t>
            </w:r>
          </w:p>
        </w:tc>
        <w:tc>
          <w:tcPr>
            <w:tcW w:w="140" w:type="dxa"/>
            <w:vAlign w:val="bottom"/>
          </w:tcPr>
          <w:p>
            <w:pPr>
              <w:spacing w:after="0"/>
              <w:rPr>
                <w:sz w:val="18"/>
                <w:szCs w:val="18"/>
                <w:color w:val="auto"/>
              </w:rPr>
            </w:pPr>
          </w:p>
        </w:tc>
        <w:tc>
          <w:tcPr>
            <w:tcW w:w="620" w:type="dxa"/>
            <w:vAlign w:val="bottom"/>
          </w:tcPr>
          <w:p>
            <w:pPr>
              <w:jc w:val="right"/>
              <w:ind w:right="193"/>
              <w:spacing w:after="0"/>
              <w:rPr>
                <w:sz w:val="20"/>
                <w:szCs w:val="20"/>
                <w:color w:val="auto"/>
              </w:rPr>
            </w:pPr>
            <w:r>
              <w:rPr>
                <w:rFonts w:ascii="Arial" w:cs="Arial" w:eastAsia="Arial" w:hAnsi="Arial"/>
                <w:sz w:val="18"/>
                <w:szCs w:val="18"/>
                <w:color w:val="auto"/>
              </w:rPr>
              <w:t>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AF9E8"/>
          </w:tcPr>
          <w:p>
            <w:pPr>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EAF9E8"/>
          </w:tcPr>
          <w:p>
            <w:pPr>
              <w:spacing w:after="0"/>
              <w:rPr>
                <w:sz w:val="18"/>
                <w:szCs w:val="18"/>
                <w:color w:val="auto"/>
              </w:rPr>
            </w:pPr>
          </w:p>
        </w:tc>
        <w:tc>
          <w:tcPr>
            <w:tcW w:w="62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EAF9E8"/>
          </w:tcPr>
          <w:p>
            <w:pPr>
              <w:spacing w:after="0"/>
              <w:rPr>
                <w:sz w:val="18"/>
                <w:szCs w:val="18"/>
                <w:color w:val="auto"/>
              </w:rPr>
            </w:pPr>
          </w:p>
        </w:tc>
        <w:tc>
          <w:tcPr>
            <w:tcW w:w="700" w:type="dxa"/>
            <w:vAlign w:val="bottom"/>
            <w:shd w:val="clear" w:color="auto" w:fill="EAF9E8"/>
          </w:tcPr>
          <w:p>
            <w:pPr>
              <w:jc w:val="right"/>
              <w:ind w:right="113"/>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620" w:type="dxa"/>
            <w:vAlign w:val="bottom"/>
            <w:shd w:val="clear" w:color="auto" w:fill="EAF9E8"/>
          </w:tcPr>
          <w:p>
            <w:pPr>
              <w:jc w:val="right"/>
              <w:ind w:right="19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80" w:type="dxa"/>
            <w:vAlign w:val="bottom"/>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80" w:type="dxa"/>
            <w:vAlign w:val="bottom"/>
            <w:gridSpan w:val="2"/>
          </w:tcPr>
          <w:p>
            <w:pPr>
              <w:spacing w:after="0"/>
              <w:rPr>
                <w:sz w:val="20"/>
                <w:szCs w:val="20"/>
                <w:color w:val="auto"/>
              </w:rPr>
            </w:pPr>
            <w:r>
              <w:rPr>
                <w:rFonts w:ascii="Arial" w:cs="Arial" w:eastAsia="Arial" w:hAnsi="Arial"/>
                <w:sz w:val="18"/>
                <w:szCs w:val="18"/>
                <w:color w:val="auto"/>
              </w:rPr>
              <w:t>Accrued benefit cost</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(564)</w:t>
            </w:r>
          </w:p>
        </w:tc>
        <w:tc>
          <w:tcPr>
            <w:tcW w:w="240" w:type="dxa"/>
            <w:vAlign w:val="bottom"/>
          </w:tcPr>
          <w:p>
            <w:pPr>
              <w:spacing w:after="0"/>
              <w:rPr>
                <w:sz w:val="24"/>
                <w:szCs w:val="24"/>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(285)</w:t>
            </w:r>
          </w:p>
        </w:tc>
        <w:tc>
          <w:tcPr>
            <w:tcW w:w="140" w:type="dxa"/>
            <w:vAlign w:val="bottom"/>
          </w:tcPr>
          <w:p>
            <w:pPr>
              <w:spacing w:after="0"/>
              <w:rPr>
                <w:sz w:val="24"/>
                <w:szCs w:val="24"/>
                <w:color w:val="auto"/>
              </w:rPr>
            </w:pPr>
          </w:p>
        </w:tc>
        <w:tc>
          <w:tcPr>
            <w:tcW w:w="620" w:type="dxa"/>
            <w:vAlign w:val="bottom"/>
          </w:tcPr>
          <w:p>
            <w:pPr>
              <w:jc w:val="right"/>
              <w:ind w:right="133"/>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5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EAF9E8"/>
          </w:tcPr>
          <w:p>
            <w:pPr>
              <w:spacing w:after="0"/>
              <w:rPr>
                <w:sz w:val="20"/>
                <w:szCs w:val="20"/>
                <w:color w:val="auto"/>
              </w:rPr>
            </w:pPr>
            <w:r>
              <w:rPr>
                <w:rFonts w:ascii="Arial" w:cs="Arial" w:eastAsia="Arial" w:hAnsi="Arial"/>
                <w:sz w:val="18"/>
                <w:szCs w:val="18"/>
                <w:color w:val="auto"/>
              </w:rPr>
              <w:t>Components of net periodic benefit costs:</w:t>
            </w:r>
          </w:p>
        </w:tc>
        <w:tc>
          <w:tcPr>
            <w:tcW w:w="120" w:type="dxa"/>
            <w:vAlign w:val="bottom"/>
            <w:shd w:val="clear" w:color="auto" w:fill="EAF9E8"/>
          </w:tcPr>
          <w:p>
            <w:pPr>
              <w:spacing w:after="0"/>
              <w:rPr>
                <w:sz w:val="18"/>
                <w:szCs w:val="18"/>
                <w:color w:val="auto"/>
              </w:rPr>
            </w:pPr>
          </w:p>
        </w:tc>
        <w:tc>
          <w:tcPr>
            <w:tcW w:w="6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2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40"/>
              <w:spacing w:after="0"/>
              <w:rPr>
                <w:sz w:val="20"/>
                <w:szCs w:val="20"/>
                <w:color w:val="auto"/>
              </w:rPr>
            </w:pPr>
            <w:r>
              <w:rPr>
                <w:rFonts w:ascii="Arial" w:cs="Arial" w:eastAsia="Arial" w:hAnsi="Arial"/>
                <w:sz w:val="18"/>
                <w:szCs w:val="18"/>
                <w:color w:val="auto"/>
              </w:rPr>
              <w:t>Service cost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152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3"/>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620" w:type="dxa"/>
            <w:vAlign w:val="bottom"/>
          </w:tcPr>
          <w:p>
            <w:pPr>
              <w:jc w:val="right"/>
              <w:ind w:right="193"/>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Interest cost</w:t>
            </w:r>
          </w:p>
        </w:tc>
        <w:tc>
          <w:tcPr>
            <w:tcW w:w="120" w:type="dxa"/>
            <w:vAlign w:val="bottom"/>
            <w:shd w:val="clear" w:color="auto" w:fill="EAF9E8"/>
          </w:tcPr>
          <w:p>
            <w:pPr>
              <w:spacing w:after="0"/>
              <w:rPr>
                <w:sz w:val="18"/>
                <w:szCs w:val="18"/>
                <w:color w:val="auto"/>
              </w:rPr>
            </w:pPr>
          </w:p>
        </w:tc>
        <w:tc>
          <w:tcPr>
            <w:tcW w:w="62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71</w:t>
            </w:r>
          </w:p>
        </w:tc>
        <w:tc>
          <w:tcPr>
            <w:tcW w:w="240" w:type="dxa"/>
            <w:vAlign w:val="bottom"/>
            <w:shd w:val="clear" w:color="auto" w:fill="EAF9E8"/>
          </w:tcPr>
          <w:p>
            <w:pPr>
              <w:spacing w:after="0"/>
              <w:rPr>
                <w:sz w:val="18"/>
                <w:szCs w:val="18"/>
                <w:color w:val="auto"/>
              </w:rPr>
            </w:pPr>
          </w:p>
        </w:tc>
        <w:tc>
          <w:tcPr>
            <w:tcW w:w="700" w:type="dxa"/>
            <w:vAlign w:val="bottom"/>
            <w:shd w:val="clear" w:color="auto" w:fill="EAF9E8"/>
          </w:tcPr>
          <w:p>
            <w:pPr>
              <w:jc w:val="right"/>
              <w:ind w:right="113"/>
              <w:spacing w:after="0"/>
              <w:rPr>
                <w:sz w:val="20"/>
                <w:szCs w:val="20"/>
                <w:color w:val="auto"/>
              </w:rPr>
            </w:pPr>
            <w:r>
              <w:rPr>
                <w:rFonts w:ascii="Arial" w:cs="Arial" w:eastAsia="Arial" w:hAnsi="Arial"/>
                <w:sz w:val="18"/>
                <w:szCs w:val="18"/>
                <w:color w:val="auto"/>
              </w:rPr>
              <w:t>52</w:t>
            </w:r>
          </w:p>
        </w:tc>
        <w:tc>
          <w:tcPr>
            <w:tcW w:w="140" w:type="dxa"/>
            <w:vAlign w:val="bottom"/>
            <w:shd w:val="clear" w:color="auto" w:fill="EAF9E8"/>
          </w:tcPr>
          <w:p>
            <w:pPr>
              <w:spacing w:after="0"/>
              <w:rPr>
                <w:sz w:val="18"/>
                <w:szCs w:val="18"/>
                <w:color w:val="auto"/>
              </w:rPr>
            </w:pPr>
          </w:p>
        </w:tc>
        <w:tc>
          <w:tcPr>
            <w:tcW w:w="620" w:type="dxa"/>
            <w:vAlign w:val="bottom"/>
            <w:shd w:val="clear" w:color="auto" w:fill="EAF9E8"/>
          </w:tcPr>
          <w:p>
            <w:pPr>
              <w:jc w:val="right"/>
              <w:ind w:right="193"/>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5660" w:type="dxa"/>
            <w:vAlign w:val="bottom"/>
          </w:tcPr>
          <w:p>
            <w:pPr>
              <w:ind w:left="140"/>
              <w:spacing w:after="0"/>
              <w:rPr>
                <w:sz w:val="20"/>
                <w:szCs w:val="20"/>
                <w:color w:val="auto"/>
              </w:rPr>
            </w:pPr>
            <w:r>
              <w:rPr>
                <w:rFonts w:ascii="Arial" w:cs="Arial" w:eastAsia="Arial" w:hAnsi="Arial"/>
                <w:sz w:val="18"/>
                <w:szCs w:val="18"/>
                <w:color w:val="auto"/>
              </w:rPr>
              <w:t>Amortization of prior service costs</w:t>
            </w:r>
          </w:p>
        </w:tc>
        <w:tc>
          <w:tcPr>
            <w:tcW w:w="120" w:type="dxa"/>
            <w:vAlign w:val="bottom"/>
          </w:tcPr>
          <w:p>
            <w:pPr>
              <w:spacing w:after="0"/>
              <w:rPr>
                <w:sz w:val="24"/>
                <w:szCs w:val="24"/>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24"/>
                <w:szCs w:val="24"/>
                <w:color w:val="auto"/>
              </w:rPr>
            </w:pPr>
          </w:p>
        </w:tc>
        <w:tc>
          <w:tcPr>
            <w:tcW w:w="700" w:type="dxa"/>
            <w:vAlign w:val="bottom"/>
          </w:tcPr>
          <w:p>
            <w:pPr>
              <w:jc w:val="right"/>
              <w:ind w:right="113"/>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4"/>
                <w:szCs w:val="24"/>
                <w:color w:val="auto"/>
              </w:rPr>
            </w:pPr>
          </w:p>
        </w:tc>
        <w:tc>
          <w:tcPr>
            <w:tcW w:w="620" w:type="dxa"/>
            <w:vAlign w:val="bottom"/>
          </w:tcPr>
          <w:p>
            <w:pPr>
              <w:jc w:val="right"/>
              <w:ind w:right="193"/>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Amortization of net loss</w:t>
            </w:r>
          </w:p>
        </w:tc>
        <w:tc>
          <w:tcPr>
            <w:tcW w:w="120" w:type="dxa"/>
            <w:vAlign w:val="bottom"/>
            <w:shd w:val="clear" w:color="auto" w:fill="EAF9E8"/>
          </w:tcPr>
          <w:p>
            <w:pPr>
              <w:spacing w:after="0"/>
              <w:rPr>
                <w:sz w:val="18"/>
                <w:szCs w:val="18"/>
                <w:color w:val="auto"/>
              </w:rPr>
            </w:pPr>
          </w:p>
        </w:tc>
        <w:tc>
          <w:tcPr>
            <w:tcW w:w="620" w:type="dxa"/>
            <w:vAlign w:val="bottom"/>
            <w:shd w:val="clear" w:color="auto" w:fill="EAF9E8"/>
          </w:tcPr>
          <w:p>
            <w:pPr>
              <w:jc w:val="right"/>
              <w:ind w:right="53"/>
              <w:spacing w:after="0"/>
              <w:rPr>
                <w:sz w:val="20"/>
                <w:szCs w:val="20"/>
                <w:color w:val="auto"/>
              </w:rPr>
            </w:pPr>
            <w:r>
              <w:rPr>
                <w:rFonts w:ascii="Arial" w:cs="Arial" w:eastAsia="Arial" w:hAnsi="Arial"/>
                <w:sz w:val="18"/>
                <w:szCs w:val="18"/>
                <w:color w:val="auto"/>
              </w:rPr>
              <w:t>20</w:t>
            </w:r>
          </w:p>
        </w:tc>
        <w:tc>
          <w:tcPr>
            <w:tcW w:w="240" w:type="dxa"/>
            <w:vAlign w:val="bottom"/>
            <w:shd w:val="clear" w:color="auto" w:fill="EAF9E8"/>
          </w:tcPr>
          <w:p>
            <w:pPr>
              <w:spacing w:after="0"/>
              <w:rPr>
                <w:sz w:val="18"/>
                <w:szCs w:val="18"/>
                <w:color w:val="auto"/>
              </w:rPr>
            </w:pPr>
          </w:p>
        </w:tc>
        <w:tc>
          <w:tcPr>
            <w:tcW w:w="700" w:type="dxa"/>
            <w:vAlign w:val="bottom"/>
            <w:shd w:val="clear" w:color="auto" w:fill="EAF9E8"/>
          </w:tcPr>
          <w:p>
            <w:pPr>
              <w:jc w:val="right"/>
              <w:ind w:right="113"/>
              <w:spacing w:after="0"/>
              <w:rPr>
                <w:sz w:val="20"/>
                <w:szCs w:val="20"/>
                <w:color w:val="auto"/>
              </w:rPr>
            </w:pPr>
            <w:r>
              <w:rPr>
                <w:rFonts w:ascii="Arial" w:cs="Arial" w:eastAsia="Arial" w:hAnsi="Arial"/>
                <w:sz w:val="18"/>
                <w:szCs w:val="18"/>
                <w:color w:val="auto"/>
              </w:rPr>
              <w:t>14</w:t>
            </w:r>
          </w:p>
        </w:tc>
        <w:tc>
          <w:tcPr>
            <w:tcW w:w="140" w:type="dxa"/>
            <w:vAlign w:val="bottom"/>
            <w:shd w:val="clear" w:color="auto" w:fill="EAF9E8"/>
          </w:tcPr>
          <w:p>
            <w:pPr>
              <w:spacing w:after="0"/>
              <w:rPr>
                <w:sz w:val="18"/>
                <w:szCs w:val="18"/>
                <w:color w:val="auto"/>
              </w:rPr>
            </w:pPr>
          </w:p>
        </w:tc>
        <w:tc>
          <w:tcPr>
            <w:tcW w:w="620" w:type="dxa"/>
            <w:vAlign w:val="bottom"/>
            <w:shd w:val="clear" w:color="auto" w:fill="EAF9E8"/>
          </w:tcPr>
          <w:p>
            <w:pPr>
              <w:jc w:val="right"/>
              <w:ind w:right="19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80" w:type="dxa"/>
            <w:vAlign w:val="bottom"/>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80" w:type="dxa"/>
            <w:vAlign w:val="bottom"/>
            <w:gridSpan w:val="2"/>
          </w:tcPr>
          <w:p>
            <w:pPr>
              <w:spacing w:after="0"/>
              <w:rPr>
                <w:sz w:val="20"/>
                <w:szCs w:val="20"/>
                <w:color w:val="auto"/>
              </w:rPr>
            </w:pPr>
            <w:r>
              <w:rPr>
                <w:rFonts w:ascii="Arial" w:cs="Arial" w:eastAsia="Arial" w:hAnsi="Arial"/>
                <w:sz w:val="18"/>
                <w:szCs w:val="18"/>
                <w:color w:val="auto"/>
              </w:rPr>
              <w:t>Net periodic benefit cost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279</w:t>
            </w:r>
          </w:p>
        </w:tc>
        <w:tc>
          <w:tcPr>
            <w:tcW w:w="240" w:type="dxa"/>
            <w:vAlign w:val="bottom"/>
          </w:tcPr>
          <w:p>
            <w:pPr>
              <w:spacing w:after="0"/>
              <w:rPr>
                <w:sz w:val="24"/>
                <w:szCs w:val="24"/>
                <w:color w:val="auto"/>
              </w:rPr>
            </w:pPr>
          </w:p>
        </w:tc>
        <w:tc>
          <w:tcPr>
            <w:tcW w:w="700" w:type="dxa"/>
            <w:vAlign w:val="bottom"/>
          </w:tcPr>
          <w:p>
            <w:pPr>
              <w:jc w:val="right"/>
              <w:ind w:right="113"/>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24"/>
                <w:szCs w:val="24"/>
                <w:color w:val="auto"/>
              </w:rPr>
            </w:pPr>
          </w:p>
        </w:tc>
        <w:tc>
          <w:tcPr>
            <w:tcW w:w="620" w:type="dxa"/>
            <w:vAlign w:val="bottom"/>
          </w:tcPr>
          <w:p>
            <w:pPr>
              <w:jc w:val="right"/>
              <w:ind w:right="193"/>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-14605</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383" w:right="1440" w:bottom="1100" w:gutter="0" w:footer="0" w:header="0"/>
        </w:sectPr>
      </w:pPr>
    </w:p>
    <w:p>
      <w:pPr>
        <w:spacing w:after="0" w:line="313" w:lineRule="exact"/>
        <w:rPr>
          <w:sz w:val="20"/>
          <w:szCs w:val="20"/>
          <w:color w:val="auto"/>
        </w:rPr>
      </w:pPr>
    </w:p>
    <w:p>
      <w:pPr>
        <w:ind w:left="3900"/>
        <w:spacing w:after="0"/>
        <w:rPr>
          <w:sz w:val="20"/>
          <w:szCs w:val="20"/>
          <w:color w:val="auto"/>
        </w:rPr>
      </w:pPr>
      <w:r>
        <w:rPr>
          <w:rFonts w:ascii="Arial" w:cs="Arial" w:eastAsia="Arial" w:hAnsi="Arial"/>
          <w:sz w:val="15"/>
          <w:szCs w:val="15"/>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5166995" cy="469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383" w:right="1440" w:bottom="1100" w:gutter="0" w:footer="0" w:header="0"/>
          <w:type w:val="continuous"/>
        </w:sectPr>
      </w:pPr>
    </w:p>
    <w:bookmarkStart w:id="102" w:name="page103"/>
    <w:bookmarkEnd w:id="102"/>
    <w:p>
      <w:pPr>
        <w:ind w:right="2619"/>
        <w:spacing w:after="0" w:line="268" w:lineRule="auto"/>
        <w:rPr>
          <w:sz w:val="20"/>
          <w:szCs w:val="20"/>
          <w:color w:val="auto"/>
        </w:rPr>
      </w:pPr>
      <w:r>
        <w:rPr>
          <w:rFonts w:ascii="Arial" w:cs="Arial" w:eastAsia="Arial" w:hAnsi="Arial"/>
          <w:sz w:val="18"/>
          <w:szCs w:val="18"/>
          <w:color w:val="auto"/>
        </w:rPr>
        <w:t>Assumptions used by the Company in the determination of benefit obligations for the SERP consisted of the following at December 31, 2004 and 2003: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40" w:type="dxa"/>
            <w:vAlign w:val="bottom"/>
          </w:tcPr>
          <w:p>
            <w:pPr>
              <w:spacing w:after="0"/>
              <w:rPr>
                <w:sz w:val="15"/>
                <w:szCs w:val="15"/>
                <w:color w:val="auto"/>
              </w:rPr>
            </w:pPr>
          </w:p>
        </w:tc>
        <w:tc>
          <w:tcPr>
            <w:tcW w:w="35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2005</w:t>
            </w:r>
          </w:p>
        </w:tc>
        <w:tc>
          <w:tcPr>
            <w:tcW w:w="680" w:type="dxa"/>
            <w:vAlign w:val="bottom"/>
          </w:tcPr>
          <w:p>
            <w:pPr>
              <w:jc w:val="right"/>
              <w:ind w:right="179"/>
              <w:spacing w:after="0"/>
              <w:rPr>
                <w:sz w:val="20"/>
                <w:szCs w:val="20"/>
                <w:color w:val="auto"/>
              </w:rPr>
            </w:pPr>
            <w:r>
              <w:rPr>
                <w:rFonts w:ascii="Arial" w:cs="Arial" w:eastAsia="Arial" w:hAnsi="Arial"/>
                <w:sz w:val="14"/>
                <w:szCs w:val="14"/>
                <w:b w:val="1"/>
                <w:bCs w:val="1"/>
                <w:color w:val="auto"/>
              </w:rPr>
              <w:t>2004</w:t>
            </w:r>
          </w:p>
        </w:tc>
        <w:tc>
          <w:tcPr>
            <w:tcW w:w="620" w:type="dxa"/>
            <w:vAlign w:val="bottom"/>
          </w:tcPr>
          <w:p>
            <w:pPr>
              <w:jc w:val="right"/>
              <w:ind w:right="119"/>
              <w:spacing w:after="0"/>
              <w:rPr>
                <w:sz w:val="20"/>
                <w:szCs w:val="20"/>
                <w:color w:val="auto"/>
              </w:rPr>
            </w:pPr>
            <w:r>
              <w:rPr>
                <w:rFonts w:ascii="Arial" w:cs="Arial" w:eastAsia="Arial" w:hAnsi="Arial"/>
                <w:sz w:val="14"/>
                <w:szCs w:val="14"/>
                <w:b w:val="1"/>
                <w:bCs w:val="1"/>
                <w:color w:val="auto"/>
              </w:rPr>
              <w:t>2003</w:t>
            </w:r>
          </w:p>
        </w:tc>
      </w:tr>
      <w:tr>
        <w:trPr>
          <w:trHeight w:val="95"/>
        </w:trPr>
        <w:tc>
          <w:tcPr>
            <w:tcW w:w="3340" w:type="dxa"/>
            <w:vAlign w:val="bottom"/>
          </w:tcPr>
          <w:p>
            <w:pPr>
              <w:spacing w:after="0"/>
              <w:rPr>
                <w:sz w:val="8"/>
                <w:szCs w:val="8"/>
                <w:color w:val="auto"/>
              </w:rPr>
            </w:pPr>
          </w:p>
        </w:tc>
        <w:tc>
          <w:tcPr>
            <w:tcW w:w="28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r>
      <w:tr>
        <w:trPr>
          <w:trHeight w:val="309"/>
        </w:trPr>
        <w:tc>
          <w:tcPr>
            <w:tcW w:w="3340" w:type="dxa"/>
            <w:vAlign w:val="bottom"/>
          </w:tcPr>
          <w:p>
            <w:pPr>
              <w:spacing w:after="0"/>
              <w:rPr>
                <w:sz w:val="20"/>
                <w:szCs w:val="20"/>
                <w:color w:val="auto"/>
              </w:rPr>
            </w:pPr>
            <w:r>
              <w:rPr>
                <w:rFonts w:ascii="Arial" w:cs="Arial" w:eastAsia="Arial" w:hAnsi="Arial"/>
                <w:sz w:val="18"/>
                <w:szCs w:val="18"/>
                <w:color w:val="auto"/>
              </w:rPr>
              <w:t>Discount rate</w:t>
            </w:r>
          </w:p>
        </w:tc>
        <w:tc>
          <w:tcPr>
            <w:tcW w:w="350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c>
          <w:tcPr>
            <w:tcW w:w="680" w:type="dxa"/>
            <w:vAlign w:val="bottom"/>
          </w:tcPr>
          <w:p>
            <w:pPr>
              <w:jc w:val="right"/>
              <w:ind w:right="39"/>
              <w:spacing w:after="0"/>
              <w:rPr>
                <w:sz w:val="20"/>
                <w:szCs w:val="20"/>
                <w:color w:val="auto"/>
              </w:rPr>
            </w:pPr>
            <w:r>
              <w:rPr>
                <w:rFonts w:ascii="Arial" w:cs="Arial" w:eastAsia="Arial" w:hAnsi="Arial"/>
                <w:sz w:val="18"/>
                <w:szCs w:val="18"/>
                <w:color w:val="auto"/>
              </w:rPr>
              <w:t>5.75%</w:t>
            </w:r>
          </w:p>
        </w:tc>
        <w:tc>
          <w:tcPr>
            <w:tcW w:w="62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Rate of increase in compensation levels</w:t>
            </w:r>
          </w:p>
        </w:tc>
        <w:tc>
          <w:tcPr>
            <w:tcW w:w="350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680" w:type="dxa"/>
            <w:vAlign w:val="bottom"/>
          </w:tcPr>
          <w:p>
            <w:pPr>
              <w:jc w:val="right"/>
              <w:ind w:right="39"/>
              <w:spacing w:after="0"/>
              <w:rPr>
                <w:sz w:val="20"/>
                <w:szCs w:val="20"/>
                <w:color w:val="auto"/>
              </w:rPr>
            </w:pPr>
            <w:r>
              <w:rPr>
                <w:rFonts w:ascii="Arial" w:cs="Arial" w:eastAsia="Arial" w:hAnsi="Arial"/>
                <w:sz w:val="18"/>
                <w:szCs w:val="18"/>
                <w:color w:val="auto"/>
              </w:rPr>
              <w:t>4.50%</w:t>
            </w:r>
          </w:p>
        </w:tc>
        <w:tc>
          <w:tcPr>
            <w:tcW w:w="62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432"/>
        </w:trPr>
        <w:tc>
          <w:tcPr>
            <w:tcW w:w="3340" w:type="dxa"/>
            <w:vAlign w:val="bottom"/>
          </w:tcPr>
          <w:p>
            <w:pPr>
              <w:spacing w:after="0"/>
              <w:rPr>
                <w:sz w:val="24"/>
                <w:szCs w:val="24"/>
                <w:color w:val="auto"/>
              </w:rPr>
            </w:pPr>
          </w:p>
        </w:tc>
        <w:tc>
          <w:tcPr>
            <w:tcW w:w="3500" w:type="dxa"/>
            <w:vAlign w:val="bottom"/>
            <w:gridSpan w:val="2"/>
          </w:tcPr>
          <w:p>
            <w:pPr>
              <w:jc w:val="right"/>
              <w:ind w:right="2620"/>
              <w:spacing w:after="0"/>
              <w:rPr>
                <w:sz w:val="20"/>
                <w:szCs w:val="20"/>
                <w:color w:val="auto"/>
              </w:rPr>
            </w:pPr>
            <w:r>
              <w:rPr>
                <w:rFonts w:ascii="Arial" w:cs="Arial" w:eastAsia="Arial" w:hAnsi="Arial"/>
                <w:sz w:val="18"/>
                <w:szCs w:val="18"/>
                <w:color w:val="auto"/>
              </w:rPr>
              <w:t>F-30</w:t>
            </w: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5"/>
        </w:trPr>
        <w:tc>
          <w:tcPr>
            <w:tcW w:w="33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74"/>
        </w:trPr>
        <w:tc>
          <w:tcPr>
            <w:tcW w:w="3340" w:type="dxa"/>
            <w:vAlign w:val="bottom"/>
            <w:shd w:val="clear" w:color="auto" w:fill="808080"/>
          </w:tcPr>
          <w:p>
            <w:pPr>
              <w:spacing w:after="0"/>
              <w:rPr>
                <w:sz w:val="6"/>
                <w:szCs w:val="6"/>
                <w:color w:val="auto"/>
              </w:rPr>
            </w:pPr>
          </w:p>
        </w:tc>
        <w:tc>
          <w:tcPr>
            <w:tcW w:w="2860" w:type="dxa"/>
            <w:vAlign w:val="bottom"/>
            <w:shd w:val="clear" w:color="auto" w:fill="808080"/>
          </w:tcPr>
          <w:p>
            <w:pPr>
              <w:spacing w:after="0"/>
              <w:rPr>
                <w:sz w:val="6"/>
                <w:szCs w:val="6"/>
                <w:color w:val="auto"/>
              </w:rPr>
            </w:pPr>
          </w:p>
        </w:tc>
        <w:tc>
          <w:tcPr>
            <w:tcW w:w="640" w:type="dxa"/>
            <w:vAlign w:val="bottom"/>
            <w:shd w:val="clear" w:color="auto" w:fill="808080"/>
          </w:tcPr>
          <w:p>
            <w:pPr>
              <w:spacing w:after="0"/>
              <w:rPr>
                <w:sz w:val="6"/>
                <w:szCs w:val="6"/>
                <w:color w:val="auto"/>
              </w:rPr>
            </w:pPr>
          </w:p>
        </w:tc>
        <w:tc>
          <w:tcPr>
            <w:tcW w:w="680" w:type="dxa"/>
            <w:vAlign w:val="bottom"/>
            <w:shd w:val="clear" w:color="auto" w:fill="808080"/>
          </w:tcPr>
          <w:p>
            <w:pPr>
              <w:spacing w:after="0"/>
              <w:rPr>
                <w:sz w:val="6"/>
                <w:szCs w:val="6"/>
                <w:color w:val="auto"/>
              </w:rPr>
            </w:pPr>
          </w:p>
        </w:tc>
        <w:tc>
          <w:tcPr>
            <w:tcW w:w="620" w:type="dxa"/>
            <w:vAlign w:val="bottom"/>
            <w:shd w:val="clear" w:color="auto" w:fill="808080"/>
          </w:tcPr>
          <w:p>
            <w:pPr>
              <w:spacing w:after="0"/>
              <w:rPr>
                <w:sz w:val="6"/>
                <w:szCs w:val="6"/>
                <w:color w:val="auto"/>
              </w:rPr>
            </w:pPr>
          </w:p>
        </w:tc>
      </w:tr>
    </w:tbl>
    <w:p>
      <w:pPr>
        <w:sectPr>
          <w:pgSz w:w="11900" w:h="16838" w:orient="portrait"/>
          <w:cols w:equalWidth="0" w:num="1">
            <w:col w:w="10219"/>
          </w:cols>
          <w:pgMar w:left="240" w:top="590" w:right="1440" w:bottom="1440" w:gutter="0" w:footer="0" w:header="0"/>
        </w:sectPr>
      </w:pPr>
    </w:p>
    <w:bookmarkStart w:id="103" w:name="page104"/>
    <w:bookmarkEnd w:id="103"/>
    <w:p>
      <w:pPr>
        <w:ind w:right="2179"/>
        <w:spacing w:after="0" w:line="268" w:lineRule="auto"/>
        <w:rPr>
          <w:sz w:val="20"/>
          <w:szCs w:val="20"/>
          <w:color w:val="auto"/>
        </w:rPr>
      </w:pPr>
      <w:r>
        <w:rPr>
          <w:rFonts w:ascii="Arial" w:cs="Arial" w:eastAsia="Arial" w:hAnsi="Arial"/>
          <w:sz w:val="18"/>
          <w:szCs w:val="18"/>
          <w:color w:val="auto"/>
        </w:rPr>
        <w:t>The following benefits payments, which reflect expected future service, as appropriate, are expected to be paid for the SERP:</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80" w:type="dxa"/>
            <w:vAlign w:val="bottom"/>
          </w:tcPr>
          <w:p>
            <w:pPr>
              <w:ind w:left="80"/>
              <w:spacing w:after="0"/>
              <w:rPr>
                <w:sz w:val="20"/>
                <w:szCs w:val="20"/>
                <w:color w:val="auto"/>
              </w:rPr>
            </w:pPr>
            <w:r>
              <w:rPr>
                <w:rFonts w:ascii="Arial" w:cs="Arial" w:eastAsia="Arial" w:hAnsi="Arial"/>
                <w:sz w:val="14"/>
                <w:szCs w:val="14"/>
                <w:b w:val="1"/>
                <w:bCs w:val="1"/>
                <w:color w:val="auto"/>
              </w:rPr>
              <w:t>Year Ending</w:t>
            </w:r>
          </w:p>
        </w:tc>
        <w:tc>
          <w:tcPr>
            <w:tcW w:w="80" w:type="dxa"/>
            <w:vAlign w:val="bottom"/>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Amount</w:t>
            </w:r>
          </w:p>
        </w:tc>
      </w:tr>
      <w:tr>
        <w:trPr>
          <w:trHeight w:val="95"/>
        </w:trPr>
        <w:tc>
          <w:tcPr>
            <w:tcW w:w="30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250"/>
        </w:trPr>
        <w:tc>
          <w:tcPr>
            <w:tcW w:w="3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i w:val="1"/>
                <w:iCs w:val="1"/>
                <w:color w:val="auto"/>
                <w:w w:val="84"/>
              </w:rPr>
              <w:t>(in thousands)</w:t>
            </w:r>
          </w:p>
        </w:tc>
      </w:tr>
      <w:tr>
        <w:trPr>
          <w:trHeight w:val="216"/>
        </w:trPr>
        <w:tc>
          <w:tcPr>
            <w:tcW w:w="3080" w:type="dxa"/>
            <w:vAlign w:val="bottom"/>
            <w:shd w:val="clear" w:color="auto" w:fill="EAF9E8"/>
          </w:tcPr>
          <w:p>
            <w:pPr>
              <w:jc w:val="center"/>
              <w:ind w:right="2095"/>
              <w:spacing w:after="0"/>
              <w:rPr>
                <w:sz w:val="20"/>
                <w:szCs w:val="20"/>
                <w:color w:val="auto"/>
              </w:rPr>
            </w:pPr>
            <w:r>
              <w:rPr>
                <w:rFonts w:ascii="Arial" w:cs="Arial" w:eastAsia="Arial" w:hAnsi="Arial"/>
                <w:sz w:val="18"/>
                <w:szCs w:val="18"/>
                <w:color w:val="auto"/>
                <w:w w:val="84"/>
              </w:rPr>
              <w:t>2006</w:t>
            </w:r>
          </w:p>
        </w:tc>
        <w:tc>
          <w:tcPr>
            <w:tcW w:w="8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080" w:type="dxa"/>
            <w:vAlign w:val="bottom"/>
          </w:tcPr>
          <w:p>
            <w:pPr>
              <w:jc w:val="center"/>
              <w:ind w:right="2095"/>
              <w:spacing w:after="0"/>
              <w:rPr>
                <w:sz w:val="20"/>
                <w:szCs w:val="20"/>
                <w:color w:val="auto"/>
              </w:rPr>
            </w:pPr>
            <w:r>
              <w:rPr>
                <w:rFonts w:ascii="Arial" w:cs="Arial" w:eastAsia="Arial" w:hAnsi="Arial"/>
                <w:sz w:val="18"/>
                <w:szCs w:val="18"/>
                <w:color w:val="auto"/>
                <w:w w:val="84"/>
              </w:rPr>
              <w:t>2007</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080" w:type="dxa"/>
            <w:vAlign w:val="bottom"/>
            <w:shd w:val="clear" w:color="auto" w:fill="EAF9E8"/>
          </w:tcPr>
          <w:p>
            <w:pPr>
              <w:jc w:val="center"/>
              <w:ind w:right="2095"/>
              <w:spacing w:after="0"/>
              <w:rPr>
                <w:sz w:val="20"/>
                <w:szCs w:val="20"/>
                <w:color w:val="auto"/>
              </w:rPr>
            </w:pPr>
            <w:r>
              <w:rPr>
                <w:rFonts w:ascii="Arial" w:cs="Arial" w:eastAsia="Arial" w:hAnsi="Arial"/>
                <w:sz w:val="18"/>
                <w:szCs w:val="18"/>
                <w:color w:val="auto"/>
                <w:w w:val="84"/>
              </w:rPr>
              <w:t>2008</w:t>
            </w:r>
          </w:p>
        </w:tc>
        <w:tc>
          <w:tcPr>
            <w:tcW w:w="8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080" w:type="dxa"/>
            <w:vAlign w:val="bottom"/>
          </w:tcPr>
          <w:p>
            <w:pPr>
              <w:jc w:val="center"/>
              <w:ind w:right="2095"/>
              <w:spacing w:after="0"/>
              <w:rPr>
                <w:sz w:val="20"/>
                <w:szCs w:val="20"/>
                <w:color w:val="auto"/>
              </w:rPr>
            </w:pPr>
            <w:r>
              <w:rPr>
                <w:rFonts w:ascii="Arial" w:cs="Arial" w:eastAsia="Arial" w:hAnsi="Arial"/>
                <w:sz w:val="18"/>
                <w:szCs w:val="18"/>
                <w:color w:val="auto"/>
                <w:w w:val="84"/>
              </w:rPr>
              <w:t>2009</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080" w:type="dxa"/>
            <w:vAlign w:val="bottom"/>
            <w:shd w:val="clear" w:color="auto" w:fill="EAF9E8"/>
          </w:tcPr>
          <w:p>
            <w:pPr>
              <w:jc w:val="center"/>
              <w:ind w:right="2095"/>
              <w:spacing w:after="0"/>
              <w:rPr>
                <w:sz w:val="20"/>
                <w:szCs w:val="20"/>
                <w:color w:val="auto"/>
              </w:rPr>
            </w:pPr>
            <w:r>
              <w:rPr>
                <w:rFonts w:ascii="Arial" w:cs="Arial" w:eastAsia="Arial" w:hAnsi="Arial"/>
                <w:sz w:val="18"/>
                <w:szCs w:val="18"/>
                <w:color w:val="auto"/>
                <w:w w:val="84"/>
              </w:rPr>
              <w:t>2010</w:t>
            </w:r>
          </w:p>
        </w:tc>
        <w:tc>
          <w:tcPr>
            <w:tcW w:w="8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22"/>
        </w:trPr>
        <w:tc>
          <w:tcPr>
            <w:tcW w:w="3080" w:type="dxa"/>
            <w:vAlign w:val="bottom"/>
          </w:tcPr>
          <w:p>
            <w:pPr>
              <w:jc w:val="center"/>
              <w:ind w:right="2095"/>
              <w:spacing w:after="0"/>
              <w:rPr>
                <w:sz w:val="20"/>
                <w:szCs w:val="20"/>
                <w:color w:val="auto"/>
              </w:rPr>
            </w:pPr>
            <w:r>
              <w:rPr>
                <w:rFonts w:ascii="Arial" w:cs="Arial" w:eastAsia="Arial" w:hAnsi="Arial"/>
                <w:sz w:val="18"/>
                <w:szCs w:val="18"/>
                <w:color w:val="auto"/>
                <w:w w:val="85"/>
              </w:rPr>
              <w:t>2011 – 2015</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9"/>
                <w:szCs w:val="19"/>
                <w:color w:val="auto"/>
              </w:rPr>
            </w:pPr>
          </w:p>
        </w:tc>
      </w:tr>
      <w:tr>
        <w:trPr>
          <w:trHeight w:val="102"/>
        </w:trPr>
        <w:tc>
          <w:tcPr>
            <w:tcW w:w="30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102"/>
        </w:trPr>
        <w:tc>
          <w:tcPr>
            <w:tcW w:w="30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3080" w:type="dxa"/>
            <w:vAlign w:val="bottom"/>
            <w:shd w:val="clear" w:color="auto" w:fill="EAF9E8"/>
          </w:tcPr>
          <w:p>
            <w:pPr>
              <w:spacing w:after="0"/>
              <w:rPr>
                <w:sz w:val="18"/>
                <w:szCs w:val="18"/>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r>
      <w:tr>
        <w:trPr>
          <w:trHeight w:val="118"/>
        </w:trPr>
        <w:tc>
          <w:tcPr>
            <w:tcW w:w="30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1949450</wp:posOffset>
            </wp:positionH>
            <wp:positionV relativeFrom="paragraph">
              <wp:posOffset>-14605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-14605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-14605</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 Incentive Plan</w:t>
      </w:r>
    </w:p>
    <w:p>
      <w:pPr>
        <w:spacing w:after="0" w:line="231" w:lineRule="exact"/>
        <w:rPr>
          <w:sz w:val="20"/>
          <w:szCs w:val="20"/>
          <w:color w:val="auto"/>
        </w:rPr>
      </w:pPr>
    </w:p>
    <w:p>
      <w:pPr>
        <w:ind w:right="2139"/>
        <w:spacing w:after="0" w:line="285" w:lineRule="auto"/>
        <w:rPr>
          <w:sz w:val="20"/>
          <w:szCs w:val="20"/>
          <w:color w:val="auto"/>
        </w:rPr>
      </w:pPr>
      <w:r>
        <w:rPr>
          <w:rFonts w:ascii="Arial" w:cs="Arial" w:eastAsia="Arial" w:hAnsi="Arial"/>
          <w:sz w:val="16"/>
          <w:szCs w:val="16"/>
          <w:color w:val="auto"/>
        </w:rPr>
        <w:t>The Company maintains a shareholder-approved Company Stock Incentive Plan approved in 1996 (the “1996 Plan”), providing for the grant of incentive compensation to essentially all employees in the form of stock options. The 1996 Plan authorizes grants of options to purchase up to 480,000 shares of common stock over a ten-year period beginning in 1996. The term of the 1996 Plan expired in February of 2006. During 2005, a new Company Stock Incentive Plan was approved, the “2005 Plan”, under which 480,000 shares may be issued over a ten-year period beginning in 2005.The option price for all grants has been at the current market price at the time of the grant. Grants generally provide that one-half of the options vest and become exercisable on each of the first and second anniversaries of the grant date, with the options expiring on the fifth anniversary of the grant date. In the year ended December 31, 2003, the Company also issued a grant pursuant to which the options are vested over a five-year period beginning on the third anniversary of the grant date. The participant may exercise 20% of the total grant after each anniversary date from the third through the seventh year, with the options expiring on the tenth anniversary of the grant date. In the years ended December 31, 2005 and 2004, the Company also made grants pursuant to which the options are vested over a four-year period beginning on the third anniversary of the grant date. The participants may exercise 25% of the total grant after each anniversary date from the third through the sixth year, with the options expiring on the seventh anniversary of the grant date.</w:t>
      </w:r>
    </w:p>
    <w:p>
      <w:pPr>
        <w:spacing w:after="0" w:line="180" w:lineRule="exact"/>
        <w:rPr>
          <w:sz w:val="20"/>
          <w:szCs w:val="20"/>
          <w:color w:val="auto"/>
        </w:rPr>
      </w:pPr>
    </w:p>
    <w:p>
      <w:pPr>
        <w:ind w:right="2339"/>
        <w:spacing w:after="0" w:line="268" w:lineRule="auto"/>
        <w:rPr>
          <w:sz w:val="20"/>
          <w:szCs w:val="20"/>
          <w:color w:val="auto"/>
        </w:rPr>
      </w:pPr>
      <w:r>
        <w:rPr>
          <w:rFonts w:ascii="Arial" w:cs="Arial" w:eastAsia="Arial" w:hAnsi="Arial"/>
          <w:sz w:val="18"/>
          <w:szCs w:val="18"/>
          <w:color w:val="auto"/>
        </w:rPr>
        <w:t>The fair value of each grant is estimated at the grant date using the Black-Scholes option-pricing model with the following weighted average assumptions: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080" w:type="dxa"/>
            <w:vAlign w:val="bottom"/>
          </w:tcPr>
          <w:p>
            <w:pPr>
              <w:jc w:val="right"/>
              <w:ind w:right="236"/>
              <w:spacing w:after="0"/>
              <w:rPr>
                <w:sz w:val="20"/>
                <w:szCs w:val="20"/>
                <w:color w:val="auto"/>
              </w:rPr>
            </w:pPr>
            <w:r>
              <w:rPr>
                <w:rFonts w:ascii="Arial" w:cs="Arial" w:eastAsia="Arial" w:hAnsi="Arial"/>
                <w:sz w:val="14"/>
                <w:szCs w:val="14"/>
                <w:b w:val="1"/>
                <w:bCs w:val="1"/>
                <w:color w:val="auto"/>
              </w:rPr>
              <w:t>2005</w:t>
            </w:r>
          </w:p>
        </w:tc>
        <w:tc>
          <w:tcPr>
            <w:tcW w:w="10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2004</w:t>
            </w:r>
          </w:p>
        </w:tc>
        <w:tc>
          <w:tcPr>
            <w:tcW w:w="840" w:type="dxa"/>
            <w:vAlign w:val="bottom"/>
          </w:tcPr>
          <w:p>
            <w:pPr>
              <w:jc w:val="right"/>
              <w:ind w:right="76"/>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EAF9E8"/>
          </w:tcPr>
          <w:p>
            <w:pPr>
              <w:spacing w:after="0"/>
              <w:rPr>
                <w:sz w:val="20"/>
                <w:szCs w:val="20"/>
                <w:color w:val="auto"/>
              </w:rPr>
            </w:pPr>
            <w:r>
              <w:rPr>
                <w:rFonts w:ascii="Arial" w:cs="Arial" w:eastAsia="Arial" w:hAnsi="Arial"/>
                <w:sz w:val="18"/>
                <w:szCs w:val="18"/>
                <w:color w:val="auto"/>
              </w:rPr>
              <w:t>Dividend rate</w:t>
            </w:r>
          </w:p>
        </w:tc>
        <w:tc>
          <w:tcPr>
            <w:tcW w:w="1080" w:type="dxa"/>
            <w:vAlign w:val="bottom"/>
            <w:shd w:val="clear" w:color="auto" w:fill="EAF9E8"/>
          </w:tcPr>
          <w:p>
            <w:pPr>
              <w:jc w:val="right"/>
              <w:ind w:right="96"/>
              <w:spacing w:after="0"/>
              <w:rPr>
                <w:sz w:val="20"/>
                <w:szCs w:val="20"/>
                <w:color w:val="auto"/>
              </w:rPr>
            </w:pPr>
            <w:r>
              <w:rPr>
                <w:rFonts w:ascii="Arial" w:cs="Arial" w:eastAsia="Arial" w:hAnsi="Arial"/>
                <w:sz w:val="18"/>
                <w:szCs w:val="18"/>
                <w:color w:val="auto"/>
              </w:rPr>
              <w:t>1.42%</w:t>
            </w:r>
          </w:p>
        </w:tc>
        <w:tc>
          <w:tcPr>
            <w:tcW w:w="1000" w:type="dxa"/>
            <w:vAlign w:val="bottom"/>
            <w:shd w:val="clear" w:color="auto" w:fill="EAF9E8"/>
          </w:tcPr>
          <w:p>
            <w:pPr>
              <w:jc w:val="right"/>
              <w:ind w:right="96"/>
              <w:spacing w:after="0"/>
              <w:rPr>
                <w:sz w:val="20"/>
                <w:szCs w:val="20"/>
                <w:color w:val="auto"/>
              </w:rPr>
            </w:pPr>
            <w:r>
              <w:rPr>
                <w:rFonts w:ascii="Arial" w:cs="Arial" w:eastAsia="Arial" w:hAnsi="Arial"/>
                <w:sz w:val="18"/>
                <w:szCs w:val="18"/>
                <w:color w:val="auto"/>
              </w:rPr>
              <w:t>1.77%</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80" w:type="dxa"/>
            <w:vAlign w:val="bottom"/>
          </w:tcPr>
          <w:p>
            <w:pPr>
              <w:jc w:val="right"/>
              <w:ind w:right="96"/>
              <w:spacing w:after="0"/>
              <w:rPr>
                <w:sz w:val="20"/>
                <w:szCs w:val="20"/>
                <w:color w:val="auto"/>
              </w:rPr>
            </w:pPr>
            <w:r>
              <w:rPr>
                <w:rFonts w:ascii="Arial" w:cs="Arial" w:eastAsia="Arial" w:hAnsi="Arial"/>
                <w:sz w:val="18"/>
                <w:szCs w:val="18"/>
                <w:color w:val="auto"/>
              </w:rPr>
              <w:t>4.30%</w:t>
            </w:r>
          </w:p>
        </w:tc>
        <w:tc>
          <w:tcPr>
            <w:tcW w:w="1000" w:type="dxa"/>
            <w:vAlign w:val="bottom"/>
          </w:tcPr>
          <w:p>
            <w:pPr>
              <w:jc w:val="right"/>
              <w:ind w:right="96"/>
              <w:spacing w:after="0"/>
              <w:rPr>
                <w:sz w:val="20"/>
                <w:szCs w:val="20"/>
                <w:color w:val="auto"/>
              </w:rPr>
            </w:pPr>
            <w:r>
              <w:rPr>
                <w:rFonts w:ascii="Arial" w:cs="Arial" w:eastAsia="Arial" w:hAnsi="Arial"/>
                <w:sz w:val="18"/>
                <w:szCs w:val="18"/>
                <w:color w:val="auto"/>
              </w:rPr>
              <w:t>2.74%</w:t>
            </w:r>
          </w:p>
        </w:tc>
        <w:tc>
          <w:tcPr>
            <w:tcW w:w="840" w:type="dxa"/>
            <w:vAlign w:val="bottom"/>
          </w:tcPr>
          <w:p>
            <w:pPr>
              <w:jc w:val="right"/>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EAF9E8"/>
          </w:tcPr>
          <w:p>
            <w:pPr>
              <w:spacing w:after="0"/>
              <w:rPr>
                <w:sz w:val="20"/>
                <w:szCs w:val="20"/>
                <w:color w:val="auto"/>
              </w:rPr>
            </w:pPr>
            <w:r>
              <w:rPr>
                <w:rFonts w:ascii="Arial" w:cs="Arial" w:eastAsia="Arial" w:hAnsi="Arial"/>
                <w:sz w:val="18"/>
                <w:szCs w:val="18"/>
                <w:color w:val="auto"/>
              </w:rPr>
              <w:t>Expected lives of options</w:t>
            </w:r>
          </w:p>
        </w:tc>
        <w:tc>
          <w:tcPr>
            <w:tcW w:w="1080" w:type="dxa"/>
            <w:vAlign w:val="bottom"/>
            <w:shd w:val="clear" w:color="auto" w:fill="EAF9E8"/>
          </w:tcPr>
          <w:p>
            <w:pPr>
              <w:jc w:val="right"/>
              <w:ind w:right="236"/>
              <w:spacing w:after="0"/>
              <w:rPr>
                <w:sz w:val="20"/>
                <w:szCs w:val="20"/>
                <w:color w:val="auto"/>
              </w:rPr>
            </w:pPr>
            <w:r>
              <w:rPr>
                <w:rFonts w:ascii="Arial" w:cs="Arial" w:eastAsia="Arial" w:hAnsi="Arial"/>
                <w:sz w:val="18"/>
                <w:szCs w:val="18"/>
                <w:color w:val="auto"/>
                <w:w w:val="99"/>
              </w:rPr>
              <w:t>3.5 years</w:t>
            </w:r>
          </w:p>
        </w:tc>
        <w:tc>
          <w:tcPr>
            <w:tcW w:w="1000" w:type="dxa"/>
            <w:vAlign w:val="bottom"/>
            <w:shd w:val="clear" w:color="auto" w:fill="EAF9E8"/>
          </w:tcPr>
          <w:p>
            <w:pPr>
              <w:jc w:val="right"/>
              <w:ind w:right="236"/>
              <w:spacing w:after="0"/>
              <w:rPr>
                <w:sz w:val="20"/>
                <w:szCs w:val="20"/>
                <w:color w:val="auto"/>
              </w:rPr>
            </w:pPr>
            <w:r>
              <w:rPr>
                <w:rFonts w:ascii="Arial" w:cs="Arial" w:eastAsia="Arial" w:hAnsi="Arial"/>
                <w:sz w:val="18"/>
                <w:szCs w:val="18"/>
                <w:color w:val="auto"/>
              </w:rPr>
              <w:t>5 years</w:t>
            </w:r>
          </w:p>
        </w:tc>
        <w:tc>
          <w:tcPr>
            <w:tcW w:w="840" w:type="dxa"/>
            <w:vAlign w:val="bottom"/>
            <w:shd w:val="clear" w:color="auto" w:fill="EAF9E8"/>
          </w:tcPr>
          <w:p>
            <w:pPr>
              <w:jc w:val="right"/>
              <w:ind w:right="76"/>
              <w:spacing w:after="0"/>
              <w:rPr>
                <w:sz w:val="20"/>
                <w:szCs w:val="20"/>
                <w:color w:val="auto"/>
              </w:rPr>
            </w:pPr>
            <w:r>
              <w:rPr>
                <w:rFonts w:ascii="Arial" w:cs="Arial" w:eastAsia="Arial" w:hAnsi="Arial"/>
                <w:sz w:val="18"/>
                <w:szCs w:val="18"/>
                <w:color w:val="auto"/>
              </w:rPr>
              <w:t>5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Price volatility</w:t>
            </w:r>
          </w:p>
        </w:tc>
        <w:tc>
          <w:tcPr>
            <w:tcW w:w="1080" w:type="dxa"/>
            <w:vAlign w:val="bottom"/>
          </w:tcPr>
          <w:p>
            <w:pPr>
              <w:jc w:val="right"/>
              <w:ind w:right="96"/>
              <w:spacing w:after="0"/>
              <w:rPr>
                <w:sz w:val="20"/>
                <w:szCs w:val="20"/>
                <w:color w:val="auto"/>
              </w:rPr>
            </w:pPr>
            <w:r>
              <w:rPr>
                <w:rFonts w:ascii="Arial" w:cs="Arial" w:eastAsia="Arial" w:hAnsi="Arial"/>
                <w:sz w:val="18"/>
                <w:szCs w:val="18"/>
                <w:color w:val="auto"/>
              </w:rPr>
              <w:t>45.73%</w:t>
            </w:r>
          </w:p>
        </w:tc>
        <w:tc>
          <w:tcPr>
            <w:tcW w:w="1000" w:type="dxa"/>
            <w:vAlign w:val="bottom"/>
          </w:tcPr>
          <w:p>
            <w:pPr>
              <w:jc w:val="right"/>
              <w:ind w:right="96"/>
              <w:spacing w:after="0"/>
              <w:rPr>
                <w:sz w:val="20"/>
                <w:szCs w:val="20"/>
                <w:color w:val="auto"/>
              </w:rPr>
            </w:pPr>
            <w:r>
              <w:rPr>
                <w:rFonts w:ascii="Arial" w:cs="Arial" w:eastAsia="Arial" w:hAnsi="Arial"/>
                <w:sz w:val="18"/>
                <w:szCs w:val="18"/>
                <w:color w:val="auto"/>
              </w:rPr>
              <w:t>49.68%</w:t>
            </w:r>
          </w:p>
        </w:tc>
        <w:tc>
          <w:tcPr>
            <w:tcW w:w="840" w:type="dxa"/>
            <w:vAlign w:val="bottom"/>
          </w:tcPr>
          <w:p>
            <w:pPr>
              <w:jc w:val="right"/>
              <w:spacing w:after="0"/>
              <w:rPr>
                <w:sz w:val="20"/>
                <w:szCs w:val="20"/>
                <w:color w:val="auto"/>
              </w:rPr>
            </w:pPr>
            <w:r>
              <w:rPr>
                <w:rFonts w:ascii="Arial" w:cs="Arial" w:eastAsia="Arial" w:hAnsi="Arial"/>
                <w:sz w:val="18"/>
                <w:szCs w:val="18"/>
                <w:color w:val="auto"/>
              </w:rPr>
              <w:t>38.83%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119"/>
        <w:spacing w:after="0" w:line="252" w:lineRule="auto"/>
        <w:rPr>
          <w:sz w:val="20"/>
          <w:szCs w:val="20"/>
          <w:color w:val="auto"/>
        </w:rPr>
      </w:pPr>
      <w:r>
        <w:rPr>
          <w:rFonts w:ascii="Arial" w:cs="Arial" w:eastAsia="Arial" w:hAnsi="Arial"/>
          <w:sz w:val="18"/>
          <w:szCs w:val="18"/>
          <w:color w:val="auto"/>
        </w:rPr>
        <w:t>In 2004, the Company issued tandem awards of stock options and stock appreciation rights. Because the employee has the choice of receiving cash or shares of stock, this plan results in the Company recording a liability, which is adjusted each period to reflect the vested portion of the intrinsic value of the award. If employees subsequently choose to receive shares of stock rather than cash, the liability is settled by issuing stock. During 2005, the Company issued tandem awards of stock options and stock appreciation rights with a net-share settlement feature. The cash-settlement feature has been eliminated for the 2005 option grant. However, due to the net-share settlement feature, the Company accounts for these awards as stock appreciation rights and recognizes compensation expense over the vesting period to the extent the current stock price exceeds the exercise price of the options.</w:t>
      </w:r>
    </w:p>
    <w:p>
      <w:pPr>
        <w:spacing w:after="0" w:line="20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90" w:right="1440" w:bottom="1440" w:gutter="0" w:footer="0" w:header="0"/>
        </w:sectPr>
      </w:pPr>
    </w:p>
    <w:bookmarkStart w:id="104" w:name="page105"/>
    <w:bookmarkEnd w:id="104"/>
    <w:p>
      <w:pPr>
        <w:ind w:right="2139"/>
        <w:spacing w:after="0" w:line="268" w:lineRule="auto"/>
        <w:rPr>
          <w:sz w:val="20"/>
          <w:szCs w:val="20"/>
          <w:color w:val="auto"/>
        </w:rPr>
      </w:pPr>
      <w:r>
        <w:rPr>
          <w:rFonts w:ascii="Arial" w:cs="Arial" w:eastAsia="Arial" w:hAnsi="Arial"/>
          <w:sz w:val="18"/>
          <w:szCs w:val="18"/>
          <w:color w:val="auto"/>
        </w:rPr>
        <w:t>A summary of the status of the Plans at December 31, 2005, 2004 and 2003 and changes during the years ended on those dates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296"/>
              <w:spacing w:after="0"/>
              <w:rPr>
                <w:sz w:val="20"/>
                <w:szCs w:val="20"/>
                <w:color w:val="auto"/>
              </w:rPr>
            </w:pPr>
            <w:r>
              <w:rPr>
                <w:rFonts w:ascii="Arial" w:cs="Arial" w:eastAsia="Arial" w:hAnsi="Arial"/>
                <w:sz w:val="14"/>
                <w:szCs w:val="14"/>
                <w:b w:val="1"/>
                <w:bCs w:val="1"/>
                <w:color w:val="auto"/>
              </w:rPr>
              <w:t>Weighted</w:t>
            </w: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1300" w:type="dxa"/>
            <w:vAlign w:val="bottom"/>
            <w:gridSpan w:val="2"/>
          </w:tcPr>
          <w:p>
            <w:pPr>
              <w:jc w:val="center"/>
              <w:ind w:left="139"/>
              <w:spacing w:after="0" w:line="149" w:lineRule="exact"/>
              <w:rPr>
                <w:sz w:val="20"/>
                <w:szCs w:val="20"/>
                <w:color w:val="auto"/>
              </w:rPr>
            </w:pPr>
            <w:r>
              <w:rPr>
                <w:rFonts w:ascii="Arial" w:cs="Arial" w:eastAsia="Arial" w:hAnsi="Arial"/>
                <w:sz w:val="14"/>
                <w:szCs w:val="14"/>
                <w:b w:val="1"/>
                <w:bCs w:val="1"/>
                <w:color w:val="auto"/>
                <w:w w:val="89"/>
              </w:rPr>
              <w:t>Fair Value Per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5"/>
                <w:szCs w:val="15"/>
                <w:color w:val="auto"/>
              </w:rPr>
            </w:pPr>
          </w:p>
        </w:tc>
        <w:tc>
          <w:tcPr>
            <w:tcW w:w="1140" w:type="dxa"/>
            <w:vAlign w:val="bottom"/>
          </w:tcPr>
          <w:p>
            <w:pPr>
              <w:jc w:val="right"/>
              <w:ind w:right="76"/>
              <w:spacing w:after="0"/>
              <w:rPr>
                <w:sz w:val="20"/>
                <w:szCs w:val="20"/>
                <w:color w:val="auto"/>
              </w:rPr>
            </w:pPr>
            <w:r>
              <w:rPr>
                <w:rFonts w:ascii="Arial" w:cs="Arial" w:eastAsia="Arial" w:hAnsi="Arial"/>
                <w:sz w:val="14"/>
                <w:szCs w:val="14"/>
                <w:b w:val="1"/>
                <w:bCs w:val="1"/>
                <w:color w:val="auto"/>
                <w:w w:val="87"/>
              </w:rPr>
              <w:t>Price Per Option</w:t>
            </w:r>
          </w:p>
        </w:tc>
        <w:tc>
          <w:tcPr>
            <w:tcW w:w="1300" w:type="dxa"/>
            <w:vAlign w:val="bottom"/>
            <w:gridSpan w:val="2"/>
          </w:tcPr>
          <w:p>
            <w:pPr>
              <w:jc w:val="center"/>
              <w:ind w:left="139"/>
              <w:spacing w:after="0"/>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EAF9E8"/>
          </w:tcPr>
          <w:p>
            <w:pPr>
              <w:spacing w:after="0"/>
              <w:rPr>
                <w:sz w:val="20"/>
                <w:szCs w:val="20"/>
                <w:color w:val="auto"/>
              </w:rPr>
            </w:pPr>
            <w:r>
              <w:rPr>
                <w:rFonts w:ascii="Arial" w:cs="Arial" w:eastAsia="Arial" w:hAnsi="Arial"/>
                <w:sz w:val="18"/>
                <w:szCs w:val="18"/>
                <w:color w:val="auto"/>
              </w:rPr>
              <w:t>Outstanding December 31, 2002</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149,704</w:t>
            </w: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AF9E8"/>
          </w:tcPr>
          <w:p>
            <w:pPr>
              <w:jc w:val="right"/>
              <w:ind w:right="76"/>
              <w:spacing w:after="0"/>
              <w:rPr>
                <w:sz w:val="20"/>
                <w:szCs w:val="20"/>
                <w:color w:val="auto"/>
              </w:rPr>
            </w:pPr>
            <w:r>
              <w:rPr>
                <w:rFonts w:ascii="Arial" w:cs="Arial" w:eastAsia="Arial" w:hAnsi="Arial"/>
                <w:sz w:val="18"/>
                <w:szCs w:val="18"/>
                <w:color w:val="auto"/>
              </w:rPr>
              <w:t>14.99</w:t>
            </w:r>
          </w:p>
        </w:tc>
        <w:tc>
          <w:tcPr>
            <w:tcW w:w="128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360" w:type="dxa"/>
            <w:vAlign w:val="bottom"/>
          </w:tcPr>
          <w:p>
            <w:pPr>
              <w:ind w:left="14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75,396</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18.89</w:t>
            </w: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w w:val="93"/>
              </w:rPr>
              <w:t>$ 4.24 to 11.37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Cancelled</w:t>
            </w:r>
          </w:p>
        </w:tc>
        <w:tc>
          <w:tcPr>
            <w:tcW w:w="10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(11,892)</w:t>
            </w:r>
          </w:p>
        </w:tc>
        <w:tc>
          <w:tcPr>
            <w:tcW w:w="240" w:type="dxa"/>
            <w:vAlign w:val="bottom"/>
            <w:shd w:val="clear" w:color="auto" w:fill="EAF9E8"/>
          </w:tcPr>
          <w:p>
            <w:pPr>
              <w:spacing w:after="0"/>
              <w:rPr>
                <w:sz w:val="18"/>
                <w:szCs w:val="18"/>
                <w:color w:val="auto"/>
              </w:rPr>
            </w:pPr>
          </w:p>
        </w:tc>
        <w:tc>
          <w:tcPr>
            <w:tcW w:w="1140" w:type="dxa"/>
            <w:vAlign w:val="bottom"/>
            <w:shd w:val="clear" w:color="auto" w:fill="EAF9E8"/>
          </w:tcPr>
          <w:p>
            <w:pPr>
              <w:jc w:val="right"/>
              <w:ind w:right="76"/>
              <w:spacing w:after="0"/>
              <w:rPr>
                <w:sz w:val="20"/>
                <w:szCs w:val="20"/>
                <w:color w:val="auto"/>
              </w:rPr>
            </w:pPr>
            <w:r>
              <w:rPr>
                <w:rFonts w:ascii="Arial" w:cs="Arial" w:eastAsia="Arial" w:hAnsi="Arial"/>
                <w:sz w:val="18"/>
                <w:szCs w:val="18"/>
                <w:color w:val="auto"/>
              </w:rPr>
              <w:t>16.62</w:t>
            </w:r>
          </w:p>
        </w:tc>
        <w:tc>
          <w:tcPr>
            <w:tcW w:w="128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(40,988)</w:t>
            </w:r>
          </w:p>
        </w:tc>
        <w:tc>
          <w:tcPr>
            <w:tcW w:w="240" w:type="dxa"/>
            <w:vAlign w:val="bottom"/>
          </w:tcPr>
          <w:p>
            <w:pPr>
              <w:spacing w:after="0"/>
              <w:rPr>
                <w:sz w:val="19"/>
                <w:szCs w:val="19"/>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11.89</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380" w:type="dxa"/>
            <w:vAlign w:val="bottom"/>
            <w:gridSpan w:val="2"/>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EAF9E8"/>
          </w:tcPr>
          <w:p>
            <w:pPr>
              <w:spacing w:after="0"/>
              <w:rPr>
                <w:sz w:val="20"/>
                <w:szCs w:val="20"/>
                <w:color w:val="auto"/>
              </w:rPr>
            </w:pPr>
            <w:r>
              <w:rPr>
                <w:rFonts w:ascii="Arial" w:cs="Arial" w:eastAsia="Arial" w:hAnsi="Arial"/>
                <w:sz w:val="18"/>
                <w:szCs w:val="18"/>
                <w:color w:val="auto"/>
              </w:rPr>
              <w:t>Outstanding December 31, 2003</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172,220</w:t>
            </w: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140" w:type="dxa"/>
            <w:vAlign w:val="bottom"/>
            <w:shd w:val="clear" w:color="auto" w:fill="EAF9E8"/>
          </w:tcPr>
          <w:p>
            <w:pPr>
              <w:jc w:val="right"/>
              <w:ind w:right="76"/>
              <w:spacing w:after="0"/>
              <w:rPr>
                <w:sz w:val="20"/>
                <w:szCs w:val="20"/>
                <w:color w:val="auto"/>
              </w:rPr>
            </w:pPr>
            <w:r>
              <w:rPr>
                <w:rFonts w:ascii="Arial" w:cs="Arial" w:eastAsia="Arial" w:hAnsi="Arial"/>
                <w:sz w:val="18"/>
                <w:szCs w:val="18"/>
                <w:color w:val="auto"/>
              </w:rPr>
              <w:t>16.92</w:t>
            </w:r>
          </w:p>
        </w:tc>
        <w:tc>
          <w:tcPr>
            <w:tcW w:w="12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360" w:type="dxa"/>
            <w:vAlign w:val="bottom"/>
          </w:tcPr>
          <w:p>
            <w:pPr>
              <w:ind w:left="14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108,178</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24.56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Cancelled</w:t>
            </w:r>
          </w:p>
        </w:tc>
        <w:tc>
          <w:tcPr>
            <w:tcW w:w="10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(4,368)</w:t>
            </w:r>
          </w:p>
        </w:tc>
        <w:tc>
          <w:tcPr>
            <w:tcW w:w="240" w:type="dxa"/>
            <w:vAlign w:val="bottom"/>
            <w:shd w:val="clear" w:color="auto" w:fill="EAF9E8"/>
          </w:tcPr>
          <w:p>
            <w:pPr>
              <w:spacing w:after="0"/>
              <w:rPr>
                <w:sz w:val="18"/>
                <w:szCs w:val="18"/>
                <w:color w:val="auto"/>
              </w:rPr>
            </w:pPr>
          </w:p>
        </w:tc>
        <w:tc>
          <w:tcPr>
            <w:tcW w:w="1140" w:type="dxa"/>
            <w:vAlign w:val="bottom"/>
            <w:shd w:val="clear" w:color="auto" w:fill="EAF9E8"/>
          </w:tcPr>
          <w:p>
            <w:pPr>
              <w:jc w:val="right"/>
              <w:ind w:right="76"/>
              <w:spacing w:after="0"/>
              <w:rPr>
                <w:sz w:val="20"/>
                <w:szCs w:val="20"/>
                <w:color w:val="auto"/>
              </w:rPr>
            </w:pPr>
            <w:r>
              <w:rPr>
                <w:rFonts w:ascii="Arial" w:cs="Arial" w:eastAsia="Arial" w:hAnsi="Arial"/>
                <w:sz w:val="18"/>
                <w:szCs w:val="18"/>
                <w:color w:val="auto"/>
              </w:rPr>
              <w:t>12.66</w:t>
            </w:r>
          </w:p>
        </w:tc>
        <w:tc>
          <w:tcPr>
            <w:tcW w:w="128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(37,219)</w:t>
            </w:r>
          </w:p>
        </w:tc>
        <w:tc>
          <w:tcPr>
            <w:tcW w:w="240" w:type="dxa"/>
            <w:vAlign w:val="bottom"/>
          </w:tcPr>
          <w:p>
            <w:pPr>
              <w:spacing w:after="0"/>
              <w:rPr>
                <w:sz w:val="19"/>
                <w:szCs w:val="19"/>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15.80</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380" w:type="dxa"/>
            <w:vAlign w:val="bottom"/>
            <w:gridSpan w:val="2"/>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EAF9E8"/>
          </w:tcPr>
          <w:p>
            <w:pPr>
              <w:spacing w:after="0"/>
              <w:rPr>
                <w:sz w:val="20"/>
                <w:szCs w:val="20"/>
                <w:color w:val="auto"/>
              </w:rPr>
            </w:pPr>
            <w:r>
              <w:rPr>
                <w:rFonts w:ascii="Arial" w:cs="Arial" w:eastAsia="Arial" w:hAnsi="Arial"/>
                <w:sz w:val="18"/>
                <w:szCs w:val="18"/>
                <w:color w:val="auto"/>
              </w:rPr>
              <w:t>Outstanding December 31, 2004</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238,811</w:t>
            </w: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140" w:type="dxa"/>
            <w:vAlign w:val="bottom"/>
            <w:shd w:val="clear" w:color="auto" w:fill="EAF9E8"/>
          </w:tcPr>
          <w:p>
            <w:pPr>
              <w:jc w:val="right"/>
              <w:ind w:right="76"/>
              <w:spacing w:after="0"/>
              <w:rPr>
                <w:sz w:val="20"/>
                <w:szCs w:val="20"/>
                <w:color w:val="auto"/>
              </w:rPr>
            </w:pPr>
            <w:r>
              <w:rPr>
                <w:rFonts w:ascii="Arial" w:cs="Arial" w:eastAsia="Arial" w:hAnsi="Arial"/>
                <w:sz w:val="18"/>
                <w:szCs w:val="18"/>
                <w:color w:val="auto"/>
              </w:rPr>
              <w:t>20.97</w:t>
            </w:r>
          </w:p>
        </w:tc>
        <w:tc>
          <w:tcPr>
            <w:tcW w:w="128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360" w:type="dxa"/>
            <w:vAlign w:val="bottom"/>
          </w:tcPr>
          <w:p>
            <w:pPr>
              <w:ind w:left="14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79,031</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31.59</w:t>
            </w:r>
          </w:p>
        </w:tc>
        <w:tc>
          <w:tcPr>
            <w:tcW w:w="1300" w:type="dxa"/>
            <w:vAlign w:val="bottom"/>
            <w:gridSpan w:val="2"/>
          </w:tcPr>
          <w:p>
            <w:pPr>
              <w:jc w:val="center"/>
              <w:ind w:left="159"/>
              <w:spacing w:after="0"/>
              <w:rPr>
                <w:sz w:val="20"/>
                <w:szCs w:val="20"/>
                <w:color w:val="auto"/>
              </w:rPr>
            </w:pPr>
            <w:r>
              <w:rPr>
                <w:rFonts w:ascii="Arial" w:cs="Arial" w:eastAsia="Arial" w:hAnsi="Arial"/>
                <w:sz w:val="18"/>
                <w:szCs w:val="18"/>
                <w:color w:val="auto"/>
                <w:w w:val="88"/>
              </w:rPr>
              <w:t>10.51 to 18.11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Cancelled</w:t>
            </w:r>
          </w:p>
        </w:tc>
        <w:tc>
          <w:tcPr>
            <w:tcW w:w="10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(20,262)</w:t>
            </w:r>
          </w:p>
        </w:tc>
        <w:tc>
          <w:tcPr>
            <w:tcW w:w="240" w:type="dxa"/>
            <w:vAlign w:val="bottom"/>
            <w:shd w:val="clear" w:color="auto" w:fill="EAF9E8"/>
          </w:tcPr>
          <w:p>
            <w:pPr>
              <w:spacing w:after="0"/>
              <w:rPr>
                <w:sz w:val="18"/>
                <w:szCs w:val="18"/>
                <w:color w:val="auto"/>
              </w:rPr>
            </w:pPr>
          </w:p>
        </w:tc>
        <w:tc>
          <w:tcPr>
            <w:tcW w:w="1140" w:type="dxa"/>
            <w:vAlign w:val="bottom"/>
            <w:shd w:val="clear" w:color="auto" w:fill="EAF9E8"/>
          </w:tcPr>
          <w:p>
            <w:pPr>
              <w:jc w:val="right"/>
              <w:ind w:right="76"/>
              <w:spacing w:after="0"/>
              <w:rPr>
                <w:sz w:val="20"/>
                <w:szCs w:val="20"/>
                <w:color w:val="auto"/>
              </w:rPr>
            </w:pPr>
            <w:r>
              <w:rPr>
                <w:rFonts w:ascii="Arial" w:cs="Arial" w:eastAsia="Arial" w:hAnsi="Arial"/>
                <w:sz w:val="18"/>
                <w:szCs w:val="18"/>
                <w:color w:val="auto"/>
              </w:rPr>
              <w:t>25.32</w:t>
            </w:r>
          </w:p>
        </w:tc>
        <w:tc>
          <w:tcPr>
            <w:tcW w:w="128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(56,717)</w:t>
            </w:r>
          </w:p>
        </w:tc>
        <w:tc>
          <w:tcPr>
            <w:tcW w:w="240" w:type="dxa"/>
            <w:vAlign w:val="bottom"/>
          </w:tcPr>
          <w:p>
            <w:pPr>
              <w:spacing w:after="0"/>
              <w:rPr>
                <w:sz w:val="19"/>
                <w:szCs w:val="19"/>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18.23</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380" w:type="dxa"/>
            <w:vAlign w:val="bottom"/>
            <w:gridSpan w:val="2"/>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EAF9E8"/>
          </w:tcPr>
          <w:p>
            <w:pPr>
              <w:spacing w:after="0"/>
              <w:rPr>
                <w:sz w:val="20"/>
                <w:szCs w:val="20"/>
                <w:color w:val="auto"/>
              </w:rPr>
            </w:pPr>
            <w:r>
              <w:rPr>
                <w:rFonts w:ascii="Arial" w:cs="Arial" w:eastAsia="Arial" w:hAnsi="Arial"/>
                <w:sz w:val="18"/>
                <w:szCs w:val="18"/>
                <w:color w:val="auto"/>
              </w:rPr>
              <w:t>Outstanding December 31, 2005</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240,863</w:t>
            </w: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140" w:type="dxa"/>
            <w:vAlign w:val="bottom"/>
            <w:shd w:val="clear" w:color="auto" w:fill="EAF9E8"/>
          </w:tcPr>
          <w:p>
            <w:pPr>
              <w:jc w:val="right"/>
              <w:ind w:right="76"/>
              <w:spacing w:after="0"/>
              <w:rPr>
                <w:sz w:val="20"/>
                <w:szCs w:val="20"/>
                <w:color w:val="auto"/>
              </w:rPr>
            </w:pPr>
            <w:r>
              <w:rPr>
                <w:rFonts w:ascii="Arial" w:cs="Arial" w:eastAsia="Arial" w:hAnsi="Arial"/>
                <w:sz w:val="18"/>
                <w:szCs w:val="18"/>
                <w:color w:val="auto"/>
              </w:rPr>
              <w:t>24.73</w:t>
            </w:r>
          </w:p>
        </w:tc>
        <w:tc>
          <w:tcPr>
            <w:tcW w:w="128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-14605</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-14605</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-14605</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419"/>
        <w:spacing w:after="0" w:line="306" w:lineRule="auto"/>
        <w:rPr>
          <w:sz w:val="20"/>
          <w:szCs w:val="20"/>
          <w:color w:val="auto"/>
        </w:rPr>
      </w:pPr>
      <w:r>
        <w:rPr>
          <w:rFonts w:ascii="Arial" w:cs="Arial" w:eastAsia="Arial" w:hAnsi="Arial"/>
          <w:sz w:val="16"/>
          <w:szCs w:val="16"/>
          <w:color w:val="auto"/>
        </w:rPr>
        <w:t>There were options for 86,000, 88,626 and 85,670 shares exercisable at December 31, 2005, 2004 and 2003, at weighted average exercise prices per share of $19.47, $17.13, and $15.94, respectively. The following table summarizes information about stock options outstanding at December 31, 2005:</w:t>
      </w:r>
    </w:p>
    <w:p>
      <w:pPr>
        <w:spacing w:after="0" w:line="157"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278"/>
              <w:spacing w:after="0"/>
              <w:rPr>
                <w:sz w:val="20"/>
                <w:szCs w:val="20"/>
                <w:color w:val="auto"/>
              </w:rPr>
            </w:pPr>
            <w:r>
              <w:rPr>
                <w:rFonts w:ascii="Arial" w:cs="Arial" w:eastAsia="Arial" w:hAnsi="Arial"/>
                <w:sz w:val="14"/>
                <w:szCs w:val="14"/>
                <w:b w:val="1"/>
                <w:bCs w:val="1"/>
                <w:color w:val="auto"/>
              </w:rPr>
              <w:t>Exercise</w:t>
            </w:r>
          </w:p>
        </w:tc>
        <w:tc>
          <w:tcPr>
            <w:tcW w:w="1080" w:type="dxa"/>
            <w:vAlign w:val="bottom"/>
          </w:tcPr>
          <w:p>
            <w:pPr>
              <w:jc w:val="right"/>
              <w:ind w:right="298"/>
              <w:spacing w:after="0"/>
              <w:rPr>
                <w:sz w:val="20"/>
                <w:szCs w:val="20"/>
                <w:color w:val="auto"/>
              </w:rPr>
            </w:pPr>
            <w:r>
              <w:rPr>
                <w:rFonts w:ascii="Arial" w:cs="Arial" w:eastAsia="Arial" w:hAnsi="Arial"/>
                <w:sz w:val="14"/>
                <w:szCs w:val="14"/>
                <w:b w:val="1"/>
                <w:bCs w:val="1"/>
                <w:color w:val="auto"/>
              </w:rPr>
              <w:t>Shares</w:t>
            </w:r>
          </w:p>
        </w:tc>
        <w:tc>
          <w:tcPr>
            <w:tcW w:w="1100" w:type="dxa"/>
            <w:vAlign w:val="bottom"/>
          </w:tcPr>
          <w:p>
            <w:pPr>
              <w:jc w:val="right"/>
              <w:ind w:right="158"/>
              <w:spacing w:after="0"/>
              <w:rPr>
                <w:sz w:val="20"/>
                <w:szCs w:val="20"/>
                <w:color w:val="auto"/>
              </w:rPr>
            </w:pPr>
            <w:r>
              <w:rPr>
                <w:rFonts w:ascii="Arial" w:cs="Arial" w:eastAsia="Arial" w:hAnsi="Arial"/>
                <w:sz w:val="14"/>
                <w:szCs w:val="14"/>
                <w:b w:val="1"/>
                <w:bCs w:val="1"/>
                <w:color w:val="auto"/>
              </w:rPr>
              <w:t>Option Life</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338"/>
              <w:spacing w:after="0"/>
              <w:rPr>
                <w:sz w:val="20"/>
                <w:szCs w:val="20"/>
                <w:color w:val="auto"/>
              </w:rPr>
            </w:pPr>
            <w:r>
              <w:rPr>
                <w:rFonts w:ascii="Arial" w:cs="Arial" w:eastAsia="Arial" w:hAnsi="Arial"/>
                <w:sz w:val="14"/>
                <w:szCs w:val="14"/>
                <w:b w:val="1"/>
                <w:bCs w:val="1"/>
                <w:color w:val="auto"/>
              </w:rPr>
              <w:t>Prices</w:t>
            </w:r>
          </w:p>
        </w:tc>
        <w:tc>
          <w:tcPr>
            <w:tcW w:w="1080" w:type="dxa"/>
            <w:vAlign w:val="bottom"/>
          </w:tcPr>
          <w:p>
            <w:pPr>
              <w:jc w:val="right"/>
              <w:ind w:right="138"/>
              <w:spacing w:after="0"/>
              <w:rPr>
                <w:sz w:val="20"/>
                <w:szCs w:val="20"/>
                <w:color w:val="auto"/>
              </w:rPr>
            </w:pPr>
            <w:r>
              <w:rPr>
                <w:rFonts w:ascii="Arial" w:cs="Arial" w:eastAsia="Arial" w:hAnsi="Arial"/>
                <w:sz w:val="14"/>
                <w:szCs w:val="14"/>
                <w:b w:val="1"/>
                <w:bCs w:val="1"/>
                <w:color w:val="auto"/>
              </w:rPr>
              <w:t>Outstanding</w:t>
            </w:r>
          </w:p>
        </w:tc>
        <w:tc>
          <w:tcPr>
            <w:tcW w:w="1100" w:type="dxa"/>
            <w:vAlign w:val="bottom"/>
          </w:tcPr>
          <w:p>
            <w:pPr>
              <w:jc w:val="right"/>
              <w:ind w:right="178"/>
              <w:spacing w:after="0"/>
              <w:rPr>
                <w:sz w:val="20"/>
                <w:szCs w:val="20"/>
                <w:color w:val="auto"/>
              </w:rPr>
            </w:pPr>
            <w:r>
              <w:rPr>
                <w:rFonts w:ascii="Arial" w:cs="Arial" w:eastAsia="Arial" w:hAnsi="Arial"/>
                <w:sz w:val="14"/>
                <w:szCs w:val="14"/>
                <w:b w:val="1"/>
                <w:bCs w:val="1"/>
                <w:color w:val="auto"/>
              </w:rPr>
              <w:t>Remaining</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EAF9E8"/>
          </w:tcPr>
          <w:p>
            <w:pPr>
              <w:jc w:val="right"/>
              <w:ind w:right="252"/>
              <w:spacing w:after="0"/>
              <w:rPr>
                <w:sz w:val="20"/>
                <w:szCs w:val="20"/>
                <w:color w:val="auto"/>
              </w:rPr>
            </w:pPr>
            <w:r>
              <w:rPr>
                <w:rFonts w:ascii="Arial" w:cs="Arial" w:eastAsia="Arial" w:hAnsi="Arial"/>
                <w:sz w:val="18"/>
                <w:szCs w:val="18"/>
                <w:color w:val="auto"/>
                <w:w w:val="79"/>
              </w:rPr>
              <w:t>2001</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AF9E8"/>
          </w:tcPr>
          <w:p>
            <w:pPr>
              <w:jc w:val="right"/>
              <w:ind w:right="78"/>
              <w:spacing w:after="0"/>
              <w:rPr>
                <w:sz w:val="20"/>
                <w:szCs w:val="20"/>
                <w:color w:val="auto"/>
              </w:rPr>
            </w:pPr>
            <w:r>
              <w:rPr>
                <w:rFonts w:ascii="Arial" w:cs="Arial" w:eastAsia="Arial" w:hAnsi="Arial"/>
                <w:sz w:val="18"/>
                <w:szCs w:val="18"/>
                <w:color w:val="auto"/>
              </w:rPr>
              <w:t>15.79</w:t>
            </w:r>
          </w:p>
        </w:tc>
        <w:tc>
          <w:tcPr>
            <w:tcW w:w="1080" w:type="dxa"/>
            <w:vAlign w:val="bottom"/>
            <w:shd w:val="clear" w:color="auto" w:fill="EAF9E8"/>
          </w:tcPr>
          <w:p>
            <w:pPr>
              <w:jc w:val="right"/>
              <w:ind w:right="58"/>
              <w:spacing w:after="0"/>
              <w:rPr>
                <w:sz w:val="20"/>
                <w:szCs w:val="20"/>
                <w:color w:val="auto"/>
              </w:rPr>
            </w:pPr>
            <w:r>
              <w:rPr>
                <w:rFonts w:ascii="Arial" w:cs="Arial" w:eastAsia="Arial" w:hAnsi="Arial"/>
                <w:sz w:val="18"/>
                <w:szCs w:val="18"/>
                <w:color w:val="auto"/>
              </w:rPr>
              <w:t>10,118</w:t>
            </w:r>
          </w:p>
        </w:tc>
        <w:tc>
          <w:tcPr>
            <w:tcW w:w="1100" w:type="dxa"/>
            <w:vAlign w:val="bottom"/>
            <w:shd w:val="clear" w:color="auto" w:fill="EAF9E8"/>
          </w:tcPr>
          <w:p>
            <w:pPr>
              <w:jc w:val="right"/>
              <w:ind w:right="58"/>
              <w:spacing w:after="0"/>
              <w:rPr>
                <w:sz w:val="20"/>
                <w:szCs w:val="20"/>
                <w:color w:val="auto"/>
              </w:rPr>
            </w:pPr>
            <w:r>
              <w:rPr>
                <w:rFonts w:ascii="Arial" w:cs="Arial" w:eastAsia="Arial" w:hAnsi="Arial"/>
                <w:sz w:val="18"/>
                <w:szCs w:val="18"/>
                <w:color w:val="auto"/>
              </w:rPr>
              <w:t>1 years</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10,118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jc w:val="right"/>
              <w:ind w:right="252"/>
              <w:spacing w:after="0"/>
              <w:rPr>
                <w:sz w:val="20"/>
                <w:szCs w:val="20"/>
                <w:color w:val="auto"/>
              </w:rPr>
            </w:pPr>
            <w:r>
              <w:rPr>
                <w:rFonts w:ascii="Arial" w:cs="Arial" w:eastAsia="Arial" w:hAnsi="Arial"/>
                <w:sz w:val="18"/>
                <w:szCs w:val="18"/>
                <w:color w:val="auto"/>
                <w:w w:val="79"/>
              </w:rPr>
              <w:t>2002</w:t>
            </w:r>
          </w:p>
        </w:tc>
        <w:tc>
          <w:tcPr>
            <w:tcW w:w="120" w:type="dxa"/>
            <w:vAlign w:val="bottom"/>
          </w:tcPr>
          <w:p>
            <w:pPr>
              <w:spacing w:after="0"/>
              <w:rPr>
                <w:sz w:val="18"/>
                <w:szCs w:val="18"/>
                <w:color w:val="auto"/>
              </w:rPr>
            </w:pPr>
          </w:p>
        </w:tc>
        <w:tc>
          <w:tcPr>
            <w:tcW w:w="1020" w:type="dxa"/>
            <w:vAlign w:val="bottom"/>
          </w:tcPr>
          <w:p>
            <w:pPr>
              <w:jc w:val="right"/>
              <w:ind w:right="78"/>
              <w:spacing w:after="0"/>
              <w:rPr>
                <w:sz w:val="20"/>
                <w:szCs w:val="20"/>
                <w:color w:val="auto"/>
              </w:rPr>
            </w:pPr>
            <w:r>
              <w:rPr>
                <w:rFonts w:ascii="Arial" w:cs="Arial" w:eastAsia="Arial" w:hAnsi="Arial"/>
                <w:sz w:val="18"/>
                <w:szCs w:val="18"/>
                <w:color w:val="auto"/>
              </w:rPr>
              <w:t>17.59</w:t>
            </w: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20,707</w:t>
            </w:r>
          </w:p>
        </w:tc>
        <w:tc>
          <w:tcPr>
            <w:tcW w:w="1100" w:type="dxa"/>
            <w:vAlign w:val="bottom"/>
          </w:tcPr>
          <w:p>
            <w:pPr>
              <w:jc w:val="right"/>
              <w:ind w:right="58"/>
              <w:spacing w:after="0"/>
              <w:rPr>
                <w:sz w:val="20"/>
                <w:szCs w:val="20"/>
                <w:color w:val="auto"/>
              </w:rPr>
            </w:pPr>
            <w:r>
              <w:rPr>
                <w:rFonts w:ascii="Arial" w:cs="Arial" w:eastAsia="Arial" w:hAnsi="Arial"/>
                <w:sz w:val="18"/>
                <w:szCs w:val="18"/>
                <w:color w:val="auto"/>
              </w:rPr>
              <w:t>2 years</w:t>
            </w:r>
          </w:p>
        </w:tc>
        <w:tc>
          <w:tcPr>
            <w:tcW w:w="860" w:type="dxa"/>
            <w:vAlign w:val="bottom"/>
          </w:tcPr>
          <w:p>
            <w:pPr>
              <w:jc w:val="right"/>
              <w:spacing w:after="0"/>
              <w:rPr>
                <w:sz w:val="20"/>
                <w:szCs w:val="20"/>
                <w:color w:val="auto"/>
              </w:rPr>
            </w:pPr>
            <w:r>
              <w:rPr>
                <w:rFonts w:ascii="Arial" w:cs="Arial" w:eastAsia="Arial" w:hAnsi="Arial"/>
                <w:sz w:val="18"/>
                <w:szCs w:val="18"/>
                <w:color w:val="auto"/>
              </w:rPr>
              <w:t>20,707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EAF9E8"/>
          </w:tcPr>
          <w:p>
            <w:pPr>
              <w:jc w:val="right"/>
              <w:ind w:right="252"/>
              <w:spacing w:after="0"/>
              <w:rPr>
                <w:sz w:val="20"/>
                <w:szCs w:val="20"/>
                <w:color w:val="auto"/>
              </w:rPr>
            </w:pPr>
            <w:r>
              <w:rPr>
                <w:rFonts w:ascii="Arial" w:cs="Arial" w:eastAsia="Arial" w:hAnsi="Arial"/>
                <w:sz w:val="18"/>
                <w:szCs w:val="18"/>
                <w:color w:val="auto"/>
                <w:w w:val="79"/>
              </w:rPr>
              <w:t>2003</w:t>
            </w: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jc w:val="right"/>
              <w:ind w:right="78"/>
              <w:spacing w:after="0"/>
              <w:rPr>
                <w:sz w:val="20"/>
                <w:szCs w:val="20"/>
                <w:color w:val="auto"/>
              </w:rPr>
            </w:pPr>
            <w:r>
              <w:rPr>
                <w:rFonts w:ascii="Arial" w:cs="Arial" w:eastAsia="Arial" w:hAnsi="Arial"/>
                <w:sz w:val="18"/>
                <w:szCs w:val="18"/>
                <w:color w:val="auto"/>
                <w:w w:val="87"/>
              </w:rPr>
              <w:t>17.98-22.01</w:t>
            </w:r>
          </w:p>
        </w:tc>
        <w:tc>
          <w:tcPr>
            <w:tcW w:w="1080" w:type="dxa"/>
            <w:vAlign w:val="bottom"/>
            <w:shd w:val="clear" w:color="auto" w:fill="EAF9E8"/>
          </w:tcPr>
          <w:p>
            <w:pPr>
              <w:jc w:val="right"/>
              <w:ind w:right="58"/>
              <w:spacing w:after="0"/>
              <w:rPr>
                <w:sz w:val="20"/>
                <w:szCs w:val="20"/>
                <w:color w:val="auto"/>
              </w:rPr>
            </w:pPr>
            <w:r>
              <w:rPr>
                <w:rFonts w:ascii="Arial" w:cs="Arial" w:eastAsia="Arial" w:hAnsi="Arial"/>
                <w:sz w:val="18"/>
                <w:szCs w:val="18"/>
                <w:color w:val="auto"/>
              </w:rPr>
              <w:t>49,853</w:t>
            </w:r>
          </w:p>
        </w:tc>
        <w:tc>
          <w:tcPr>
            <w:tcW w:w="1100" w:type="dxa"/>
            <w:vAlign w:val="bottom"/>
            <w:shd w:val="clear" w:color="auto" w:fill="EAF9E8"/>
          </w:tcPr>
          <w:p>
            <w:pPr>
              <w:jc w:val="right"/>
              <w:ind w:right="58"/>
              <w:spacing w:after="0"/>
              <w:rPr>
                <w:sz w:val="20"/>
                <w:szCs w:val="20"/>
                <w:color w:val="auto"/>
              </w:rPr>
            </w:pPr>
            <w:r>
              <w:rPr>
                <w:rFonts w:ascii="Arial" w:cs="Arial" w:eastAsia="Arial" w:hAnsi="Arial"/>
                <w:sz w:val="18"/>
                <w:szCs w:val="18"/>
                <w:color w:val="auto"/>
                <w:w w:val="99"/>
              </w:rPr>
              <w:t>3 to 8 years</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29,853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jc w:val="right"/>
              <w:ind w:right="252"/>
              <w:spacing w:after="0"/>
              <w:rPr>
                <w:sz w:val="20"/>
                <w:szCs w:val="20"/>
                <w:color w:val="auto"/>
              </w:rPr>
            </w:pPr>
            <w:r>
              <w:rPr>
                <w:rFonts w:ascii="Arial" w:cs="Arial" w:eastAsia="Arial" w:hAnsi="Arial"/>
                <w:sz w:val="18"/>
                <w:szCs w:val="18"/>
                <w:color w:val="auto"/>
                <w:w w:val="79"/>
              </w:rPr>
              <w:t>2004</w:t>
            </w:r>
          </w:p>
        </w:tc>
        <w:tc>
          <w:tcPr>
            <w:tcW w:w="120" w:type="dxa"/>
            <w:vAlign w:val="bottom"/>
          </w:tcPr>
          <w:p>
            <w:pPr>
              <w:spacing w:after="0"/>
              <w:rPr>
                <w:sz w:val="18"/>
                <w:szCs w:val="18"/>
                <w:color w:val="auto"/>
              </w:rPr>
            </w:pPr>
          </w:p>
        </w:tc>
        <w:tc>
          <w:tcPr>
            <w:tcW w:w="1020" w:type="dxa"/>
            <w:vAlign w:val="bottom"/>
          </w:tcPr>
          <w:p>
            <w:pPr>
              <w:jc w:val="right"/>
              <w:ind w:right="78"/>
              <w:spacing w:after="0"/>
              <w:rPr>
                <w:sz w:val="20"/>
                <w:szCs w:val="20"/>
                <w:color w:val="auto"/>
              </w:rPr>
            </w:pPr>
            <w:r>
              <w:rPr>
                <w:rFonts w:ascii="Arial" w:cs="Arial" w:eastAsia="Arial" w:hAnsi="Arial"/>
                <w:sz w:val="18"/>
                <w:szCs w:val="18"/>
                <w:color w:val="auto"/>
                <w:w w:val="87"/>
              </w:rPr>
              <w:t>23.00-26.46</w:t>
            </w: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85,644</w:t>
            </w:r>
          </w:p>
        </w:tc>
        <w:tc>
          <w:tcPr>
            <w:tcW w:w="1100" w:type="dxa"/>
            <w:vAlign w:val="bottom"/>
          </w:tcPr>
          <w:p>
            <w:pPr>
              <w:jc w:val="right"/>
              <w:ind w:right="58"/>
              <w:spacing w:after="0"/>
              <w:rPr>
                <w:sz w:val="20"/>
                <w:szCs w:val="20"/>
                <w:color w:val="auto"/>
              </w:rPr>
            </w:pPr>
            <w:r>
              <w:rPr>
                <w:rFonts w:ascii="Arial" w:cs="Arial" w:eastAsia="Arial" w:hAnsi="Arial"/>
                <w:sz w:val="18"/>
                <w:szCs w:val="18"/>
                <w:color w:val="auto"/>
                <w:w w:val="99"/>
              </w:rPr>
              <w:t>4 to 6 years</w:t>
            </w:r>
          </w:p>
        </w:tc>
        <w:tc>
          <w:tcPr>
            <w:tcW w:w="860" w:type="dxa"/>
            <w:vAlign w:val="bottom"/>
          </w:tcPr>
          <w:p>
            <w:pPr>
              <w:jc w:val="right"/>
              <w:spacing w:after="0"/>
              <w:rPr>
                <w:sz w:val="20"/>
                <w:szCs w:val="20"/>
                <w:color w:val="auto"/>
              </w:rPr>
            </w:pPr>
            <w:r>
              <w:rPr>
                <w:rFonts w:ascii="Arial" w:cs="Arial" w:eastAsia="Arial" w:hAnsi="Arial"/>
                <w:sz w:val="18"/>
                <w:szCs w:val="18"/>
                <w:color w:val="auto"/>
              </w:rPr>
              <w:t>25,322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EAF9E8"/>
          </w:tcPr>
          <w:p>
            <w:pPr>
              <w:jc w:val="right"/>
              <w:ind w:right="252"/>
              <w:spacing w:after="0"/>
              <w:rPr>
                <w:sz w:val="20"/>
                <w:szCs w:val="20"/>
                <w:color w:val="auto"/>
              </w:rPr>
            </w:pPr>
            <w:r>
              <w:rPr>
                <w:rFonts w:ascii="Arial" w:cs="Arial" w:eastAsia="Arial" w:hAnsi="Arial"/>
                <w:sz w:val="18"/>
                <w:szCs w:val="18"/>
                <w:color w:val="auto"/>
                <w:w w:val="79"/>
              </w:rPr>
              <w:t>2005</w:t>
            </w: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jc w:val="right"/>
              <w:ind w:right="78"/>
              <w:spacing w:after="0"/>
              <w:rPr>
                <w:sz w:val="20"/>
                <w:szCs w:val="20"/>
                <w:color w:val="auto"/>
              </w:rPr>
            </w:pPr>
            <w:r>
              <w:rPr>
                <w:rFonts w:ascii="Arial" w:cs="Arial" w:eastAsia="Arial" w:hAnsi="Arial"/>
                <w:sz w:val="18"/>
                <w:szCs w:val="18"/>
                <w:color w:val="auto"/>
                <w:w w:val="87"/>
              </w:rPr>
              <w:t>30.29-40.53</w:t>
            </w:r>
          </w:p>
        </w:tc>
        <w:tc>
          <w:tcPr>
            <w:tcW w:w="1080" w:type="dxa"/>
            <w:vAlign w:val="bottom"/>
            <w:shd w:val="clear" w:color="auto" w:fill="EAF9E8"/>
          </w:tcPr>
          <w:p>
            <w:pPr>
              <w:jc w:val="right"/>
              <w:ind w:right="58"/>
              <w:spacing w:after="0"/>
              <w:rPr>
                <w:sz w:val="20"/>
                <w:szCs w:val="20"/>
                <w:color w:val="auto"/>
              </w:rPr>
            </w:pPr>
            <w:r>
              <w:rPr>
                <w:rFonts w:ascii="Arial" w:cs="Arial" w:eastAsia="Arial" w:hAnsi="Arial"/>
                <w:sz w:val="18"/>
                <w:szCs w:val="18"/>
                <w:color w:val="auto"/>
              </w:rPr>
              <w:t>74,541</w:t>
            </w:r>
          </w:p>
        </w:tc>
        <w:tc>
          <w:tcPr>
            <w:tcW w:w="1100" w:type="dxa"/>
            <w:vAlign w:val="bottom"/>
            <w:shd w:val="clear" w:color="auto" w:fill="EAF9E8"/>
          </w:tcPr>
          <w:p>
            <w:pPr>
              <w:jc w:val="right"/>
              <w:ind w:right="58"/>
              <w:spacing w:after="0"/>
              <w:rPr>
                <w:sz w:val="20"/>
                <w:szCs w:val="20"/>
                <w:color w:val="auto"/>
              </w:rPr>
            </w:pPr>
            <w:r>
              <w:rPr>
                <w:rFonts w:ascii="Arial" w:cs="Arial" w:eastAsia="Arial" w:hAnsi="Arial"/>
                <w:sz w:val="18"/>
                <w:szCs w:val="18"/>
                <w:color w:val="auto"/>
                <w:w w:val="99"/>
              </w:rPr>
              <w:t>5 to 7 years</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Major Customer</w:t>
      </w:r>
    </w:p>
    <w:p>
      <w:pPr>
        <w:spacing w:after="0" w:line="231" w:lineRule="exact"/>
        <w:rPr>
          <w:sz w:val="20"/>
          <w:szCs w:val="20"/>
          <w:color w:val="auto"/>
        </w:rPr>
      </w:pPr>
    </w:p>
    <w:p>
      <w:pPr>
        <w:ind w:right="2219"/>
        <w:spacing w:after="0" w:line="289" w:lineRule="auto"/>
        <w:rPr>
          <w:sz w:val="20"/>
          <w:szCs w:val="20"/>
          <w:color w:val="auto"/>
        </w:rPr>
      </w:pPr>
      <w:r>
        <w:rPr>
          <w:rFonts w:ascii="Arial" w:cs="Arial" w:eastAsia="Arial" w:hAnsi="Arial"/>
          <w:sz w:val="16"/>
          <w:szCs w:val="16"/>
          <w:color w:val="auto"/>
        </w:rPr>
        <w:t>The Company has one major customer relationship that is a significant source of revenue. During the year ended December 31, 2005, as during the past number of years, the Company’s relationship with Sprint Nextel continued to increase, due to growth in the PCS business segment. Approximately 65% of total operating revenues for the year ended December 31, 2005, 63.5% of total operating revenues for the year ended December 31, 2004, and 61.3% of total operating revenues for the year ended December 31, 2003 were generated by or through Sprint Nextel and its customers using the Company’s portion of Sprint Nextel’s nationwide PCS network. No other customer relationship generated more than 2.5% of the Company’s total operating revenues for the years ended December 31, 2005, 2004 or 2003.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Shareholder Rights Plan</w:t>
      </w:r>
    </w:p>
    <w:p>
      <w:pPr>
        <w:spacing w:after="0" w:line="231" w:lineRule="exact"/>
        <w:rPr>
          <w:sz w:val="20"/>
          <w:szCs w:val="20"/>
          <w:color w:val="auto"/>
        </w:rPr>
      </w:pPr>
    </w:p>
    <w:p>
      <w:pPr>
        <w:ind w:right="2159"/>
        <w:spacing w:after="0" w:line="291" w:lineRule="auto"/>
        <w:rPr>
          <w:sz w:val="20"/>
          <w:szCs w:val="20"/>
          <w:color w:val="auto"/>
        </w:rPr>
      </w:pPr>
      <w:r>
        <w:rPr>
          <w:rFonts w:ascii="Arial" w:cs="Arial" w:eastAsia="Arial" w:hAnsi="Arial"/>
          <w:sz w:val="16"/>
          <w:szCs w:val="16"/>
          <w:color w:val="auto"/>
        </w:rPr>
        <w:t>The Board of Directors adopted a Shareholder Rights Plan in 1998, whereby, under certain circumstances, holders of each right (granted in 1998 at one right per share of outstanding common stock) will be entitled to purchase $80 worth of the Company’s common stock for $40. The rights are neither exercisable nor traded separately from the Company’s common stock. The rights are only exercisable if a person or group becomes or attempts to become, the beneficial owner of 15% or more of the Company’s common stock. Under the terms of the Shareholder Rights Plan, such a person or group would not be entitled to the benefits of the rights.</w:t>
      </w:r>
    </w:p>
    <w:p>
      <w:pPr>
        <w:spacing w:after="0" w:line="17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90" w:right="1440"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Note 14. Lease Commitments</w:t>
      </w:r>
    </w:p>
    <w:p>
      <w:pPr>
        <w:spacing w:after="0" w:line="231" w:lineRule="exact"/>
        <w:rPr>
          <w:sz w:val="20"/>
          <w:szCs w:val="20"/>
          <w:color w:val="auto"/>
        </w:rPr>
      </w:pPr>
    </w:p>
    <w:p>
      <w:pPr>
        <w:ind w:right="2239"/>
        <w:spacing w:after="0" w:line="255" w:lineRule="auto"/>
        <w:rPr>
          <w:sz w:val="20"/>
          <w:szCs w:val="20"/>
          <w:color w:val="auto"/>
        </w:rPr>
      </w:pPr>
      <w:r>
        <w:rPr>
          <w:rFonts w:ascii="Arial" w:cs="Arial" w:eastAsia="Arial" w:hAnsi="Arial"/>
          <w:sz w:val="18"/>
          <w:szCs w:val="18"/>
          <w:color w:val="auto"/>
        </w:rPr>
        <w:t>The Company leases land, buildings and tower space under various non-cancelable agreements, which expire between the years 2006 and 2030 and require various minimum annual rental payments. These leases typically include renewal options and escalation clauses. In general, tower leases have 5 or 10 year initial terms with 4 renewal terms of 5 years. The other leases generally contain certain renewal options for periods ranging from 5 to 20 years.</w:t>
      </w:r>
    </w:p>
    <w:p>
      <w:pPr>
        <w:spacing w:after="0" w:line="197" w:lineRule="exact"/>
        <w:rPr>
          <w:sz w:val="20"/>
          <w:szCs w:val="20"/>
          <w:color w:val="auto"/>
        </w:rPr>
      </w:pPr>
    </w:p>
    <w:p>
      <w:pPr>
        <w:ind w:right="2399"/>
        <w:spacing w:after="0" w:line="259" w:lineRule="auto"/>
        <w:rPr>
          <w:sz w:val="20"/>
          <w:szCs w:val="20"/>
          <w:color w:val="auto"/>
        </w:rPr>
      </w:pPr>
      <w:r>
        <w:rPr>
          <w:rFonts w:ascii="Arial" w:cs="Arial" w:eastAsia="Arial" w:hAnsi="Arial"/>
          <w:sz w:val="18"/>
          <w:szCs w:val="18"/>
          <w:color w:val="auto"/>
        </w:rPr>
        <w:t>Future minimum lease payments under non-cancelable operating leases, including renewals that are reasonably assured at the inception of the lease, with initial variable lease terms in excess of one year as of December 31, 2005 are as follows:</w:t>
      </w:r>
    </w:p>
    <w:p>
      <w:pPr>
        <w:spacing w:after="0" w:line="203" w:lineRule="exact"/>
        <w:rPr>
          <w:sz w:val="20"/>
          <w:szCs w:val="20"/>
          <w:color w:val="auto"/>
        </w:rPr>
      </w:pPr>
    </w:p>
    <w:tbl>
      <w:tblPr>
        <w:tblLayout w:type="fixed"/>
        <w:tblInd w:w="2040" w:type="dxa"/>
        <w:tblCellMar>
          <w:top w:w="0" w:type="dxa"/>
          <w:left w:w="0" w:type="dxa"/>
          <w:bottom w:w="0" w:type="dxa"/>
          <w:right w:w="0" w:type="dxa"/>
        </w:tblCellMar>
      </w:tblPr>
      <w:tr>
        <w:trPr>
          <w:trHeight w:val="174"/>
        </w:trPr>
        <w:tc>
          <w:tcPr>
            <w:tcW w:w="2940" w:type="dxa"/>
            <w:vAlign w:val="bottom"/>
          </w:tcPr>
          <w:p>
            <w:pPr>
              <w:jc w:val="center"/>
              <w:ind w:right="1395"/>
              <w:spacing w:after="0"/>
              <w:rPr>
                <w:sz w:val="20"/>
                <w:szCs w:val="20"/>
                <w:color w:val="auto"/>
              </w:rPr>
            </w:pPr>
            <w:r>
              <w:rPr>
                <w:rFonts w:ascii="Arial" w:cs="Arial" w:eastAsia="Arial" w:hAnsi="Arial"/>
                <w:sz w:val="14"/>
                <w:szCs w:val="14"/>
                <w:b w:val="1"/>
                <w:bCs w:val="1"/>
                <w:color w:val="auto"/>
                <w:w w:val="90"/>
              </w:rPr>
              <w:t>Year Ending</w:t>
            </w:r>
          </w:p>
        </w:tc>
        <w:tc>
          <w:tcPr>
            <w:tcW w:w="10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Amount</w:t>
            </w:r>
          </w:p>
        </w:tc>
      </w:tr>
      <w:tr>
        <w:trPr>
          <w:trHeight w:val="95"/>
        </w:trPr>
        <w:tc>
          <w:tcPr>
            <w:tcW w:w="29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r>
      <w:tr>
        <w:trPr>
          <w:trHeight w:val="250"/>
        </w:trPr>
        <w:tc>
          <w:tcPr>
            <w:tcW w:w="2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82"/>
              </w:rPr>
              <w:t>(in thousands)</w:t>
            </w:r>
          </w:p>
        </w:tc>
      </w:tr>
      <w:tr>
        <w:trPr>
          <w:trHeight w:val="216"/>
        </w:trPr>
        <w:tc>
          <w:tcPr>
            <w:tcW w:w="2940" w:type="dxa"/>
            <w:vAlign w:val="bottom"/>
            <w:shd w:val="clear" w:color="auto" w:fill="EAF9E8"/>
          </w:tcPr>
          <w:p>
            <w:pPr>
              <w:jc w:val="center"/>
              <w:ind w:right="1395"/>
              <w:spacing w:after="0"/>
              <w:rPr>
                <w:sz w:val="20"/>
                <w:szCs w:val="20"/>
                <w:color w:val="auto"/>
              </w:rPr>
            </w:pPr>
            <w:r>
              <w:rPr>
                <w:rFonts w:ascii="Arial" w:cs="Arial" w:eastAsia="Arial" w:hAnsi="Arial"/>
                <w:sz w:val="18"/>
                <w:szCs w:val="18"/>
                <w:color w:val="auto"/>
                <w:w w:val="84"/>
              </w:rPr>
              <w:t>2006</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5,237</w:t>
            </w:r>
          </w:p>
        </w:tc>
        <w:tc>
          <w:tcPr>
            <w:tcW w:w="40" w:type="dxa"/>
            <w:vAlign w:val="bottom"/>
          </w:tcPr>
          <w:p>
            <w:pPr>
              <w:spacing w:after="0"/>
              <w:rPr>
                <w:sz w:val="18"/>
                <w:szCs w:val="18"/>
                <w:color w:val="auto"/>
              </w:rPr>
            </w:pPr>
          </w:p>
        </w:tc>
      </w:tr>
      <w:tr>
        <w:trPr>
          <w:trHeight w:val="216"/>
        </w:trPr>
        <w:tc>
          <w:tcPr>
            <w:tcW w:w="2940" w:type="dxa"/>
            <w:vAlign w:val="bottom"/>
          </w:tcPr>
          <w:p>
            <w:pPr>
              <w:jc w:val="center"/>
              <w:ind w:right="1395"/>
              <w:spacing w:after="0"/>
              <w:rPr>
                <w:sz w:val="20"/>
                <w:szCs w:val="20"/>
                <w:color w:val="auto"/>
              </w:rPr>
            </w:pPr>
            <w:r>
              <w:rPr>
                <w:rFonts w:ascii="Arial" w:cs="Arial" w:eastAsia="Arial" w:hAnsi="Arial"/>
                <w:sz w:val="18"/>
                <w:szCs w:val="18"/>
                <w:color w:val="auto"/>
                <w:w w:val="84"/>
              </w:rPr>
              <w:t>2007</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5,238</w:t>
            </w:r>
          </w:p>
        </w:tc>
        <w:tc>
          <w:tcPr>
            <w:tcW w:w="40" w:type="dxa"/>
            <w:vAlign w:val="bottom"/>
          </w:tcPr>
          <w:p>
            <w:pPr>
              <w:spacing w:after="0"/>
              <w:rPr>
                <w:sz w:val="18"/>
                <w:szCs w:val="18"/>
                <w:color w:val="auto"/>
              </w:rPr>
            </w:pPr>
          </w:p>
        </w:tc>
      </w:tr>
      <w:tr>
        <w:trPr>
          <w:trHeight w:val="216"/>
        </w:trPr>
        <w:tc>
          <w:tcPr>
            <w:tcW w:w="2940" w:type="dxa"/>
            <w:vAlign w:val="bottom"/>
            <w:shd w:val="clear" w:color="auto" w:fill="EAF9E8"/>
          </w:tcPr>
          <w:p>
            <w:pPr>
              <w:jc w:val="center"/>
              <w:ind w:right="1395"/>
              <w:spacing w:after="0"/>
              <w:rPr>
                <w:sz w:val="20"/>
                <w:szCs w:val="20"/>
                <w:color w:val="auto"/>
              </w:rPr>
            </w:pPr>
            <w:r>
              <w:rPr>
                <w:rFonts w:ascii="Arial" w:cs="Arial" w:eastAsia="Arial" w:hAnsi="Arial"/>
                <w:sz w:val="18"/>
                <w:szCs w:val="18"/>
                <w:color w:val="auto"/>
                <w:w w:val="84"/>
              </w:rPr>
              <w:t>2008</w:t>
            </w:r>
          </w:p>
        </w:tc>
        <w:tc>
          <w:tcPr>
            <w:tcW w:w="100" w:type="dxa"/>
            <w:vAlign w:val="bottom"/>
            <w:shd w:val="clear" w:color="auto" w:fill="EAF9E8"/>
          </w:tcPr>
          <w:p>
            <w:pPr>
              <w:spacing w:after="0"/>
              <w:rPr>
                <w:sz w:val="18"/>
                <w:szCs w:val="18"/>
                <w:color w:val="auto"/>
              </w:rPr>
            </w:pPr>
          </w:p>
        </w:tc>
        <w:tc>
          <w:tcPr>
            <w:tcW w:w="100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5,209</w:t>
            </w:r>
          </w:p>
        </w:tc>
        <w:tc>
          <w:tcPr>
            <w:tcW w:w="40" w:type="dxa"/>
            <w:vAlign w:val="bottom"/>
          </w:tcPr>
          <w:p>
            <w:pPr>
              <w:spacing w:after="0"/>
              <w:rPr>
                <w:sz w:val="18"/>
                <w:szCs w:val="18"/>
                <w:color w:val="auto"/>
              </w:rPr>
            </w:pPr>
          </w:p>
        </w:tc>
      </w:tr>
      <w:tr>
        <w:trPr>
          <w:trHeight w:val="216"/>
        </w:trPr>
        <w:tc>
          <w:tcPr>
            <w:tcW w:w="2940" w:type="dxa"/>
            <w:vAlign w:val="bottom"/>
          </w:tcPr>
          <w:p>
            <w:pPr>
              <w:jc w:val="center"/>
              <w:ind w:right="1395"/>
              <w:spacing w:after="0"/>
              <w:rPr>
                <w:sz w:val="20"/>
                <w:szCs w:val="20"/>
                <w:color w:val="auto"/>
              </w:rPr>
            </w:pPr>
            <w:r>
              <w:rPr>
                <w:rFonts w:ascii="Arial" w:cs="Arial" w:eastAsia="Arial" w:hAnsi="Arial"/>
                <w:sz w:val="18"/>
                <w:szCs w:val="18"/>
                <w:color w:val="auto"/>
                <w:w w:val="84"/>
              </w:rPr>
              <w:t>2009</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4,940</w:t>
            </w:r>
          </w:p>
        </w:tc>
        <w:tc>
          <w:tcPr>
            <w:tcW w:w="40" w:type="dxa"/>
            <w:vAlign w:val="bottom"/>
          </w:tcPr>
          <w:p>
            <w:pPr>
              <w:spacing w:after="0"/>
              <w:rPr>
                <w:sz w:val="18"/>
                <w:szCs w:val="18"/>
                <w:color w:val="auto"/>
              </w:rPr>
            </w:pPr>
          </w:p>
        </w:tc>
      </w:tr>
      <w:tr>
        <w:trPr>
          <w:trHeight w:val="216"/>
        </w:trPr>
        <w:tc>
          <w:tcPr>
            <w:tcW w:w="2940" w:type="dxa"/>
            <w:vAlign w:val="bottom"/>
            <w:shd w:val="clear" w:color="auto" w:fill="EAF9E8"/>
          </w:tcPr>
          <w:p>
            <w:pPr>
              <w:jc w:val="center"/>
              <w:ind w:right="1395"/>
              <w:spacing w:after="0"/>
              <w:rPr>
                <w:sz w:val="20"/>
                <w:szCs w:val="20"/>
                <w:color w:val="auto"/>
              </w:rPr>
            </w:pPr>
            <w:r>
              <w:rPr>
                <w:rFonts w:ascii="Arial" w:cs="Arial" w:eastAsia="Arial" w:hAnsi="Arial"/>
                <w:sz w:val="18"/>
                <w:szCs w:val="18"/>
                <w:color w:val="auto"/>
                <w:w w:val="84"/>
              </w:rPr>
              <w:t>2010</w:t>
            </w:r>
          </w:p>
        </w:tc>
        <w:tc>
          <w:tcPr>
            <w:tcW w:w="100" w:type="dxa"/>
            <w:vAlign w:val="bottom"/>
            <w:shd w:val="clear" w:color="auto" w:fill="EAF9E8"/>
          </w:tcPr>
          <w:p>
            <w:pPr>
              <w:spacing w:after="0"/>
              <w:rPr>
                <w:sz w:val="18"/>
                <w:szCs w:val="18"/>
                <w:color w:val="auto"/>
              </w:rPr>
            </w:pPr>
          </w:p>
        </w:tc>
        <w:tc>
          <w:tcPr>
            <w:tcW w:w="100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4,418</w:t>
            </w:r>
          </w:p>
        </w:tc>
        <w:tc>
          <w:tcPr>
            <w:tcW w:w="40" w:type="dxa"/>
            <w:vAlign w:val="bottom"/>
          </w:tcPr>
          <w:p>
            <w:pPr>
              <w:spacing w:after="0"/>
              <w:rPr>
                <w:sz w:val="18"/>
                <w:szCs w:val="18"/>
                <w:color w:val="auto"/>
              </w:rPr>
            </w:pPr>
          </w:p>
        </w:tc>
      </w:tr>
      <w:tr>
        <w:trPr>
          <w:trHeight w:val="222"/>
        </w:trPr>
        <w:tc>
          <w:tcPr>
            <w:tcW w:w="2940" w:type="dxa"/>
            <w:vAlign w:val="bottom"/>
          </w:tcPr>
          <w:p>
            <w:pPr>
              <w:jc w:val="center"/>
              <w:ind w:right="1395"/>
              <w:spacing w:after="0"/>
              <w:rPr>
                <w:sz w:val="20"/>
                <w:szCs w:val="20"/>
                <w:color w:val="auto"/>
              </w:rPr>
            </w:pPr>
            <w:r>
              <w:rPr>
                <w:rFonts w:ascii="Arial" w:cs="Arial" w:eastAsia="Arial" w:hAnsi="Arial"/>
                <w:sz w:val="18"/>
                <w:szCs w:val="18"/>
                <w:color w:val="auto"/>
                <w:w w:val="87"/>
              </w:rPr>
              <w:t>2011 and beyond</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23,780</w:t>
            </w:r>
          </w:p>
        </w:tc>
        <w:tc>
          <w:tcPr>
            <w:tcW w:w="40" w:type="dxa"/>
            <w:vAlign w:val="bottom"/>
          </w:tcPr>
          <w:p>
            <w:pPr>
              <w:spacing w:after="0"/>
              <w:rPr>
                <w:sz w:val="19"/>
                <w:szCs w:val="19"/>
                <w:color w:val="auto"/>
              </w:rPr>
            </w:pPr>
          </w:p>
        </w:tc>
      </w:tr>
      <w:tr>
        <w:trPr>
          <w:trHeight w:val="102"/>
        </w:trPr>
        <w:tc>
          <w:tcPr>
            <w:tcW w:w="29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r>
      <w:tr>
        <w:trPr>
          <w:trHeight w:val="102"/>
        </w:trPr>
        <w:tc>
          <w:tcPr>
            <w:tcW w:w="2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2940" w:type="dxa"/>
            <w:vAlign w:val="bottom"/>
            <w:shd w:val="clear" w:color="auto" w:fill="EAF9E8"/>
          </w:tcPr>
          <w:p>
            <w:pPr>
              <w:spacing w:after="0"/>
              <w:rPr>
                <w:sz w:val="18"/>
                <w:szCs w:val="18"/>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48,822</w:t>
            </w:r>
          </w:p>
        </w:tc>
        <w:tc>
          <w:tcPr>
            <w:tcW w:w="40" w:type="dxa"/>
            <w:vAlign w:val="bottom"/>
          </w:tcPr>
          <w:p>
            <w:pPr>
              <w:spacing w:after="0"/>
              <w:rPr>
                <w:sz w:val="18"/>
                <w:szCs w:val="18"/>
                <w:color w:val="auto"/>
              </w:rPr>
            </w:pPr>
          </w:p>
        </w:tc>
      </w:tr>
      <w:tr>
        <w:trPr>
          <w:trHeight w:val="118"/>
        </w:trPr>
        <w:tc>
          <w:tcPr>
            <w:tcW w:w="29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3159125</wp:posOffset>
            </wp:positionH>
            <wp:positionV relativeFrom="paragraph">
              <wp:posOffset>-14605</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-14605</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-14605</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119"/>
        <w:spacing w:after="0" w:line="259" w:lineRule="auto"/>
        <w:rPr>
          <w:sz w:val="20"/>
          <w:szCs w:val="20"/>
          <w:color w:val="auto"/>
        </w:rPr>
      </w:pPr>
      <w:r>
        <w:rPr>
          <w:rFonts w:ascii="Arial" w:cs="Arial" w:eastAsia="Arial" w:hAnsi="Arial"/>
          <w:sz w:val="18"/>
          <w:szCs w:val="18"/>
          <w:color w:val="auto"/>
        </w:rPr>
        <w:t>The Company’s total rent expense from continuing operations for each of the previous three years was $5.3 million in the year ended December 31, 2005, $4.8 million (as restated) in the year ended December 31, 2004, and $4.8 million (as restated) in the year ended December 31, 2003.</w:t>
      </w:r>
    </w:p>
    <w:p>
      <w:pPr>
        <w:spacing w:after="0" w:line="194" w:lineRule="exact"/>
        <w:rPr>
          <w:sz w:val="20"/>
          <w:szCs w:val="20"/>
          <w:color w:val="auto"/>
        </w:rPr>
      </w:pPr>
    </w:p>
    <w:p>
      <w:pPr>
        <w:ind w:right="2279"/>
        <w:spacing w:after="0" w:line="259" w:lineRule="auto"/>
        <w:rPr>
          <w:sz w:val="20"/>
          <w:szCs w:val="20"/>
          <w:color w:val="auto"/>
        </w:rPr>
      </w:pPr>
      <w:r>
        <w:rPr>
          <w:rFonts w:ascii="Arial" w:cs="Arial" w:eastAsia="Arial" w:hAnsi="Arial"/>
          <w:sz w:val="18"/>
          <w:szCs w:val="18"/>
          <w:color w:val="auto"/>
        </w:rPr>
        <w:t>As lessor, the Company has leased buildings, tower space and telecommunications equipment to other entities under various non-cancelable agreements, which require various minimum annual payments. The total minimum rental receipts at December 31, 2005 are as follows:</w:t>
      </w:r>
    </w:p>
    <w:p>
      <w:pPr>
        <w:spacing w:after="0" w:line="203" w:lineRule="exact"/>
        <w:rPr>
          <w:sz w:val="20"/>
          <w:szCs w:val="20"/>
          <w:color w:val="auto"/>
        </w:rPr>
      </w:pPr>
    </w:p>
    <w:tbl>
      <w:tblPr>
        <w:tblLayout w:type="fixed"/>
        <w:tblInd w:w="2040" w:type="dxa"/>
        <w:tblCellMar>
          <w:top w:w="0" w:type="dxa"/>
          <w:left w:w="0" w:type="dxa"/>
          <w:bottom w:w="0" w:type="dxa"/>
          <w:right w:w="0" w:type="dxa"/>
        </w:tblCellMar>
      </w:tblPr>
      <w:tr>
        <w:trPr>
          <w:trHeight w:val="174"/>
        </w:trPr>
        <w:tc>
          <w:tcPr>
            <w:tcW w:w="2940" w:type="dxa"/>
            <w:vAlign w:val="bottom"/>
          </w:tcPr>
          <w:p>
            <w:pPr>
              <w:jc w:val="center"/>
              <w:ind w:right="1395"/>
              <w:spacing w:after="0"/>
              <w:rPr>
                <w:sz w:val="20"/>
                <w:szCs w:val="20"/>
                <w:color w:val="auto"/>
              </w:rPr>
            </w:pPr>
            <w:r>
              <w:rPr>
                <w:rFonts w:ascii="Arial" w:cs="Arial" w:eastAsia="Arial" w:hAnsi="Arial"/>
                <w:sz w:val="14"/>
                <w:szCs w:val="14"/>
                <w:b w:val="1"/>
                <w:bCs w:val="1"/>
                <w:color w:val="auto"/>
                <w:w w:val="90"/>
              </w:rPr>
              <w:t>Year Ending</w:t>
            </w:r>
          </w:p>
        </w:tc>
        <w:tc>
          <w:tcPr>
            <w:tcW w:w="140" w:type="dxa"/>
            <w:vAlign w:val="bottom"/>
          </w:tcPr>
          <w:p>
            <w:pPr>
              <w:spacing w:after="0"/>
              <w:rPr>
                <w:sz w:val="15"/>
                <w:szCs w:val="15"/>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r>
      <w:tr>
        <w:trPr>
          <w:trHeight w:val="95"/>
        </w:trPr>
        <w:tc>
          <w:tcPr>
            <w:tcW w:w="29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r>
      <w:tr>
        <w:trPr>
          <w:trHeight w:val="250"/>
        </w:trPr>
        <w:tc>
          <w:tcPr>
            <w:tcW w:w="2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r>
      <w:tr>
        <w:trPr>
          <w:trHeight w:val="216"/>
        </w:trPr>
        <w:tc>
          <w:tcPr>
            <w:tcW w:w="2940" w:type="dxa"/>
            <w:vAlign w:val="bottom"/>
            <w:shd w:val="clear" w:color="auto" w:fill="EAF9E8"/>
          </w:tcPr>
          <w:p>
            <w:pPr>
              <w:jc w:val="center"/>
              <w:ind w:right="1395"/>
              <w:spacing w:after="0"/>
              <w:rPr>
                <w:sz w:val="20"/>
                <w:szCs w:val="20"/>
                <w:color w:val="auto"/>
              </w:rPr>
            </w:pPr>
            <w:r>
              <w:rPr>
                <w:rFonts w:ascii="Arial" w:cs="Arial" w:eastAsia="Arial" w:hAnsi="Arial"/>
                <w:sz w:val="18"/>
                <w:szCs w:val="18"/>
                <w:color w:val="auto"/>
                <w:w w:val="84"/>
              </w:rPr>
              <w:t>2006</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2,305</w:t>
            </w:r>
          </w:p>
        </w:tc>
        <w:tc>
          <w:tcPr>
            <w:tcW w:w="40" w:type="dxa"/>
            <w:vAlign w:val="bottom"/>
          </w:tcPr>
          <w:p>
            <w:pPr>
              <w:spacing w:after="0"/>
              <w:rPr>
                <w:sz w:val="18"/>
                <w:szCs w:val="18"/>
                <w:color w:val="auto"/>
              </w:rPr>
            </w:pPr>
          </w:p>
        </w:tc>
      </w:tr>
      <w:tr>
        <w:trPr>
          <w:trHeight w:val="216"/>
        </w:trPr>
        <w:tc>
          <w:tcPr>
            <w:tcW w:w="2940" w:type="dxa"/>
            <w:vAlign w:val="bottom"/>
          </w:tcPr>
          <w:p>
            <w:pPr>
              <w:jc w:val="center"/>
              <w:ind w:right="1395"/>
              <w:spacing w:after="0"/>
              <w:rPr>
                <w:sz w:val="20"/>
                <w:szCs w:val="20"/>
                <w:color w:val="auto"/>
              </w:rPr>
            </w:pPr>
            <w:r>
              <w:rPr>
                <w:rFonts w:ascii="Arial" w:cs="Arial" w:eastAsia="Arial" w:hAnsi="Arial"/>
                <w:sz w:val="18"/>
                <w:szCs w:val="18"/>
                <w:color w:val="auto"/>
                <w:w w:val="84"/>
              </w:rPr>
              <w:t>2007</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2,067</w:t>
            </w:r>
          </w:p>
        </w:tc>
        <w:tc>
          <w:tcPr>
            <w:tcW w:w="40" w:type="dxa"/>
            <w:vAlign w:val="bottom"/>
          </w:tcPr>
          <w:p>
            <w:pPr>
              <w:spacing w:after="0"/>
              <w:rPr>
                <w:sz w:val="18"/>
                <w:szCs w:val="18"/>
                <w:color w:val="auto"/>
              </w:rPr>
            </w:pPr>
          </w:p>
        </w:tc>
      </w:tr>
      <w:tr>
        <w:trPr>
          <w:trHeight w:val="216"/>
        </w:trPr>
        <w:tc>
          <w:tcPr>
            <w:tcW w:w="2940" w:type="dxa"/>
            <w:vAlign w:val="bottom"/>
            <w:shd w:val="clear" w:color="auto" w:fill="EAF9E8"/>
          </w:tcPr>
          <w:p>
            <w:pPr>
              <w:jc w:val="center"/>
              <w:ind w:right="1395"/>
              <w:spacing w:after="0"/>
              <w:rPr>
                <w:sz w:val="20"/>
                <w:szCs w:val="20"/>
                <w:color w:val="auto"/>
              </w:rPr>
            </w:pPr>
            <w:r>
              <w:rPr>
                <w:rFonts w:ascii="Arial" w:cs="Arial" w:eastAsia="Arial" w:hAnsi="Arial"/>
                <w:sz w:val="18"/>
                <w:szCs w:val="18"/>
                <w:color w:val="auto"/>
                <w:w w:val="84"/>
              </w:rPr>
              <w:t>2008</w:t>
            </w:r>
          </w:p>
        </w:tc>
        <w:tc>
          <w:tcPr>
            <w:tcW w:w="140" w:type="dxa"/>
            <w:vAlign w:val="bottom"/>
            <w:shd w:val="clear" w:color="auto" w:fill="EAF9E8"/>
          </w:tcPr>
          <w:p>
            <w:pPr>
              <w:spacing w:after="0"/>
              <w:rPr>
                <w:sz w:val="18"/>
                <w:szCs w:val="18"/>
                <w:color w:val="auto"/>
              </w:rPr>
            </w:pPr>
          </w:p>
        </w:tc>
        <w:tc>
          <w:tcPr>
            <w:tcW w:w="96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1,472</w:t>
            </w:r>
          </w:p>
        </w:tc>
        <w:tc>
          <w:tcPr>
            <w:tcW w:w="40" w:type="dxa"/>
            <w:vAlign w:val="bottom"/>
          </w:tcPr>
          <w:p>
            <w:pPr>
              <w:spacing w:after="0"/>
              <w:rPr>
                <w:sz w:val="18"/>
                <w:szCs w:val="18"/>
                <w:color w:val="auto"/>
              </w:rPr>
            </w:pPr>
          </w:p>
        </w:tc>
      </w:tr>
      <w:tr>
        <w:trPr>
          <w:trHeight w:val="216"/>
        </w:trPr>
        <w:tc>
          <w:tcPr>
            <w:tcW w:w="2940" w:type="dxa"/>
            <w:vAlign w:val="bottom"/>
          </w:tcPr>
          <w:p>
            <w:pPr>
              <w:jc w:val="center"/>
              <w:ind w:right="1395"/>
              <w:spacing w:after="0"/>
              <w:rPr>
                <w:sz w:val="20"/>
                <w:szCs w:val="20"/>
                <w:color w:val="auto"/>
              </w:rPr>
            </w:pPr>
            <w:r>
              <w:rPr>
                <w:rFonts w:ascii="Arial" w:cs="Arial" w:eastAsia="Arial" w:hAnsi="Arial"/>
                <w:sz w:val="18"/>
                <w:szCs w:val="18"/>
                <w:color w:val="auto"/>
                <w:w w:val="84"/>
              </w:rPr>
              <w:t>2009</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1,014</w:t>
            </w:r>
          </w:p>
        </w:tc>
        <w:tc>
          <w:tcPr>
            <w:tcW w:w="40" w:type="dxa"/>
            <w:vAlign w:val="bottom"/>
          </w:tcPr>
          <w:p>
            <w:pPr>
              <w:spacing w:after="0"/>
              <w:rPr>
                <w:sz w:val="18"/>
                <w:szCs w:val="18"/>
                <w:color w:val="auto"/>
              </w:rPr>
            </w:pPr>
          </w:p>
        </w:tc>
      </w:tr>
      <w:tr>
        <w:trPr>
          <w:trHeight w:val="216"/>
        </w:trPr>
        <w:tc>
          <w:tcPr>
            <w:tcW w:w="2940" w:type="dxa"/>
            <w:vAlign w:val="bottom"/>
            <w:shd w:val="clear" w:color="auto" w:fill="EAF9E8"/>
          </w:tcPr>
          <w:p>
            <w:pPr>
              <w:jc w:val="center"/>
              <w:ind w:right="1395"/>
              <w:spacing w:after="0"/>
              <w:rPr>
                <w:sz w:val="20"/>
                <w:szCs w:val="20"/>
                <w:color w:val="auto"/>
              </w:rPr>
            </w:pPr>
            <w:r>
              <w:rPr>
                <w:rFonts w:ascii="Arial" w:cs="Arial" w:eastAsia="Arial" w:hAnsi="Arial"/>
                <w:sz w:val="18"/>
                <w:szCs w:val="18"/>
                <w:color w:val="auto"/>
                <w:w w:val="84"/>
              </w:rPr>
              <w:t>2010</w:t>
            </w:r>
          </w:p>
        </w:tc>
        <w:tc>
          <w:tcPr>
            <w:tcW w:w="140" w:type="dxa"/>
            <w:vAlign w:val="bottom"/>
            <w:shd w:val="clear" w:color="auto" w:fill="EAF9E8"/>
          </w:tcPr>
          <w:p>
            <w:pPr>
              <w:spacing w:after="0"/>
              <w:rPr>
                <w:sz w:val="18"/>
                <w:szCs w:val="18"/>
                <w:color w:val="auto"/>
              </w:rPr>
            </w:pPr>
          </w:p>
        </w:tc>
        <w:tc>
          <w:tcPr>
            <w:tcW w:w="96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567</w:t>
            </w:r>
          </w:p>
        </w:tc>
        <w:tc>
          <w:tcPr>
            <w:tcW w:w="40" w:type="dxa"/>
            <w:vAlign w:val="bottom"/>
          </w:tcPr>
          <w:p>
            <w:pPr>
              <w:spacing w:after="0"/>
              <w:rPr>
                <w:sz w:val="18"/>
                <w:szCs w:val="18"/>
                <w:color w:val="auto"/>
              </w:rPr>
            </w:pPr>
          </w:p>
        </w:tc>
      </w:tr>
      <w:tr>
        <w:trPr>
          <w:trHeight w:val="222"/>
        </w:trPr>
        <w:tc>
          <w:tcPr>
            <w:tcW w:w="2940" w:type="dxa"/>
            <w:vAlign w:val="bottom"/>
          </w:tcPr>
          <w:p>
            <w:pPr>
              <w:jc w:val="center"/>
              <w:ind w:right="1395"/>
              <w:spacing w:after="0"/>
              <w:rPr>
                <w:sz w:val="20"/>
                <w:szCs w:val="20"/>
                <w:color w:val="auto"/>
              </w:rPr>
            </w:pPr>
            <w:r>
              <w:rPr>
                <w:rFonts w:ascii="Arial" w:cs="Arial" w:eastAsia="Arial" w:hAnsi="Arial"/>
                <w:sz w:val="18"/>
                <w:szCs w:val="18"/>
                <w:color w:val="auto"/>
                <w:w w:val="87"/>
              </w:rPr>
              <w:t>2011 and beyond</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458</w:t>
            </w:r>
          </w:p>
        </w:tc>
        <w:tc>
          <w:tcPr>
            <w:tcW w:w="40" w:type="dxa"/>
            <w:vAlign w:val="bottom"/>
          </w:tcPr>
          <w:p>
            <w:pPr>
              <w:spacing w:after="0"/>
              <w:rPr>
                <w:sz w:val="19"/>
                <w:szCs w:val="19"/>
                <w:color w:val="auto"/>
              </w:rPr>
            </w:pPr>
          </w:p>
        </w:tc>
      </w:tr>
      <w:tr>
        <w:trPr>
          <w:trHeight w:val="102"/>
        </w:trPr>
        <w:tc>
          <w:tcPr>
            <w:tcW w:w="29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r>
      <w:tr>
        <w:trPr>
          <w:trHeight w:val="102"/>
        </w:trPr>
        <w:tc>
          <w:tcPr>
            <w:tcW w:w="2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294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7,883</w:t>
            </w:r>
          </w:p>
        </w:tc>
        <w:tc>
          <w:tcPr>
            <w:tcW w:w="40" w:type="dxa"/>
            <w:vAlign w:val="bottom"/>
          </w:tcPr>
          <w:p>
            <w:pPr>
              <w:spacing w:after="0"/>
              <w:rPr>
                <w:sz w:val="18"/>
                <w:szCs w:val="18"/>
                <w:color w:val="auto"/>
              </w:rPr>
            </w:pPr>
          </w:p>
        </w:tc>
      </w:tr>
      <w:tr>
        <w:trPr>
          <w:trHeight w:val="118"/>
        </w:trPr>
        <w:tc>
          <w:tcPr>
            <w:tcW w:w="29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3159125</wp:posOffset>
            </wp:positionH>
            <wp:positionV relativeFrom="paragraph">
              <wp:posOffset>-14605</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-14605</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-14605</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159"/>
        <w:spacing w:after="0" w:line="259" w:lineRule="auto"/>
        <w:rPr>
          <w:sz w:val="20"/>
          <w:szCs w:val="20"/>
          <w:color w:val="auto"/>
        </w:rPr>
      </w:pPr>
      <w:r>
        <w:rPr>
          <w:rFonts w:ascii="Arial" w:cs="Arial" w:eastAsia="Arial" w:hAnsi="Arial"/>
          <w:sz w:val="18"/>
          <w:szCs w:val="18"/>
          <w:color w:val="auto"/>
        </w:rPr>
        <w:t>The Company’s total rent income from continuing operations for each of the previous three years was $8.5 million in the year ended December 31, 2005, $8.0 million (as restated) in the year ended December 31, 2004, and $8.2 million (as restated) the year ended December 31, 2003.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Broadband Metro Communications</w:t>
      </w:r>
    </w:p>
    <w:p>
      <w:pPr>
        <w:spacing w:after="0" w:line="231" w:lineRule="exact"/>
        <w:rPr>
          <w:sz w:val="20"/>
          <w:szCs w:val="20"/>
          <w:color w:val="auto"/>
        </w:rPr>
      </w:pPr>
    </w:p>
    <w:p>
      <w:pPr>
        <w:ind w:right="2199"/>
        <w:spacing w:after="0" w:line="253" w:lineRule="auto"/>
        <w:rPr>
          <w:sz w:val="20"/>
          <w:szCs w:val="20"/>
          <w:color w:val="auto"/>
        </w:rPr>
      </w:pPr>
      <w:r>
        <w:rPr>
          <w:rFonts w:ascii="Arial" w:cs="Arial" w:eastAsia="Arial" w:hAnsi="Arial"/>
          <w:sz w:val="18"/>
          <w:szCs w:val="18"/>
          <w:color w:val="auto"/>
        </w:rPr>
        <w:t>In September 2005, the Company purchased the assets of Broadband Metro Communications, which marketed wireless broadband services, for $0.6 million in cash (see Note 1). The results of Broadband Metro Communication’s operations have been included in the consolidated financial statements since that date. The Company plans to build networks and market wireless broadband to customers in selected markets in the mid-atlantic and southeastern United States. Unaudited pro forma results of the Company and Broadband Metro Communications have not been presented as the acquisition was not material to our financial position or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NTC</w:t>
      </w:r>
    </w:p>
    <w:p>
      <w:pPr>
        <w:spacing w:after="0" w:line="231" w:lineRule="exact"/>
        <w:rPr>
          <w:sz w:val="20"/>
          <w:szCs w:val="20"/>
          <w:color w:val="auto"/>
        </w:rPr>
      </w:pPr>
    </w:p>
    <w:p>
      <w:pPr>
        <w:ind w:right="2179"/>
        <w:spacing w:after="0" w:line="332" w:lineRule="auto"/>
        <w:rPr>
          <w:sz w:val="20"/>
          <w:szCs w:val="20"/>
          <w:color w:val="auto"/>
        </w:rPr>
      </w:pPr>
      <w:r>
        <w:rPr>
          <w:rFonts w:ascii="Arial" w:cs="Arial" w:eastAsia="Arial" w:hAnsi="Arial"/>
          <w:sz w:val="16"/>
          <w:szCs w:val="16"/>
          <w:color w:val="auto"/>
        </w:rPr>
        <w:t>On November 30, 2004, the Company purchased the 83.9% of NTC that it did not currently own for $10 million, of which $1 million was held in escrow for payment of specified potential liabilities, and the assumption of NTC’s</w:t>
      </w:r>
    </w:p>
    <w:p>
      <w:pPr>
        <w:spacing w:after="0" w:line="13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84" w:right="1440" w:bottom="1134" w:gutter="0" w:footer="0" w:header="0"/>
        </w:sectPr>
      </w:pPr>
    </w:p>
    <w:bookmarkStart w:id="106" w:name="page107"/>
    <w:bookmarkEnd w:id="106"/>
    <w:p>
      <w:pPr>
        <w:ind w:right="2159"/>
        <w:spacing w:after="0" w:line="255" w:lineRule="auto"/>
        <w:rPr>
          <w:sz w:val="20"/>
          <w:szCs w:val="20"/>
          <w:color w:val="auto"/>
        </w:rPr>
      </w:pPr>
      <w:r>
        <w:rPr>
          <w:rFonts w:ascii="Arial" w:cs="Arial" w:eastAsia="Arial" w:hAnsi="Arial"/>
          <w:sz w:val="18"/>
          <w:szCs w:val="18"/>
          <w:color w:val="auto"/>
        </w:rPr>
        <w:t>existing debt and other liabilities. For 2005, goodwill was reduced by approximately $0.5 million as a result of settling the escrow funds dispute (Note 1). The results of NTC’s operations have been included in the consolidated financial statements since that date. NTC provides local and long distance voice, video, Internet and data services on an, at times, exclusive basis to multi-dwelling unit communities primarily located near colleges and universities.</w:t>
      </w:r>
    </w:p>
    <w:p>
      <w:pPr>
        <w:spacing w:after="0" w:line="197" w:lineRule="exact"/>
        <w:rPr>
          <w:sz w:val="20"/>
          <w:szCs w:val="20"/>
          <w:color w:val="auto"/>
        </w:rPr>
      </w:pPr>
    </w:p>
    <w:p>
      <w:pPr>
        <w:jc w:val="both"/>
        <w:ind w:right="2279"/>
        <w:spacing w:after="0" w:line="306" w:lineRule="auto"/>
        <w:rPr>
          <w:sz w:val="20"/>
          <w:szCs w:val="20"/>
          <w:color w:val="auto"/>
        </w:rPr>
      </w:pPr>
      <w:r>
        <w:rPr>
          <w:rFonts w:ascii="Arial" w:cs="Arial" w:eastAsia="Arial" w:hAnsi="Arial"/>
          <w:sz w:val="16"/>
          <w:szCs w:val="16"/>
          <w:color w:val="auto"/>
        </w:rPr>
        <w:t>The Company recorded the purchase of NTC as a step acquisition, and as a result, the step-up in basis of the net assets was limited to 83.9% of the fair market value. The following table summarizes the estimated fair values of the assets acquired and liabilities assumed at the date of the acquisition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At November 30,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EAF9E8"/>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1,532</w:t>
            </w:r>
          </w:p>
        </w:tc>
        <w:tc>
          <w:tcPr>
            <w:tcW w:w="8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14,736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EAF9E8"/>
          </w:tcPr>
          <w:p>
            <w:pPr>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EAF9E8"/>
          </w:tcPr>
          <w:p>
            <w:pPr>
              <w:spacing w:after="0"/>
              <w:rPr>
                <w:sz w:val="18"/>
                <w:szCs w:val="18"/>
                <w:color w:val="auto"/>
              </w:rPr>
            </w:pPr>
          </w:p>
        </w:tc>
        <w:tc>
          <w:tcPr>
            <w:tcW w:w="13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3,436</w:t>
            </w:r>
          </w:p>
        </w:tc>
        <w:tc>
          <w:tcPr>
            <w:tcW w:w="8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5,550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580" w:type="dxa"/>
            <w:vAlign w:val="bottom"/>
            <w:gridSpan w:val="2"/>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EAF9E8"/>
          </w:tcPr>
          <w:p>
            <w:pPr>
              <w:spacing w:after="0"/>
              <w:rPr>
                <w:sz w:val="20"/>
                <w:szCs w:val="20"/>
                <w:color w:val="auto"/>
              </w:rPr>
            </w:pPr>
            <w:r>
              <w:rPr>
                <w:rFonts w:ascii="Arial" w:cs="Arial" w:eastAsia="Arial" w:hAnsi="Arial"/>
                <w:sz w:val="18"/>
                <w:szCs w:val="18"/>
                <w:color w:val="auto"/>
              </w:rPr>
              <w:t>Total assets acquired</w:t>
            </w:r>
          </w:p>
        </w:tc>
        <w:tc>
          <w:tcPr>
            <w:tcW w:w="100" w:type="dxa"/>
            <w:vAlign w:val="bottom"/>
            <w:shd w:val="clear" w:color="auto" w:fill="EAF9E8"/>
          </w:tcPr>
          <w:p>
            <w:pPr>
              <w:spacing w:after="0"/>
              <w:rPr>
                <w:sz w:val="18"/>
                <w:szCs w:val="18"/>
                <w:color w:val="auto"/>
              </w:rPr>
            </w:pPr>
          </w:p>
        </w:tc>
        <w:tc>
          <w:tcPr>
            <w:tcW w:w="13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25,254</w:t>
            </w:r>
          </w:p>
        </w:tc>
        <w:tc>
          <w:tcPr>
            <w:tcW w:w="8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580" w:type="dxa"/>
            <w:vAlign w:val="bottom"/>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5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(3,103)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60" w:type="dxa"/>
            <w:vAlign w:val="bottom"/>
            <w:shd w:val="clear" w:color="auto" w:fill="EAF9E8"/>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(11,838)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580" w:type="dxa"/>
            <w:vAlign w:val="bottom"/>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580" w:type="dxa"/>
            <w:vAlign w:val="bottom"/>
            <w:gridSpan w:val="2"/>
          </w:tcPr>
          <w:p>
            <w:pPr>
              <w:spacing w:after="0"/>
              <w:rPr>
                <w:sz w:val="20"/>
                <w:szCs w:val="20"/>
                <w:color w:val="auto"/>
              </w:rPr>
            </w:pPr>
            <w:r>
              <w:rPr>
                <w:rFonts w:ascii="Arial" w:cs="Arial" w:eastAsia="Arial" w:hAnsi="Arial"/>
                <w:sz w:val="18"/>
                <w:szCs w:val="18"/>
                <w:color w:val="auto"/>
              </w:rPr>
              <w:t>Total liabilities assumed</w:t>
            </w:r>
          </w:p>
        </w:tc>
        <w:tc>
          <w:tcPr>
            <w:tcW w:w="100" w:type="dxa"/>
            <w:vAlign w:val="bottom"/>
          </w:tcPr>
          <w:p>
            <w:pPr>
              <w:spacing w:after="0"/>
              <w:rPr>
                <w:sz w:val="24"/>
                <w:szCs w:val="24"/>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(14,941)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60" w:type="dxa"/>
            <w:vAlign w:val="bottom"/>
            <w:shd w:val="clear" w:color="auto" w:fill="EAF9E8"/>
          </w:tcPr>
          <w:p>
            <w:pPr>
              <w:spacing w:after="0"/>
              <w:rPr>
                <w:sz w:val="20"/>
                <w:szCs w:val="20"/>
                <w:color w:val="auto"/>
              </w:rPr>
            </w:pPr>
            <w:r>
              <w:rPr>
                <w:rFonts w:ascii="Arial" w:cs="Arial" w:eastAsia="Arial" w:hAnsi="Arial"/>
                <w:sz w:val="18"/>
                <w:szCs w:val="18"/>
                <w:color w:val="auto"/>
              </w:rPr>
              <w:t>Pre-acquisition ownership</w:t>
            </w:r>
          </w:p>
        </w:tc>
        <w:tc>
          <w:tcPr>
            <w:tcW w:w="10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(718)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580" w:type="dxa"/>
            <w:vAlign w:val="bottom"/>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580" w:type="dxa"/>
            <w:vAlign w:val="bottom"/>
            <w:gridSpan w:val="2"/>
          </w:tcPr>
          <w:p>
            <w:pPr>
              <w:spacing w:after="0"/>
              <w:rPr>
                <w:sz w:val="20"/>
                <w:szCs w:val="20"/>
                <w:color w:val="auto"/>
              </w:rPr>
            </w:pPr>
            <w:r>
              <w:rPr>
                <w:rFonts w:ascii="Arial" w:cs="Arial" w:eastAsia="Arial" w:hAnsi="Arial"/>
                <w:sz w:val="18"/>
                <w:szCs w:val="18"/>
                <w:color w:val="auto"/>
              </w:rPr>
              <w:t>Net assets acquired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9,595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-14605</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-14605</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-14605</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139"/>
        <w:spacing w:after="0" w:line="294" w:lineRule="auto"/>
        <w:rPr>
          <w:sz w:val="20"/>
          <w:szCs w:val="20"/>
          <w:color w:val="auto"/>
        </w:rPr>
      </w:pPr>
      <w:r>
        <w:rPr>
          <w:rFonts w:ascii="Arial" w:cs="Arial" w:eastAsia="Arial" w:hAnsi="Arial"/>
          <w:sz w:val="16"/>
          <w:szCs w:val="16"/>
          <w:color w:val="auto"/>
        </w:rPr>
        <w:t>The $3.4 million of acquired intangible assets has a weighted-average useful life of approximately 11 years. The intangible assets that make up that amount include business contracts of $2.4 million (useful life of 13.7 years), trade name of $168 thousand (useful life of 5.0 years) and a non-compete agreement of $835 thousand (useful life of 4.0 years). The $5.6 million of goodwill at December 31, 2004, was assigned to the Shentel Converged Services segment. The goodwill recorded in the acquisition is deductible for income tax purposes.</w:t>
      </w:r>
    </w:p>
    <w:p>
      <w:pPr>
        <w:spacing w:after="0" w:line="170" w:lineRule="exact"/>
        <w:rPr>
          <w:sz w:val="20"/>
          <w:szCs w:val="20"/>
          <w:color w:val="auto"/>
        </w:rPr>
      </w:pPr>
    </w:p>
    <w:p>
      <w:pPr>
        <w:ind w:right="2299"/>
        <w:spacing w:after="0" w:line="256" w:lineRule="auto"/>
        <w:rPr>
          <w:sz w:val="20"/>
          <w:szCs w:val="20"/>
          <w:color w:val="auto"/>
        </w:rPr>
      </w:pPr>
      <w:r>
        <w:rPr>
          <w:rFonts w:ascii="Arial" w:cs="Arial" w:eastAsia="Arial" w:hAnsi="Arial"/>
          <w:sz w:val="18"/>
          <w:szCs w:val="18"/>
          <w:color w:val="auto"/>
        </w:rPr>
        <w:t>Pursuant to the NTC Interest Purchase Agreement, $1.0 million of the purchase price was placed in escrow to satisfy any post-closing adjustments to the purchase price and any indemnification obligations of the Interest holders for a period of six months after the November 30, 2004 closing date. On January 23, 2006, the Company received $0.9 million of the escrow.</w:t>
      </w:r>
    </w:p>
    <w:p>
      <w:pPr>
        <w:spacing w:after="0" w:line="197" w:lineRule="exact"/>
        <w:rPr>
          <w:sz w:val="20"/>
          <w:szCs w:val="20"/>
          <w:color w:val="auto"/>
        </w:rPr>
      </w:pPr>
    </w:p>
    <w:p>
      <w:pPr>
        <w:ind w:right="2139"/>
        <w:spacing w:after="0" w:line="259" w:lineRule="auto"/>
        <w:rPr>
          <w:sz w:val="20"/>
          <w:szCs w:val="20"/>
          <w:color w:val="auto"/>
        </w:rPr>
      </w:pPr>
      <w:r>
        <w:rPr>
          <w:rFonts w:ascii="Arial" w:cs="Arial" w:eastAsia="Arial" w:hAnsi="Arial"/>
          <w:sz w:val="18"/>
          <w:szCs w:val="18"/>
          <w:color w:val="auto"/>
        </w:rPr>
        <w:t>The table below reflects the unaudited pro forma results of the Company (as restated) and NTC for the years ended December 31, 2004 and 2003 and as if the acquisition had taken place at the beginning of the respective calendar year: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r>
      <w:tr>
        <w:trPr>
          <w:trHeight w:val="95"/>
        </w:trPr>
        <w:tc>
          <w:tcPr>
            <w:tcW w:w="5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5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(Restated)</w:t>
            </w:r>
          </w:p>
        </w:tc>
        <w:tc>
          <w:tcPr>
            <w:tcW w:w="30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(Restated)</w:t>
            </w:r>
          </w:p>
        </w:tc>
      </w:tr>
      <w:tr>
        <w:trPr>
          <w:trHeight w:val="216"/>
        </w:trPr>
        <w:tc>
          <w:tcPr>
            <w:tcW w:w="5080" w:type="dxa"/>
            <w:vAlign w:val="bottom"/>
            <w:shd w:val="clear" w:color="auto" w:fill="EAF9E8"/>
          </w:tcPr>
          <w:p>
            <w:pPr>
              <w:spacing w:after="0"/>
              <w:rPr>
                <w:sz w:val="20"/>
                <w:szCs w:val="20"/>
                <w:color w:val="auto"/>
              </w:rPr>
            </w:pPr>
            <w:r>
              <w:rPr>
                <w:rFonts w:ascii="Arial" w:cs="Arial" w:eastAsia="Arial" w:hAnsi="Arial"/>
                <w:sz w:val="18"/>
                <w:szCs w:val="18"/>
                <w:color w:val="auto"/>
              </w:rPr>
              <w:t>Operating revenue</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129,884</w:t>
            </w:r>
          </w:p>
        </w:tc>
        <w:tc>
          <w:tcPr>
            <w:tcW w:w="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112,586</w:t>
            </w:r>
          </w:p>
        </w:tc>
        <w:tc>
          <w:tcPr>
            <w:tcW w:w="80" w:type="dxa"/>
            <w:vAlign w:val="bottom"/>
            <w:shd w:val="clear" w:color="auto" w:fill="EAF9E8"/>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9,165</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9,064</w:t>
            </w:r>
          </w:p>
        </w:tc>
        <w:tc>
          <w:tcPr>
            <w:tcW w:w="80" w:type="dxa"/>
            <w:vAlign w:val="bottom"/>
          </w:tcPr>
          <w:p>
            <w:pPr>
              <w:spacing w:after="0"/>
              <w:rPr>
                <w:sz w:val="18"/>
                <w:szCs w:val="18"/>
                <w:color w:val="auto"/>
              </w:rPr>
            </w:pPr>
          </w:p>
        </w:tc>
      </w:tr>
      <w:tr>
        <w:trPr>
          <w:trHeight w:val="216"/>
        </w:trPr>
        <w:tc>
          <w:tcPr>
            <w:tcW w:w="5080" w:type="dxa"/>
            <w:vAlign w:val="bottom"/>
            <w:shd w:val="clear" w:color="auto" w:fill="EAF9E8"/>
          </w:tcPr>
          <w:p>
            <w:pPr>
              <w:spacing w:after="0"/>
              <w:rPr>
                <w:sz w:val="20"/>
                <w:szCs w:val="20"/>
                <w:color w:val="auto"/>
              </w:rPr>
            </w:pPr>
            <w:r>
              <w:rPr>
                <w:rFonts w:ascii="Arial" w:cs="Arial" w:eastAsia="Arial" w:hAnsi="Arial"/>
                <w:sz w:val="18"/>
                <w:szCs w:val="18"/>
                <w:color w:val="auto"/>
              </w:rPr>
              <w:t>Discontinued operations, net of income taxes</w:t>
            </w:r>
          </w:p>
        </w:tc>
        <w:tc>
          <w:tcPr>
            <w:tcW w:w="58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22,389</w:t>
            </w:r>
          </w:p>
        </w:tc>
        <w:tc>
          <w:tcPr>
            <w:tcW w:w="80" w:type="dxa"/>
            <w:vAlign w:val="bottom"/>
            <w:shd w:val="clear" w:color="auto" w:fill="EAF9E8"/>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w w:val="98"/>
              </w:rPr>
              <w:t>Cumulative effect of a change in accounting, net of income taxes</w:t>
            </w: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r>
      <w:tr>
        <w:trPr>
          <w:trHeight w:val="216"/>
        </w:trPr>
        <w:tc>
          <w:tcPr>
            <w:tcW w:w="5080" w:type="dxa"/>
            <w:vAlign w:val="bottom"/>
            <w:shd w:val="clear" w:color="auto" w:fill="EAF9E8"/>
          </w:tcPr>
          <w:p>
            <w:pPr>
              <w:spacing w:after="0"/>
              <w:rPr>
                <w:sz w:val="20"/>
                <w:szCs w:val="20"/>
                <w:color w:val="auto"/>
              </w:rPr>
            </w:pPr>
            <w:r>
              <w:rPr>
                <w:rFonts w:ascii="Arial" w:cs="Arial" w:eastAsia="Arial" w:hAnsi="Arial"/>
                <w:sz w:val="18"/>
                <w:szCs w:val="18"/>
                <w:color w:val="auto"/>
              </w:rPr>
              <w:t>Net income</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9,165</w:t>
            </w:r>
          </w:p>
        </w:tc>
        <w:tc>
          <w:tcPr>
            <w:tcW w:w="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31,377</w:t>
            </w:r>
          </w:p>
        </w:tc>
        <w:tc>
          <w:tcPr>
            <w:tcW w:w="80" w:type="dxa"/>
            <w:vAlign w:val="bottom"/>
            <w:shd w:val="clear" w:color="auto" w:fill="EAF9E8"/>
          </w:tcPr>
          <w:p>
            <w:pPr>
              <w:spacing w:after="0"/>
              <w:rPr>
                <w:sz w:val="18"/>
                <w:szCs w:val="18"/>
                <w:color w:val="auto"/>
              </w:rPr>
            </w:pP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4.12</w:t>
            </w:r>
          </w:p>
        </w:tc>
        <w:tc>
          <w:tcPr>
            <w:tcW w:w="80" w:type="dxa"/>
            <w:vAlign w:val="bottom"/>
          </w:tcPr>
          <w:p>
            <w:pPr>
              <w:spacing w:after="0"/>
              <w:rPr>
                <w:sz w:val="19"/>
                <w:szCs w:val="19"/>
                <w:color w:val="auto"/>
              </w:rPr>
            </w:pPr>
          </w:p>
        </w:tc>
      </w:tr>
    </w:tbl>
    <w:p>
      <w:pPr>
        <w:spacing w:after="0" w:line="201" w:lineRule="exact"/>
        <w:rPr>
          <w:sz w:val="20"/>
          <w:szCs w:val="20"/>
          <w:color w:val="auto"/>
        </w:rPr>
      </w:pPr>
    </w:p>
    <w:p>
      <w:pPr>
        <w:ind w:right="2239"/>
        <w:spacing w:after="0" w:line="268" w:lineRule="auto"/>
        <w:rPr>
          <w:sz w:val="20"/>
          <w:szCs w:val="20"/>
          <w:color w:val="auto"/>
        </w:rPr>
      </w:pPr>
      <w:r>
        <w:rPr>
          <w:rFonts w:ascii="Arial" w:cs="Arial" w:eastAsia="Arial" w:hAnsi="Arial"/>
          <w:sz w:val="18"/>
          <w:szCs w:val="18"/>
          <w:color w:val="auto"/>
        </w:rPr>
        <w:t>The pro forma adjustments include amortization of the acquired intangible assets, depreciation of the incremental fair value of the acquired fixed assets, interest expense and income taxes.</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90" w:right="1440"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Note 16. Segment Reporting</w:t>
      </w:r>
    </w:p>
    <w:p>
      <w:pPr>
        <w:spacing w:after="0" w:line="231" w:lineRule="exact"/>
        <w:rPr>
          <w:sz w:val="20"/>
          <w:szCs w:val="20"/>
          <w:color w:val="auto"/>
        </w:rPr>
      </w:pPr>
    </w:p>
    <w:p>
      <w:pPr>
        <w:ind w:right="2219"/>
        <w:spacing w:after="0" w:line="291" w:lineRule="auto"/>
        <w:rPr>
          <w:sz w:val="20"/>
          <w:szCs w:val="20"/>
          <w:color w:val="auto"/>
        </w:rPr>
      </w:pPr>
      <w:r>
        <w:rPr>
          <w:rFonts w:ascii="Arial" w:cs="Arial" w:eastAsia="Arial" w:hAnsi="Arial"/>
          <w:sz w:val="16"/>
          <w:szCs w:val="16"/>
          <w:color w:val="auto"/>
        </w:rPr>
        <w:t>SFAS Statement No. 131, “Disclosures about Segments of an Enterprise and Related Information”, establishes standards for reporting information about operating segments. Operating segments are defined as components of an enterprise about which separate financial information is available that is evaluated regularly by the chief operating decision makers. The Company has six reportable segments, which the Company operates and manages as strategic business units organized geographically and by lines of business: (1) PCS, (2) Telephone, (3) Converged Services (NTC), (4) Mobile, (5) Holding and (6) Other.</w:t>
      </w:r>
    </w:p>
    <w:p>
      <w:pPr>
        <w:spacing w:after="0" w:line="174" w:lineRule="exact"/>
        <w:rPr>
          <w:sz w:val="20"/>
          <w:szCs w:val="20"/>
          <w:color w:val="auto"/>
        </w:rPr>
      </w:pPr>
    </w:p>
    <w:p>
      <w:pPr>
        <w:ind w:right="2159"/>
        <w:spacing w:after="0" w:line="290" w:lineRule="auto"/>
        <w:rPr>
          <w:sz w:val="20"/>
          <w:szCs w:val="20"/>
          <w:color w:val="auto"/>
        </w:rPr>
      </w:pPr>
      <w:r>
        <w:rPr>
          <w:rFonts w:ascii="Arial" w:cs="Arial" w:eastAsia="Arial" w:hAnsi="Arial"/>
          <w:sz w:val="16"/>
          <w:szCs w:val="16"/>
          <w:color w:val="auto"/>
        </w:rPr>
        <w:t>In prior periods, the Company reported 11 segments, however, beginning with the September 30, 2005 quarterly report, the Company reported six segments with the following segments combined into “Other”: ShenTel Service Company, Shenandoah Cable Television, Shenandoah Network Company, Shenandoah Long Distance Company, ShenTel Communications Company, Shentel Wireless Company and Converged Services of West Virginia. During the third quarter of 2005, Shenandoah Valley Leasing Company changed its name to Shentel Wireless Company to reflect the activities associated with the Company’s Wireless Broadband Group. The Company believes that the new presentation will allow for a more meaningful discussion of the segment results.</w:t>
      </w:r>
    </w:p>
    <w:p>
      <w:pPr>
        <w:spacing w:after="0" w:line="172" w:lineRule="exact"/>
        <w:rPr>
          <w:sz w:val="20"/>
          <w:szCs w:val="20"/>
          <w:color w:val="auto"/>
        </w:rPr>
      </w:pPr>
    </w:p>
    <w:p>
      <w:pPr>
        <w:ind w:right="2199"/>
        <w:spacing w:after="0" w:line="332" w:lineRule="auto"/>
        <w:rPr>
          <w:sz w:val="20"/>
          <w:szCs w:val="20"/>
          <w:color w:val="auto"/>
        </w:rPr>
      </w:pPr>
      <w:r>
        <w:rPr>
          <w:rFonts w:ascii="Arial" w:cs="Arial" w:eastAsia="Arial" w:hAnsi="Arial"/>
          <w:sz w:val="16"/>
          <w:szCs w:val="16"/>
          <w:color w:val="auto"/>
        </w:rPr>
        <w:t>The results for the years ended December 31, 2004 and 2003 have been restated to reflect the correction of certain errors in the Company’s accounting for operating leases. See Note 2 for additional discussion.</w:t>
      </w:r>
    </w:p>
    <w:p>
      <w:pPr>
        <w:spacing w:after="0" w:line="139" w:lineRule="exact"/>
        <w:rPr>
          <w:sz w:val="20"/>
          <w:szCs w:val="20"/>
          <w:color w:val="auto"/>
        </w:rPr>
      </w:pPr>
    </w:p>
    <w:p>
      <w:pPr>
        <w:ind w:right="2219"/>
        <w:spacing w:after="0" w:line="332" w:lineRule="auto"/>
        <w:rPr>
          <w:sz w:val="20"/>
          <w:szCs w:val="20"/>
          <w:color w:val="auto"/>
        </w:rPr>
      </w:pPr>
      <w:r>
        <w:rPr>
          <w:rFonts w:ascii="Arial" w:cs="Arial" w:eastAsia="Arial" w:hAnsi="Arial"/>
          <w:sz w:val="16"/>
          <w:szCs w:val="16"/>
          <w:color w:val="auto"/>
        </w:rPr>
        <w:t>The PCS segment, as a PCS Affiliate of Sprint Nextel, provides digital wireless service to a portion of a four-state area covering the region from Harrisburg, York and Altoona, Pennsylvania, to Harrisonburg, Virginia.</w:t>
      </w:r>
    </w:p>
    <w:p>
      <w:pPr>
        <w:spacing w:after="0" w:line="139" w:lineRule="exact"/>
        <w:rPr>
          <w:sz w:val="20"/>
          <w:szCs w:val="20"/>
          <w:color w:val="auto"/>
        </w:rPr>
      </w:pPr>
    </w:p>
    <w:p>
      <w:pPr>
        <w:ind w:right="2139"/>
        <w:spacing w:after="0" w:line="268" w:lineRule="auto"/>
        <w:rPr>
          <w:sz w:val="20"/>
          <w:szCs w:val="20"/>
          <w:color w:val="auto"/>
        </w:rPr>
      </w:pPr>
      <w:r>
        <w:rPr>
          <w:rFonts w:ascii="Arial" w:cs="Arial" w:eastAsia="Arial" w:hAnsi="Arial"/>
          <w:sz w:val="18"/>
          <w:szCs w:val="18"/>
          <w:color w:val="auto"/>
        </w:rPr>
        <w:t>The Telephone segment provides both regulated and unregulated telephone services and leases fiber optic facilities primarily throughout the Northern Shenandoah Valley.</w:t>
      </w:r>
    </w:p>
    <w:p>
      <w:pPr>
        <w:spacing w:after="0" w:line="186" w:lineRule="exact"/>
        <w:rPr>
          <w:sz w:val="20"/>
          <w:szCs w:val="20"/>
          <w:color w:val="auto"/>
        </w:rPr>
      </w:pPr>
    </w:p>
    <w:p>
      <w:pPr>
        <w:ind w:right="2199"/>
        <w:spacing w:after="0" w:line="255" w:lineRule="auto"/>
        <w:rPr>
          <w:sz w:val="20"/>
          <w:szCs w:val="20"/>
          <w:color w:val="auto"/>
        </w:rPr>
      </w:pPr>
      <w:r>
        <w:rPr>
          <w:rFonts w:ascii="Arial" w:cs="Arial" w:eastAsia="Arial" w:hAnsi="Arial"/>
          <w:sz w:val="18"/>
          <w:szCs w:val="18"/>
          <w:color w:val="auto"/>
        </w:rPr>
        <w:t>The Converged Services segment provides local and long distance voice, video, and internet services on an exclusive and non-exclusive basis to MDU communities (primarily off-campus college student housing) throughout the southeastern United States including Virginia, North Carolina, Maryland, South Carolina, Georgia, Florida, Tennessee and Mississippi. Converged Services includes NTC, purchased by the Company on November 30, 2004.</w:t>
      </w:r>
    </w:p>
    <w:p>
      <w:pPr>
        <w:spacing w:after="0" w:line="197" w:lineRule="exact"/>
        <w:rPr>
          <w:sz w:val="20"/>
          <w:szCs w:val="20"/>
          <w:color w:val="auto"/>
        </w:rPr>
      </w:pPr>
    </w:p>
    <w:p>
      <w:pPr>
        <w:ind w:right="2139"/>
        <w:spacing w:after="0" w:line="268" w:lineRule="auto"/>
        <w:rPr>
          <w:sz w:val="20"/>
          <w:szCs w:val="20"/>
          <w:color w:val="auto"/>
        </w:rPr>
      </w:pPr>
      <w:r>
        <w:rPr>
          <w:rFonts w:ascii="Arial" w:cs="Arial" w:eastAsia="Arial" w:hAnsi="Arial"/>
          <w:sz w:val="18"/>
          <w:szCs w:val="18"/>
          <w:color w:val="auto"/>
        </w:rPr>
        <w:t>The Mobile segment provides tower rental space to affiliates and non-affiliates in the Company’s PCS markets and paging services throughout the northern Shenandoah Valley.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Holding segment invests in both affiliated and non-affiliated companies.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Income (loss) recognized from equity method nonaffiliated investees by segment is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20" w:type="dxa"/>
            <w:vAlign w:val="bottom"/>
          </w:tcPr>
          <w:p>
            <w:pPr>
              <w:jc w:val="center"/>
              <w:ind w:left="217"/>
              <w:spacing w:after="0"/>
              <w:rPr>
                <w:sz w:val="20"/>
                <w:szCs w:val="20"/>
                <w:color w:val="auto"/>
              </w:rPr>
            </w:pPr>
            <w:r>
              <w:rPr>
                <w:rFonts w:ascii="Arial" w:cs="Arial" w:eastAsia="Arial" w:hAnsi="Arial"/>
                <w:sz w:val="14"/>
                <w:szCs w:val="14"/>
                <w:b w:val="1"/>
                <w:bCs w:val="1"/>
                <w:color w:val="auto"/>
                <w:w w:val="85"/>
              </w:rPr>
              <w:t>Year</w:t>
            </w:r>
          </w:p>
        </w:tc>
        <w:tc>
          <w:tcPr>
            <w:tcW w:w="940" w:type="dxa"/>
            <w:vAlign w:val="bottom"/>
          </w:tcPr>
          <w:p>
            <w:pPr>
              <w:spacing w:after="0"/>
              <w:rPr>
                <w:sz w:val="15"/>
                <w:szCs w:val="15"/>
                <w:color w:val="auto"/>
              </w:rPr>
            </w:pPr>
          </w:p>
        </w:tc>
        <w:tc>
          <w:tcPr>
            <w:tcW w:w="1240" w:type="dxa"/>
            <w:vAlign w:val="bottom"/>
          </w:tcPr>
          <w:p>
            <w:pPr>
              <w:jc w:val="right"/>
              <w:ind w:right="397"/>
              <w:spacing w:after="0"/>
              <w:rPr>
                <w:sz w:val="20"/>
                <w:szCs w:val="20"/>
                <w:color w:val="auto"/>
              </w:rPr>
            </w:pPr>
            <w:r>
              <w:rPr>
                <w:rFonts w:ascii="Arial" w:cs="Arial" w:eastAsia="Arial" w:hAnsi="Arial"/>
                <w:sz w:val="14"/>
                <w:szCs w:val="14"/>
                <w:b w:val="1"/>
                <w:bCs w:val="1"/>
                <w:color w:val="auto"/>
              </w:rPr>
              <w:t>Holding</w:t>
            </w:r>
          </w:p>
        </w:tc>
        <w:tc>
          <w:tcPr>
            <w:tcW w:w="620" w:type="dxa"/>
            <w:vAlign w:val="bottom"/>
          </w:tcPr>
          <w:p>
            <w:pPr>
              <w:spacing w:after="0"/>
              <w:rPr>
                <w:sz w:val="15"/>
                <w:szCs w:val="15"/>
                <w:color w:val="auto"/>
              </w:rPr>
            </w:pPr>
          </w:p>
        </w:tc>
        <w:tc>
          <w:tcPr>
            <w:tcW w:w="1380" w:type="dxa"/>
            <w:vAlign w:val="bottom"/>
          </w:tcPr>
          <w:p>
            <w:pPr>
              <w:jc w:val="right"/>
              <w:ind w:right="320"/>
              <w:spacing w:after="0"/>
              <w:rPr>
                <w:sz w:val="20"/>
                <w:szCs w:val="20"/>
                <w:color w:val="auto"/>
              </w:rPr>
            </w:pPr>
            <w:r>
              <w:rPr>
                <w:rFonts w:ascii="Arial" w:cs="Arial" w:eastAsia="Arial" w:hAnsi="Arial"/>
                <w:sz w:val="14"/>
                <w:szCs w:val="14"/>
                <w:b w:val="1"/>
                <w:bCs w:val="1"/>
                <w:color w:val="auto"/>
              </w:rPr>
              <w:t>Telephone</w:t>
            </w:r>
          </w:p>
        </w:tc>
        <w:tc>
          <w:tcPr>
            <w:tcW w:w="580" w:type="dxa"/>
            <w:vAlign w:val="bottom"/>
          </w:tcPr>
          <w:p>
            <w:pPr>
              <w:spacing w:after="0"/>
              <w:rPr>
                <w:sz w:val="15"/>
                <w:szCs w:val="15"/>
                <w:color w:val="auto"/>
              </w:rPr>
            </w:pPr>
          </w:p>
        </w:tc>
        <w:tc>
          <w:tcPr>
            <w:tcW w:w="1560" w:type="dxa"/>
            <w:vAlign w:val="bottom"/>
          </w:tcPr>
          <w:p>
            <w:pPr>
              <w:jc w:val="right"/>
              <w:ind w:right="237"/>
              <w:spacing w:after="0"/>
              <w:rPr>
                <w:sz w:val="20"/>
                <w:szCs w:val="20"/>
                <w:color w:val="auto"/>
              </w:rPr>
            </w:pPr>
            <w:r>
              <w:rPr>
                <w:rFonts w:ascii="Arial" w:cs="Arial" w:eastAsia="Arial" w:hAnsi="Arial"/>
                <w:sz w:val="14"/>
                <w:szCs w:val="14"/>
                <w:b w:val="1"/>
                <w:bCs w:val="1"/>
                <w:color w:val="auto"/>
                <w:w w:val="91"/>
              </w:rPr>
              <w:t>Consolidated Totals</w:t>
            </w:r>
          </w:p>
        </w:tc>
        <w:tc>
          <w:tcPr>
            <w:tcW w:w="80" w:type="dxa"/>
            <w:vAlign w:val="bottom"/>
          </w:tcPr>
          <w:p>
            <w:pPr>
              <w:spacing w:after="0"/>
              <w:rPr>
                <w:sz w:val="15"/>
                <w:szCs w:val="15"/>
                <w:color w:val="auto"/>
              </w:rPr>
            </w:pPr>
          </w:p>
        </w:tc>
      </w:tr>
      <w:tr>
        <w:trPr>
          <w:trHeight w:val="95"/>
        </w:trPr>
        <w:tc>
          <w:tcPr>
            <w:tcW w:w="17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318"/>
        </w:trPr>
        <w:tc>
          <w:tcPr>
            <w:tcW w:w="1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tcPr>
          <w:p>
            <w:pPr>
              <w:jc w:val="right"/>
              <w:ind w:right="400"/>
              <w:spacing w:after="0"/>
              <w:rPr>
                <w:sz w:val="20"/>
                <w:szCs w:val="20"/>
                <w:color w:val="auto"/>
              </w:rPr>
            </w:pPr>
            <w:r>
              <w:rPr>
                <w:rFonts w:ascii="Arial" w:cs="Arial" w:eastAsia="Arial" w:hAnsi="Arial"/>
                <w:sz w:val="14"/>
                <w:szCs w:val="14"/>
                <w:b w:val="1"/>
                <w:bCs w:val="1"/>
                <w:i w:val="1"/>
                <w:iCs w:val="1"/>
                <w:color w:val="auto"/>
                <w:w w:val="91"/>
              </w:rPr>
              <w:t>(in thousands)</w:t>
            </w:r>
          </w:p>
        </w:tc>
        <w:tc>
          <w:tcPr>
            <w:tcW w:w="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720" w:type="dxa"/>
            <w:vAlign w:val="bottom"/>
            <w:shd w:val="clear" w:color="auto" w:fill="EAF9E8"/>
          </w:tcPr>
          <w:p>
            <w:pPr>
              <w:jc w:val="center"/>
              <w:ind w:left="217"/>
              <w:spacing w:after="0"/>
              <w:rPr>
                <w:sz w:val="20"/>
                <w:szCs w:val="20"/>
                <w:color w:val="auto"/>
              </w:rPr>
            </w:pPr>
            <w:r>
              <w:rPr>
                <w:rFonts w:ascii="Arial" w:cs="Arial" w:eastAsia="Arial" w:hAnsi="Arial"/>
                <w:sz w:val="18"/>
                <w:szCs w:val="18"/>
                <w:color w:val="auto"/>
                <w:w w:val="84"/>
              </w:rPr>
              <w:t>2005</w:t>
            </w:r>
          </w:p>
        </w:tc>
        <w:tc>
          <w:tcPr>
            <w:tcW w:w="940" w:type="dxa"/>
            <w:vAlign w:val="bottom"/>
            <w:shd w:val="clear" w:color="auto" w:fill="EAF9E8"/>
          </w:tcPr>
          <w:p>
            <w:pPr>
              <w:jc w:val="right"/>
              <w:ind w:right="212"/>
              <w:spacing w:after="0"/>
              <w:rPr>
                <w:sz w:val="20"/>
                <w:szCs w:val="20"/>
                <w:color w:val="auto"/>
              </w:rPr>
            </w:pPr>
            <w:r>
              <w:rPr>
                <w:rFonts w:ascii="Arial" w:cs="Arial" w:eastAsia="Arial" w:hAnsi="Arial"/>
                <w:sz w:val="18"/>
                <w:szCs w:val="18"/>
                <w:color w:val="auto"/>
              </w:rPr>
              <w:t>$</w:t>
            </w:r>
          </w:p>
        </w:tc>
        <w:tc>
          <w:tcPr>
            <w:tcW w:w="1240" w:type="dxa"/>
            <w:vAlign w:val="bottom"/>
            <w:shd w:val="clear" w:color="auto" w:fill="EAF9E8"/>
          </w:tcPr>
          <w:p>
            <w:pPr>
              <w:jc w:val="right"/>
              <w:ind w:right="397"/>
              <w:spacing w:after="0"/>
              <w:rPr>
                <w:sz w:val="20"/>
                <w:szCs w:val="20"/>
                <w:color w:val="auto"/>
              </w:rPr>
            </w:pPr>
            <w:r>
              <w:rPr>
                <w:rFonts w:ascii="Arial" w:cs="Arial" w:eastAsia="Arial" w:hAnsi="Arial"/>
                <w:sz w:val="18"/>
                <w:szCs w:val="18"/>
                <w:color w:val="auto"/>
              </w:rPr>
              <w:t>(283)</w:t>
            </w: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EAF9E8"/>
          </w:tcPr>
          <w:p>
            <w:pPr>
              <w:jc w:val="right"/>
              <w:ind w:right="440"/>
              <w:spacing w:after="0"/>
              <w:rPr>
                <w:sz w:val="20"/>
                <w:szCs w:val="20"/>
                <w:color w:val="auto"/>
              </w:rPr>
            </w:pPr>
            <w:r>
              <w:rPr>
                <w:rFonts w:ascii="Arial" w:cs="Arial" w:eastAsia="Arial" w:hAnsi="Arial"/>
                <w:sz w:val="18"/>
                <w:szCs w:val="18"/>
                <w:color w:val="auto"/>
              </w:rPr>
              <w:t>57</w:t>
            </w:r>
          </w:p>
        </w:tc>
        <w:tc>
          <w:tcPr>
            <w:tcW w:w="58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w:t>
            </w:r>
          </w:p>
        </w:tc>
        <w:tc>
          <w:tcPr>
            <w:tcW w:w="1560" w:type="dxa"/>
            <w:vAlign w:val="bottom"/>
            <w:shd w:val="clear" w:color="auto" w:fill="EAF9E8"/>
          </w:tcPr>
          <w:p>
            <w:pPr>
              <w:jc w:val="right"/>
              <w:ind w:right="557"/>
              <w:spacing w:after="0"/>
              <w:rPr>
                <w:sz w:val="20"/>
                <w:szCs w:val="20"/>
                <w:color w:val="auto"/>
              </w:rPr>
            </w:pPr>
            <w:r>
              <w:rPr>
                <w:rFonts w:ascii="Arial" w:cs="Arial" w:eastAsia="Arial" w:hAnsi="Arial"/>
                <w:sz w:val="18"/>
                <w:szCs w:val="18"/>
                <w:color w:val="auto"/>
              </w:rPr>
              <w:t>(226)</w:t>
            </w:r>
          </w:p>
        </w:tc>
        <w:tc>
          <w:tcPr>
            <w:tcW w:w="80" w:type="dxa"/>
            <w:vAlign w:val="bottom"/>
            <w:shd w:val="clear" w:color="auto" w:fill="EAF9E8"/>
          </w:tcPr>
          <w:p>
            <w:pPr>
              <w:spacing w:after="0"/>
              <w:rPr>
                <w:sz w:val="18"/>
                <w:szCs w:val="18"/>
                <w:color w:val="auto"/>
              </w:rPr>
            </w:pPr>
          </w:p>
        </w:tc>
      </w:tr>
      <w:tr>
        <w:trPr>
          <w:trHeight w:val="216"/>
        </w:trPr>
        <w:tc>
          <w:tcPr>
            <w:tcW w:w="1720" w:type="dxa"/>
            <w:vAlign w:val="bottom"/>
          </w:tcPr>
          <w:p>
            <w:pPr>
              <w:jc w:val="center"/>
              <w:ind w:left="217"/>
              <w:spacing w:after="0"/>
              <w:rPr>
                <w:sz w:val="20"/>
                <w:szCs w:val="20"/>
                <w:color w:val="auto"/>
              </w:rPr>
            </w:pPr>
            <w:r>
              <w:rPr>
                <w:rFonts w:ascii="Arial" w:cs="Arial" w:eastAsia="Arial" w:hAnsi="Arial"/>
                <w:sz w:val="18"/>
                <w:szCs w:val="18"/>
                <w:color w:val="auto"/>
                <w:w w:val="84"/>
              </w:rPr>
              <w:t>2004</w:t>
            </w:r>
          </w:p>
        </w:tc>
        <w:tc>
          <w:tcPr>
            <w:tcW w:w="940" w:type="dxa"/>
            <w:vAlign w:val="bottom"/>
          </w:tcPr>
          <w:p>
            <w:pPr>
              <w:spacing w:after="0"/>
              <w:rPr>
                <w:sz w:val="18"/>
                <w:szCs w:val="18"/>
                <w:color w:val="auto"/>
              </w:rPr>
            </w:pPr>
          </w:p>
        </w:tc>
        <w:tc>
          <w:tcPr>
            <w:tcW w:w="1240" w:type="dxa"/>
            <w:vAlign w:val="bottom"/>
          </w:tcPr>
          <w:p>
            <w:pPr>
              <w:jc w:val="right"/>
              <w:ind w:right="397"/>
              <w:spacing w:after="0"/>
              <w:rPr>
                <w:sz w:val="20"/>
                <w:szCs w:val="20"/>
                <w:color w:val="auto"/>
              </w:rPr>
            </w:pPr>
            <w:r>
              <w:rPr>
                <w:rFonts w:ascii="Arial" w:cs="Arial" w:eastAsia="Arial" w:hAnsi="Arial"/>
                <w:sz w:val="18"/>
                <w:szCs w:val="18"/>
                <w:color w:val="auto"/>
              </w:rPr>
              <w:t>(179)</w:t>
            </w:r>
          </w:p>
        </w:tc>
        <w:tc>
          <w:tcPr>
            <w:tcW w:w="620" w:type="dxa"/>
            <w:vAlign w:val="bottom"/>
          </w:tcPr>
          <w:p>
            <w:pPr>
              <w:spacing w:after="0"/>
              <w:rPr>
                <w:sz w:val="18"/>
                <w:szCs w:val="18"/>
                <w:color w:val="auto"/>
              </w:rPr>
            </w:pPr>
          </w:p>
        </w:tc>
        <w:tc>
          <w:tcPr>
            <w:tcW w:w="1380" w:type="dxa"/>
            <w:vAlign w:val="bottom"/>
          </w:tcPr>
          <w:p>
            <w:pPr>
              <w:jc w:val="right"/>
              <w:ind w:right="440"/>
              <w:spacing w:after="0"/>
              <w:rPr>
                <w:sz w:val="20"/>
                <w:szCs w:val="20"/>
                <w:color w:val="auto"/>
              </w:rPr>
            </w:pPr>
            <w:r>
              <w:rPr>
                <w:rFonts w:ascii="Arial" w:cs="Arial" w:eastAsia="Arial" w:hAnsi="Arial"/>
                <w:sz w:val="18"/>
                <w:szCs w:val="18"/>
                <w:color w:val="auto"/>
              </w:rPr>
              <w:t>148</w:t>
            </w:r>
          </w:p>
        </w:tc>
        <w:tc>
          <w:tcPr>
            <w:tcW w:w="580" w:type="dxa"/>
            <w:vAlign w:val="bottom"/>
          </w:tcPr>
          <w:p>
            <w:pPr>
              <w:spacing w:after="0"/>
              <w:rPr>
                <w:sz w:val="18"/>
                <w:szCs w:val="18"/>
                <w:color w:val="auto"/>
              </w:rPr>
            </w:pPr>
          </w:p>
        </w:tc>
        <w:tc>
          <w:tcPr>
            <w:tcW w:w="1560" w:type="dxa"/>
            <w:vAlign w:val="bottom"/>
          </w:tcPr>
          <w:p>
            <w:pPr>
              <w:jc w:val="right"/>
              <w:ind w:right="557"/>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r>
      <w:tr>
        <w:trPr>
          <w:trHeight w:val="216"/>
        </w:trPr>
        <w:tc>
          <w:tcPr>
            <w:tcW w:w="1720" w:type="dxa"/>
            <w:vAlign w:val="bottom"/>
            <w:shd w:val="clear" w:color="auto" w:fill="EAF9E8"/>
          </w:tcPr>
          <w:p>
            <w:pPr>
              <w:jc w:val="center"/>
              <w:ind w:left="217"/>
              <w:spacing w:after="0"/>
              <w:rPr>
                <w:sz w:val="20"/>
                <w:szCs w:val="20"/>
                <w:color w:val="auto"/>
              </w:rPr>
            </w:pPr>
            <w:r>
              <w:rPr>
                <w:rFonts w:ascii="Arial" w:cs="Arial" w:eastAsia="Arial" w:hAnsi="Arial"/>
                <w:sz w:val="18"/>
                <w:szCs w:val="18"/>
                <w:color w:val="auto"/>
                <w:w w:val="84"/>
              </w:rPr>
              <w:t>2003</w:t>
            </w:r>
          </w:p>
        </w:tc>
        <w:tc>
          <w:tcPr>
            <w:tcW w:w="940" w:type="dxa"/>
            <w:vAlign w:val="bottom"/>
            <w:shd w:val="clear" w:color="auto" w:fill="EAF9E8"/>
          </w:tcPr>
          <w:p>
            <w:pPr>
              <w:spacing w:after="0"/>
              <w:rPr>
                <w:sz w:val="18"/>
                <w:szCs w:val="18"/>
                <w:color w:val="auto"/>
              </w:rPr>
            </w:pPr>
          </w:p>
        </w:tc>
        <w:tc>
          <w:tcPr>
            <w:tcW w:w="1240" w:type="dxa"/>
            <w:vAlign w:val="bottom"/>
            <w:shd w:val="clear" w:color="auto" w:fill="EAF9E8"/>
          </w:tcPr>
          <w:p>
            <w:pPr>
              <w:jc w:val="right"/>
              <w:ind w:right="397"/>
              <w:spacing w:after="0"/>
              <w:rPr>
                <w:sz w:val="20"/>
                <w:szCs w:val="20"/>
                <w:color w:val="auto"/>
              </w:rPr>
            </w:pPr>
            <w:r>
              <w:rPr>
                <w:rFonts w:ascii="Arial" w:cs="Arial" w:eastAsia="Arial" w:hAnsi="Arial"/>
                <w:sz w:val="18"/>
                <w:szCs w:val="18"/>
                <w:color w:val="auto"/>
              </w:rPr>
              <w:t>(441)</w:t>
            </w:r>
          </w:p>
        </w:tc>
        <w:tc>
          <w:tcPr>
            <w:tcW w:w="620" w:type="dxa"/>
            <w:vAlign w:val="bottom"/>
            <w:shd w:val="clear" w:color="auto" w:fill="EAF9E8"/>
          </w:tcPr>
          <w:p>
            <w:pPr>
              <w:spacing w:after="0"/>
              <w:rPr>
                <w:sz w:val="18"/>
                <w:szCs w:val="18"/>
                <w:color w:val="auto"/>
              </w:rPr>
            </w:pPr>
          </w:p>
        </w:tc>
        <w:tc>
          <w:tcPr>
            <w:tcW w:w="1380" w:type="dxa"/>
            <w:vAlign w:val="bottom"/>
            <w:shd w:val="clear" w:color="auto" w:fill="EAF9E8"/>
          </w:tcPr>
          <w:p>
            <w:pPr>
              <w:jc w:val="right"/>
              <w:ind w:right="440"/>
              <w:spacing w:after="0"/>
              <w:rPr>
                <w:sz w:val="20"/>
                <w:szCs w:val="20"/>
                <w:color w:val="auto"/>
              </w:rPr>
            </w:pPr>
            <w:r>
              <w:rPr>
                <w:rFonts w:ascii="Arial" w:cs="Arial" w:eastAsia="Arial" w:hAnsi="Arial"/>
                <w:sz w:val="18"/>
                <w:szCs w:val="18"/>
                <w:color w:val="auto"/>
              </w:rPr>
              <w:t>65</w:t>
            </w:r>
          </w:p>
        </w:tc>
        <w:tc>
          <w:tcPr>
            <w:tcW w:w="580" w:type="dxa"/>
            <w:vAlign w:val="bottom"/>
            <w:shd w:val="clear" w:color="auto" w:fill="EAF9E8"/>
          </w:tcPr>
          <w:p>
            <w:pPr>
              <w:spacing w:after="0"/>
              <w:rPr>
                <w:sz w:val="18"/>
                <w:szCs w:val="18"/>
                <w:color w:val="auto"/>
              </w:rPr>
            </w:pPr>
          </w:p>
        </w:tc>
        <w:tc>
          <w:tcPr>
            <w:tcW w:w="1560" w:type="dxa"/>
            <w:vAlign w:val="bottom"/>
            <w:shd w:val="clear" w:color="auto" w:fill="EAF9E8"/>
          </w:tcPr>
          <w:p>
            <w:pPr>
              <w:jc w:val="right"/>
              <w:ind w:right="557"/>
              <w:spacing w:after="0"/>
              <w:rPr>
                <w:sz w:val="20"/>
                <w:szCs w:val="20"/>
                <w:color w:val="auto"/>
              </w:rPr>
            </w:pPr>
            <w:r>
              <w:rPr>
                <w:rFonts w:ascii="Arial" w:cs="Arial" w:eastAsia="Arial" w:hAnsi="Arial"/>
                <w:sz w:val="18"/>
                <w:szCs w:val="18"/>
                <w:color w:val="auto"/>
              </w:rPr>
              <w:t>(376)</w:t>
            </w:r>
          </w:p>
        </w:tc>
        <w:tc>
          <w:tcPr>
            <w:tcW w:w="80" w:type="dxa"/>
            <w:vAlign w:val="bottom"/>
            <w:shd w:val="clear" w:color="auto" w:fill="EAF9E8"/>
          </w:tcPr>
          <w:p>
            <w:pPr>
              <w:spacing w:after="0"/>
              <w:rPr>
                <w:sz w:val="18"/>
                <w:szCs w:val="18"/>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data for each segment is as follows:</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108" w:name="page109"/>
    <w:bookmarkEnd w:id="108"/>
    <w:p>
      <w:pPr>
        <w:ind w:left="580"/>
        <w:spacing w:after="0"/>
        <w:rPr>
          <w:sz w:val="20"/>
          <w:szCs w:val="20"/>
          <w:color w:val="auto"/>
        </w:rPr>
      </w:pPr>
      <w:r>
        <w:rPr>
          <w:rFonts w:ascii="Arial" w:cs="Arial" w:eastAsia="Arial" w:hAnsi="Arial"/>
          <w:sz w:val="18"/>
          <w:szCs w:val="18"/>
          <w:color w:val="auto"/>
        </w:rPr>
        <w:t>Year Ended December 31,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gridSpan w:val="3"/>
          </w:tcPr>
          <w:p>
            <w:pPr>
              <w:jc w:val="center"/>
              <w:ind w:right="92"/>
              <w:spacing w:after="0" w:line="153" w:lineRule="exact"/>
              <w:rPr>
                <w:sz w:val="20"/>
                <w:szCs w:val="20"/>
                <w:color w:val="auto"/>
              </w:rPr>
            </w:pPr>
            <w:r>
              <w:rPr>
                <w:rFonts w:ascii="Arial" w:cs="Arial" w:eastAsia="Arial" w:hAnsi="Arial"/>
                <w:sz w:val="14"/>
                <w:szCs w:val="14"/>
                <w:b w:val="1"/>
                <w:bCs w:val="1"/>
                <w:color w:val="auto"/>
                <w:w w:val="87"/>
              </w:rPr>
              <w:t>Converged</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92"/>
              <w:spacing w:after="0" w:line="149" w:lineRule="exact"/>
              <w:rPr>
                <w:sz w:val="20"/>
                <w:szCs w:val="20"/>
                <w:color w:val="auto"/>
              </w:rPr>
            </w:pPr>
            <w:r>
              <w:rPr>
                <w:rFonts w:ascii="Arial" w:cs="Arial" w:eastAsia="Arial" w:hAnsi="Arial"/>
                <w:sz w:val="14"/>
                <w:szCs w:val="14"/>
                <w:b w:val="1"/>
                <w:bCs w:val="1"/>
                <w:color w:val="auto"/>
                <w:w w:val="83"/>
              </w:rPr>
              <w:t>Services</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PCS</w:t>
            </w:r>
          </w:p>
        </w:tc>
        <w:tc>
          <w:tcPr>
            <w:tcW w:w="8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w w:val="94"/>
              </w:rPr>
              <w:t>Telephone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center"/>
              <w:ind w:right="252"/>
              <w:spacing w:after="0"/>
              <w:rPr>
                <w:sz w:val="20"/>
                <w:szCs w:val="20"/>
                <w:color w:val="auto"/>
              </w:rPr>
            </w:pPr>
            <w:r>
              <w:rPr>
                <w:rFonts w:ascii="Arial" w:cs="Arial" w:eastAsia="Arial" w:hAnsi="Arial"/>
                <w:sz w:val="14"/>
                <w:szCs w:val="14"/>
                <w:b w:val="1"/>
                <w:bCs w:val="1"/>
                <w:color w:val="auto"/>
                <w:w w:val="94"/>
              </w:rPr>
              <w:t>(NTC)</w:t>
            </w:r>
          </w:p>
        </w:tc>
        <w:tc>
          <w:tcPr>
            <w:tcW w:w="80" w:type="dxa"/>
            <w:vAlign w:val="bottom"/>
          </w:tcPr>
          <w:p>
            <w:pPr>
              <w:spacing w:after="0"/>
              <w:rPr>
                <w:sz w:val="15"/>
                <w:szCs w:val="15"/>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w w:val="90"/>
              </w:rPr>
              <w:t>Mobile</w:t>
            </w:r>
          </w:p>
        </w:tc>
        <w:tc>
          <w:tcPr>
            <w:tcW w:w="100" w:type="dxa"/>
            <w:vAlign w:val="bottom"/>
          </w:tcPr>
          <w:p>
            <w:pPr>
              <w:spacing w:after="0"/>
              <w:rPr>
                <w:sz w:val="15"/>
                <w:szCs w:val="15"/>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b w:val="1"/>
                <w:bCs w:val="1"/>
                <w:color w:val="auto"/>
                <w:w w:val="92"/>
              </w:rPr>
              <w:t>Holding</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112"/>
              <w:spacing w:after="0"/>
              <w:rPr>
                <w:sz w:val="20"/>
                <w:szCs w:val="20"/>
                <w:color w:val="auto"/>
              </w:rPr>
            </w:pPr>
            <w:r>
              <w:rPr>
                <w:rFonts w:ascii="Arial" w:cs="Arial" w:eastAsia="Arial" w:hAnsi="Arial"/>
                <w:sz w:val="14"/>
                <w:szCs w:val="14"/>
                <w:b w:val="1"/>
                <w:bCs w:val="1"/>
                <w:color w:val="auto"/>
                <w:w w:val="85"/>
              </w:rPr>
              <w:t>Other</w:t>
            </w:r>
          </w:p>
        </w:tc>
        <w:tc>
          <w:tcPr>
            <w:tcW w:w="8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88"/>
              </w:rPr>
              <w:t>Eliminations</w:t>
            </w:r>
          </w:p>
        </w:tc>
        <w:tc>
          <w:tcPr>
            <w:tcW w:w="260" w:type="dxa"/>
            <w:vAlign w:val="bottom"/>
          </w:tcPr>
          <w:p>
            <w:pPr>
              <w:spacing w:after="0"/>
              <w:rPr>
                <w:sz w:val="15"/>
                <w:szCs w:val="15"/>
                <w:color w:val="auto"/>
              </w:rPr>
            </w:pPr>
          </w:p>
        </w:tc>
        <w:tc>
          <w:tcPr>
            <w:tcW w:w="7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7"/>
              </w:rPr>
              <w:t>Totals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74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External Revenues</w:t>
            </w:r>
          </w:p>
        </w:tc>
        <w:tc>
          <w:tcPr>
            <w:tcW w:w="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5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52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Service revenues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3"/>
          </w:tcPr>
          <w:p>
            <w:pPr>
              <w:jc w:val="right"/>
              <w:ind w:right="52"/>
              <w:spacing w:after="0" w:line="149" w:lineRule="exact"/>
              <w:rPr>
                <w:sz w:val="20"/>
                <w:szCs w:val="20"/>
                <w:color w:val="auto"/>
              </w:rPr>
            </w:pPr>
            <w:r>
              <w:rPr>
                <w:rFonts w:ascii="Arial" w:cs="Arial" w:eastAsia="Arial" w:hAnsi="Arial"/>
                <w:sz w:val="14"/>
                <w:szCs w:val="14"/>
                <w:color w:val="auto"/>
              </w:rPr>
              <w:t>61,606</w:t>
            </w:r>
          </w:p>
        </w:tc>
        <w:tc>
          <w:tcPr>
            <w:tcW w:w="2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6,486</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 w:type="dxa"/>
            <w:vAlign w:val="bottom"/>
          </w:tcPr>
          <w:p>
            <w:pPr>
              <w:spacing w:after="0"/>
              <w:rPr>
                <w:sz w:val="12"/>
                <w:szCs w:val="12"/>
                <w:color w:val="auto"/>
              </w:rPr>
            </w:pP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9,631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ind w:left="2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7"/>
              </w:rPr>
              <w:t>10,732</w:t>
            </w:r>
          </w:p>
        </w:tc>
        <w:tc>
          <w:tcPr>
            <w:tcW w:w="220" w:type="dxa"/>
            <w:vAlign w:val="bottom"/>
          </w:tcPr>
          <w:p>
            <w:pPr>
              <w:jc w:val="right"/>
              <w:ind w:right="97"/>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88,455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Access charges</w:t>
            </w:r>
          </w:p>
        </w:tc>
        <w:tc>
          <w:tcPr>
            <w:tcW w:w="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AF9E8"/>
          </w:tcPr>
          <w:p>
            <w:pPr>
              <w:spacing w:after="0"/>
              <w:rPr>
                <w:sz w:val="12"/>
                <w:szCs w:val="12"/>
                <w:color w:val="auto"/>
              </w:rPr>
            </w:pPr>
          </w:p>
        </w:tc>
        <w:tc>
          <w:tcPr>
            <w:tcW w:w="5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11,433</w:t>
            </w:r>
          </w:p>
        </w:tc>
        <w:tc>
          <w:tcPr>
            <w:tcW w:w="10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20" w:type="dxa"/>
            <w:vAlign w:val="bottom"/>
            <w:shd w:val="clear" w:color="auto" w:fill="EAF9E8"/>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6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52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2"/>
                <w:szCs w:val="12"/>
                <w:color w:val="auto"/>
              </w:rPr>
            </w:pPr>
          </w:p>
        </w:tc>
        <w:tc>
          <w:tcPr>
            <w:tcW w:w="6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11,433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Travel/roaming revenue</w:t>
            </w:r>
          </w:p>
        </w:tc>
        <w:tc>
          <w:tcPr>
            <w:tcW w:w="80" w:type="dxa"/>
            <w:vAlign w:val="bottom"/>
          </w:tcPr>
          <w:p>
            <w:pPr>
              <w:spacing w:after="0"/>
              <w:rPr>
                <w:sz w:val="12"/>
                <w:szCs w:val="12"/>
                <w:color w:val="auto"/>
              </w:rPr>
            </w:pPr>
          </w:p>
        </w:tc>
        <w:tc>
          <w:tcPr>
            <w:tcW w:w="660" w:type="dxa"/>
            <w:vAlign w:val="bottom"/>
            <w:gridSpan w:val="3"/>
          </w:tcPr>
          <w:p>
            <w:pPr>
              <w:jc w:val="right"/>
              <w:ind w:right="52"/>
              <w:spacing w:after="0" w:line="149" w:lineRule="exact"/>
              <w:rPr>
                <w:sz w:val="20"/>
                <w:szCs w:val="20"/>
                <w:color w:val="auto"/>
              </w:rPr>
            </w:pPr>
            <w:r>
              <w:rPr>
                <w:rFonts w:ascii="Arial" w:cs="Arial" w:eastAsia="Arial" w:hAnsi="Arial"/>
                <w:sz w:val="14"/>
                <w:szCs w:val="14"/>
                <w:color w:val="auto"/>
              </w:rPr>
              <w:t>27,220</w:t>
            </w:r>
          </w:p>
        </w:tc>
        <w:tc>
          <w:tcPr>
            <w:tcW w:w="2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27,220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Facilities and tower lease</w:t>
            </w:r>
          </w:p>
        </w:tc>
        <w:tc>
          <w:tcPr>
            <w:tcW w:w="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AF9E8"/>
          </w:tcPr>
          <w:p>
            <w:pPr>
              <w:spacing w:after="0"/>
              <w:rPr>
                <w:sz w:val="12"/>
                <w:szCs w:val="12"/>
                <w:color w:val="auto"/>
              </w:rPr>
            </w:pPr>
          </w:p>
        </w:tc>
        <w:tc>
          <w:tcPr>
            <w:tcW w:w="5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3,920</w:t>
            </w:r>
          </w:p>
        </w:tc>
        <w:tc>
          <w:tcPr>
            <w:tcW w:w="10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20" w:type="dxa"/>
            <w:vAlign w:val="bottom"/>
            <w:shd w:val="clear" w:color="auto" w:fill="EAF9E8"/>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3,147</w:t>
            </w:r>
          </w:p>
        </w:tc>
        <w:tc>
          <w:tcPr>
            <w:tcW w:w="100" w:type="dxa"/>
            <w:vAlign w:val="bottom"/>
            <w:shd w:val="clear" w:color="auto" w:fill="EAF9E8"/>
          </w:tcPr>
          <w:p>
            <w:pPr>
              <w:spacing w:after="0"/>
              <w:rPr>
                <w:sz w:val="12"/>
                <w:szCs w:val="12"/>
                <w:color w:val="auto"/>
              </w:rPr>
            </w:pPr>
          </w:p>
        </w:tc>
        <w:tc>
          <w:tcPr>
            <w:tcW w:w="6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52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1,307</w:t>
            </w:r>
          </w:p>
        </w:tc>
        <w:tc>
          <w:tcPr>
            <w:tcW w:w="220" w:type="dxa"/>
            <w:vAlign w:val="bottom"/>
            <w:shd w:val="clear" w:color="auto" w:fill="EAF9E8"/>
          </w:tcPr>
          <w:p>
            <w:pPr>
              <w:spacing w:after="0"/>
              <w:rPr>
                <w:sz w:val="12"/>
                <w:szCs w:val="12"/>
                <w:color w:val="auto"/>
              </w:rPr>
            </w:pPr>
          </w:p>
        </w:tc>
        <w:tc>
          <w:tcPr>
            <w:tcW w:w="6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8,374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Equipment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6"/>
              </w:rPr>
              <w:t>3,459</w:t>
            </w:r>
          </w:p>
        </w:tc>
        <w:tc>
          <w:tcPr>
            <w:tcW w:w="2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12</w:t>
            </w:r>
          </w:p>
        </w:tc>
        <w:tc>
          <w:tcPr>
            <w:tcW w:w="8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843</w:t>
            </w: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w w:val="96"/>
              </w:rPr>
              <w:t>2,133</w:t>
            </w:r>
          </w:p>
        </w:tc>
        <w:tc>
          <w:tcPr>
            <w:tcW w:w="260" w:type="dxa"/>
            <w:vAlign w:val="bottom"/>
            <w:shd w:val="clear" w:color="auto" w:fill="EAF9E8"/>
          </w:tcPr>
          <w:p>
            <w:pPr>
              <w:spacing w:after="0"/>
              <w:rPr>
                <w:sz w:val="12"/>
                <w:szCs w:val="12"/>
                <w:color w:val="auto"/>
              </w:rPr>
            </w:pPr>
          </w:p>
        </w:tc>
        <w:tc>
          <w:tcPr>
            <w:tcW w:w="5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2,882</w:t>
            </w:r>
          </w:p>
        </w:tc>
        <w:tc>
          <w:tcPr>
            <w:tcW w:w="10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20" w:type="dxa"/>
            <w:vAlign w:val="bottom"/>
            <w:shd w:val="clear" w:color="auto" w:fill="EAF9E8"/>
          </w:tcPr>
          <w:p>
            <w:pPr>
              <w:jc w:val="right"/>
              <w:ind w:right="112"/>
              <w:spacing w:after="0" w:line="149" w:lineRule="exact"/>
              <w:rPr>
                <w:sz w:val="20"/>
                <w:szCs w:val="20"/>
                <w:color w:val="auto"/>
              </w:rPr>
            </w:pPr>
            <w:r>
              <w:rPr>
                <w:rFonts w:ascii="Arial" w:cs="Arial" w:eastAsia="Arial" w:hAnsi="Arial"/>
                <w:sz w:val="14"/>
                <w:szCs w:val="14"/>
                <w:color w:val="auto"/>
              </w:rPr>
              <w:t>179</w:t>
            </w: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146</w:t>
            </w:r>
          </w:p>
        </w:tc>
        <w:tc>
          <w:tcPr>
            <w:tcW w:w="100" w:type="dxa"/>
            <w:vAlign w:val="bottom"/>
            <w:shd w:val="clear" w:color="auto" w:fill="EAF9E8"/>
          </w:tcPr>
          <w:p>
            <w:pPr>
              <w:spacing w:after="0"/>
              <w:rPr>
                <w:sz w:val="12"/>
                <w:szCs w:val="12"/>
                <w:color w:val="auto"/>
              </w:rPr>
            </w:pPr>
          </w:p>
        </w:tc>
        <w:tc>
          <w:tcPr>
            <w:tcW w:w="6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52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1,238</w:t>
            </w:r>
          </w:p>
        </w:tc>
        <w:tc>
          <w:tcPr>
            <w:tcW w:w="220" w:type="dxa"/>
            <w:vAlign w:val="bottom"/>
            <w:shd w:val="clear" w:color="auto" w:fill="EAF9E8"/>
          </w:tcPr>
          <w:p>
            <w:pPr>
              <w:spacing w:after="0"/>
              <w:rPr>
                <w:sz w:val="12"/>
                <w:szCs w:val="12"/>
                <w:color w:val="auto"/>
              </w:rPr>
            </w:pPr>
          </w:p>
        </w:tc>
        <w:tc>
          <w:tcPr>
            <w:tcW w:w="6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6,578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760" w:type="dxa"/>
            <w:vAlign w:val="bottom"/>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760" w:type="dxa"/>
            <w:vAlign w:val="bottom"/>
            <w:gridSpan w:val="2"/>
          </w:tcPr>
          <w:p>
            <w:pPr>
              <w:spacing w:after="0"/>
              <w:rPr>
                <w:sz w:val="20"/>
                <w:szCs w:val="20"/>
                <w:color w:val="auto"/>
              </w:rPr>
            </w:pPr>
            <w:r>
              <w:rPr>
                <w:rFonts w:ascii="Arial" w:cs="Arial" w:eastAsia="Arial" w:hAnsi="Arial"/>
                <w:sz w:val="14"/>
                <w:szCs w:val="14"/>
                <w:color w:val="auto"/>
              </w:rPr>
              <w:t>Total external revenues</w:t>
            </w:r>
          </w:p>
        </w:tc>
        <w:tc>
          <w:tcPr>
            <w:tcW w:w="80" w:type="dxa"/>
            <w:vAlign w:val="bottom"/>
          </w:tcPr>
          <w:p>
            <w:pPr>
              <w:spacing w:after="0"/>
              <w:rPr>
                <w:sz w:val="21"/>
                <w:szCs w:val="21"/>
                <w:color w:val="auto"/>
              </w:rPr>
            </w:pPr>
          </w:p>
        </w:tc>
        <w:tc>
          <w:tcPr>
            <w:tcW w:w="660" w:type="dxa"/>
            <w:vAlign w:val="bottom"/>
            <w:gridSpan w:val="3"/>
          </w:tcPr>
          <w:p>
            <w:pPr>
              <w:jc w:val="right"/>
              <w:ind w:right="52"/>
              <w:spacing w:after="0"/>
              <w:rPr>
                <w:sz w:val="20"/>
                <w:szCs w:val="20"/>
                <w:color w:val="auto"/>
              </w:rPr>
            </w:pPr>
            <w:r>
              <w:rPr>
                <w:rFonts w:ascii="Arial" w:cs="Arial" w:eastAsia="Arial" w:hAnsi="Arial"/>
                <w:sz w:val="14"/>
                <w:szCs w:val="14"/>
                <w:color w:val="auto"/>
              </w:rPr>
              <w:t>94,418</w:t>
            </w: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24,738</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jc w:val="right"/>
              <w:ind w:right="112"/>
              <w:spacing w:after="0"/>
              <w:rPr>
                <w:sz w:val="20"/>
                <w:szCs w:val="20"/>
                <w:color w:val="auto"/>
              </w:rPr>
            </w:pPr>
            <w:r>
              <w:rPr>
                <w:rFonts w:ascii="Arial" w:cs="Arial" w:eastAsia="Arial" w:hAnsi="Arial"/>
                <w:sz w:val="14"/>
                <w:szCs w:val="14"/>
                <w:color w:val="auto"/>
              </w:rPr>
              <w:t>9,822</w:t>
            </w:r>
          </w:p>
        </w:tc>
        <w:tc>
          <w:tcPr>
            <w:tcW w:w="8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3,293</w:t>
            </w: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4"/>
                <w:szCs w:val="14"/>
                <w:color w:val="auto"/>
                <w:w w:val="97"/>
              </w:rPr>
              <w:t>14,120</w:t>
            </w: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146,391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Internal Revenues</w:t>
            </w:r>
          </w:p>
        </w:tc>
        <w:tc>
          <w:tcPr>
            <w:tcW w:w="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1</w:t>
            </w:r>
          </w:p>
        </w:tc>
        <w:tc>
          <w:tcPr>
            <w:tcW w:w="260" w:type="dxa"/>
            <w:vAlign w:val="bottom"/>
            <w:shd w:val="clear" w:color="auto" w:fill="EAF9E8"/>
          </w:tcPr>
          <w:p>
            <w:pPr>
              <w:spacing w:after="0"/>
              <w:rPr>
                <w:sz w:val="12"/>
                <w:szCs w:val="12"/>
                <w:color w:val="auto"/>
              </w:rPr>
            </w:pPr>
          </w:p>
        </w:tc>
        <w:tc>
          <w:tcPr>
            <w:tcW w:w="5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4,256</w:t>
            </w:r>
          </w:p>
        </w:tc>
        <w:tc>
          <w:tcPr>
            <w:tcW w:w="10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20" w:type="dxa"/>
            <w:vAlign w:val="bottom"/>
            <w:shd w:val="clear" w:color="auto" w:fill="EAF9E8"/>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1,386</w:t>
            </w:r>
          </w:p>
        </w:tc>
        <w:tc>
          <w:tcPr>
            <w:tcW w:w="100" w:type="dxa"/>
            <w:vAlign w:val="bottom"/>
            <w:shd w:val="clear" w:color="auto" w:fill="EAF9E8"/>
          </w:tcPr>
          <w:p>
            <w:pPr>
              <w:spacing w:after="0"/>
              <w:rPr>
                <w:sz w:val="12"/>
                <w:szCs w:val="12"/>
                <w:color w:val="auto"/>
              </w:rPr>
            </w:pPr>
          </w:p>
        </w:tc>
        <w:tc>
          <w:tcPr>
            <w:tcW w:w="6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52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2,584</w:t>
            </w:r>
          </w:p>
        </w:tc>
        <w:tc>
          <w:tcPr>
            <w:tcW w:w="220" w:type="dxa"/>
            <w:vAlign w:val="bottom"/>
            <w:shd w:val="clear" w:color="auto" w:fill="EAF9E8"/>
          </w:tcPr>
          <w:p>
            <w:pPr>
              <w:spacing w:after="0"/>
              <w:rPr>
                <w:sz w:val="12"/>
                <w:szCs w:val="12"/>
                <w:color w:val="auto"/>
              </w:rPr>
            </w:pPr>
          </w:p>
        </w:tc>
        <w:tc>
          <w:tcPr>
            <w:tcW w:w="6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(8,227)</w:t>
            </w:r>
          </w:p>
        </w:tc>
        <w:tc>
          <w:tcPr>
            <w:tcW w:w="26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760" w:type="dxa"/>
            <w:vAlign w:val="bottom"/>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760" w:type="dxa"/>
            <w:vAlign w:val="bottom"/>
            <w:gridSpan w:val="2"/>
          </w:tcPr>
          <w:p>
            <w:pPr>
              <w:spacing w:after="0"/>
              <w:rPr>
                <w:sz w:val="20"/>
                <w:szCs w:val="20"/>
                <w:color w:val="auto"/>
              </w:rPr>
            </w:pPr>
            <w:r>
              <w:rPr>
                <w:rFonts w:ascii="Arial" w:cs="Arial" w:eastAsia="Arial" w:hAnsi="Arial"/>
                <w:sz w:val="14"/>
                <w:szCs w:val="14"/>
                <w:color w:val="auto"/>
              </w:rPr>
              <w:t>Total operating revenues</w:t>
            </w:r>
          </w:p>
        </w:tc>
        <w:tc>
          <w:tcPr>
            <w:tcW w:w="80" w:type="dxa"/>
            <w:vAlign w:val="bottom"/>
          </w:tcPr>
          <w:p>
            <w:pPr>
              <w:spacing w:after="0"/>
              <w:rPr>
                <w:sz w:val="22"/>
                <w:szCs w:val="22"/>
                <w:color w:val="auto"/>
              </w:rPr>
            </w:pPr>
          </w:p>
        </w:tc>
        <w:tc>
          <w:tcPr>
            <w:tcW w:w="660" w:type="dxa"/>
            <w:vAlign w:val="bottom"/>
            <w:gridSpan w:val="3"/>
          </w:tcPr>
          <w:p>
            <w:pPr>
              <w:jc w:val="right"/>
              <w:ind w:right="52"/>
              <w:spacing w:after="0"/>
              <w:rPr>
                <w:sz w:val="20"/>
                <w:szCs w:val="20"/>
                <w:color w:val="auto"/>
              </w:rPr>
            </w:pPr>
            <w:r>
              <w:rPr>
                <w:rFonts w:ascii="Arial" w:cs="Arial" w:eastAsia="Arial" w:hAnsi="Arial"/>
                <w:sz w:val="14"/>
                <w:szCs w:val="14"/>
                <w:color w:val="auto"/>
              </w:rPr>
              <w:t>94,419</w:t>
            </w:r>
          </w:p>
        </w:tc>
        <w:tc>
          <w:tcPr>
            <w:tcW w:w="2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28,994</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right"/>
              <w:ind w:right="112"/>
              <w:spacing w:after="0"/>
              <w:rPr>
                <w:sz w:val="20"/>
                <w:szCs w:val="20"/>
                <w:color w:val="auto"/>
              </w:rPr>
            </w:pPr>
            <w:r>
              <w:rPr>
                <w:rFonts w:ascii="Arial" w:cs="Arial" w:eastAsia="Arial" w:hAnsi="Arial"/>
                <w:sz w:val="14"/>
                <w:szCs w:val="14"/>
                <w:color w:val="auto"/>
              </w:rPr>
              <w:t>9,822</w:t>
            </w:r>
          </w:p>
        </w:tc>
        <w:tc>
          <w:tcPr>
            <w:tcW w:w="80" w:type="dxa"/>
            <w:vAlign w:val="bottom"/>
          </w:tcPr>
          <w:p>
            <w:pPr>
              <w:spacing w:after="0"/>
              <w:rPr>
                <w:sz w:val="22"/>
                <w:szCs w:val="22"/>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4,679</w:t>
            </w: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ind w:right="12"/>
              <w:spacing w:after="0"/>
              <w:rPr>
                <w:sz w:val="20"/>
                <w:szCs w:val="20"/>
                <w:color w:val="auto"/>
              </w:rPr>
            </w:pPr>
            <w:r>
              <w:rPr>
                <w:rFonts w:ascii="Arial" w:cs="Arial" w:eastAsia="Arial" w:hAnsi="Arial"/>
                <w:sz w:val="14"/>
                <w:szCs w:val="14"/>
                <w:color w:val="auto"/>
                <w:w w:val="97"/>
              </w:rPr>
              <w:t>16,704</w:t>
            </w:r>
          </w:p>
        </w:tc>
        <w:tc>
          <w:tcPr>
            <w:tcW w:w="2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(8,227)</w:t>
            </w:r>
          </w:p>
        </w:tc>
        <w:tc>
          <w:tcPr>
            <w:tcW w:w="26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146,391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760" w:type="dxa"/>
            <w:vAlign w:val="bottom"/>
            <w:gridSpan w:val="2"/>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74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Operating expenses</w:t>
            </w:r>
          </w:p>
        </w:tc>
        <w:tc>
          <w:tcPr>
            <w:tcW w:w="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5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52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40" w:type="dxa"/>
            <w:vAlign w:val="bottom"/>
          </w:tcPr>
          <w:p>
            <w:pPr>
              <w:spacing w:after="0" w:line="138" w:lineRule="exact"/>
              <w:rPr>
                <w:sz w:val="20"/>
                <w:szCs w:val="20"/>
                <w:color w:val="auto"/>
              </w:rPr>
            </w:pPr>
            <w:r>
              <w:rPr>
                <w:rFonts w:ascii="Arial" w:cs="Arial" w:eastAsia="Arial" w:hAnsi="Arial"/>
                <w:sz w:val="14"/>
                <w:szCs w:val="14"/>
                <w:color w:val="auto"/>
                <w:w w:val="95"/>
              </w:rPr>
              <w:t>Costs of goods and services,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ind w:left="140"/>
              <w:spacing w:after="0" w:line="149" w:lineRule="exact"/>
              <w:rPr>
                <w:sz w:val="20"/>
                <w:szCs w:val="20"/>
                <w:color w:val="auto"/>
              </w:rPr>
            </w:pPr>
            <w:r>
              <w:rPr>
                <w:rFonts w:ascii="Arial" w:cs="Arial" w:eastAsia="Arial" w:hAnsi="Arial"/>
                <w:sz w:val="14"/>
                <w:szCs w:val="14"/>
                <w:color w:val="auto"/>
              </w:rPr>
              <w:t>exclusive of depreciation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ind w:left="140"/>
              <w:spacing w:after="0" w:line="149" w:lineRule="exact"/>
              <w:rPr>
                <w:sz w:val="20"/>
                <w:szCs w:val="20"/>
                <w:color w:val="auto"/>
              </w:rPr>
            </w:pPr>
            <w:r>
              <w:rPr>
                <w:rFonts w:ascii="Arial" w:cs="Arial" w:eastAsia="Arial" w:hAnsi="Arial"/>
                <w:sz w:val="14"/>
                <w:szCs w:val="14"/>
                <w:color w:val="auto"/>
              </w:rPr>
              <w:t>and amortization shown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40" w:type="dxa"/>
            <w:vAlign w:val="bottom"/>
          </w:tcPr>
          <w:p>
            <w:pPr>
              <w:ind w:left="140"/>
              <w:spacing w:after="0" w:line="159" w:lineRule="exact"/>
              <w:rPr>
                <w:sz w:val="20"/>
                <w:szCs w:val="20"/>
                <w:color w:val="auto"/>
              </w:rPr>
            </w:pPr>
            <w:r>
              <w:rPr>
                <w:rFonts w:ascii="Arial" w:cs="Arial" w:eastAsia="Arial" w:hAnsi="Arial"/>
                <w:sz w:val="14"/>
                <w:szCs w:val="14"/>
                <w:color w:val="auto"/>
              </w:rPr>
              <w:t>separately below</w:t>
            </w:r>
          </w:p>
        </w:tc>
        <w:tc>
          <w:tcPr>
            <w:tcW w:w="80" w:type="dxa"/>
            <w:vAlign w:val="bottom"/>
          </w:tcPr>
          <w:p>
            <w:pPr>
              <w:spacing w:after="0"/>
              <w:rPr>
                <w:sz w:val="13"/>
                <w:szCs w:val="13"/>
                <w:color w:val="auto"/>
              </w:rPr>
            </w:pPr>
          </w:p>
        </w:tc>
        <w:tc>
          <w:tcPr>
            <w:tcW w:w="660" w:type="dxa"/>
            <w:vAlign w:val="bottom"/>
            <w:gridSpan w:val="3"/>
          </w:tcPr>
          <w:p>
            <w:pPr>
              <w:jc w:val="right"/>
              <w:ind w:right="52"/>
              <w:spacing w:after="0" w:line="159" w:lineRule="exact"/>
              <w:rPr>
                <w:sz w:val="20"/>
                <w:szCs w:val="20"/>
                <w:color w:val="auto"/>
              </w:rPr>
            </w:pPr>
            <w:r>
              <w:rPr>
                <w:rFonts w:ascii="Arial" w:cs="Arial" w:eastAsia="Arial" w:hAnsi="Arial"/>
                <w:sz w:val="14"/>
                <w:szCs w:val="14"/>
                <w:color w:val="auto"/>
              </w:rPr>
              <w:t>43,149</w:t>
            </w:r>
          </w:p>
        </w:tc>
        <w:tc>
          <w:tcPr>
            <w:tcW w:w="26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6,620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6,783</w:t>
            </w:r>
          </w:p>
        </w:tc>
        <w:tc>
          <w:tcPr>
            <w:tcW w:w="80" w:type="dxa"/>
            <w:vAlign w:val="bottom"/>
          </w:tcPr>
          <w:p>
            <w:pPr>
              <w:spacing w:after="0"/>
              <w:rPr>
                <w:sz w:val="13"/>
                <w:szCs w:val="13"/>
                <w:color w:val="auto"/>
              </w:rPr>
            </w:pPr>
          </w:p>
        </w:tc>
        <w:tc>
          <w:tcPr>
            <w:tcW w:w="6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1,414</w:t>
            </w:r>
          </w:p>
        </w:tc>
        <w:tc>
          <w:tcPr>
            <w:tcW w:w="10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2"/>
              <w:spacing w:after="0" w:line="159" w:lineRule="exact"/>
              <w:rPr>
                <w:sz w:val="20"/>
                <w:szCs w:val="20"/>
                <w:color w:val="auto"/>
              </w:rPr>
            </w:pPr>
            <w:r>
              <w:rPr>
                <w:rFonts w:ascii="Arial" w:cs="Arial" w:eastAsia="Arial" w:hAnsi="Arial"/>
                <w:sz w:val="14"/>
                <w:szCs w:val="14"/>
                <w:color w:val="auto"/>
              </w:rPr>
              <w:t>9,292</w:t>
            </w:r>
          </w:p>
        </w:tc>
        <w:tc>
          <w:tcPr>
            <w:tcW w:w="22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(6,959)</w:t>
            </w:r>
          </w:p>
        </w:tc>
        <w:tc>
          <w:tcPr>
            <w:tcW w:w="26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60,299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40" w:type="dxa"/>
            <w:vAlign w:val="bottom"/>
            <w:shd w:val="clear" w:color="auto" w:fill="EAF9E8"/>
          </w:tcPr>
          <w:p>
            <w:pPr>
              <w:spacing w:after="0" w:line="138" w:lineRule="exact"/>
              <w:rPr>
                <w:sz w:val="20"/>
                <w:szCs w:val="20"/>
                <w:color w:val="auto"/>
              </w:rPr>
            </w:pPr>
            <w:r>
              <w:rPr>
                <w:rFonts w:ascii="Arial" w:cs="Arial" w:eastAsia="Arial" w:hAnsi="Arial"/>
                <w:sz w:val="14"/>
                <w:szCs w:val="14"/>
                <w:color w:val="auto"/>
              </w:rPr>
              <w:t>Selling, general and</w:t>
            </w:r>
          </w:p>
        </w:tc>
        <w:tc>
          <w:tcPr>
            <w:tcW w:w="8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480" w:type="dxa"/>
            <w:vAlign w:val="bottom"/>
            <w:shd w:val="clear" w:color="auto" w:fill="EAF9E8"/>
          </w:tcPr>
          <w:p>
            <w:pPr>
              <w:spacing w:after="0"/>
              <w:rPr>
                <w:sz w:val="11"/>
                <w:szCs w:val="11"/>
                <w:color w:val="auto"/>
              </w:rPr>
            </w:pPr>
          </w:p>
        </w:tc>
        <w:tc>
          <w:tcPr>
            <w:tcW w:w="260" w:type="dxa"/>
            <w:vAlign w:val="bottom"/>
            <w:shd w:val="clear" w:color="auto" w:fill="EAF9E8"/>
          </w:tcPr>
          <w:p>
            <w:pPr>
              <w:spacing w:after="0"/>
              <w:rPr>
                <w:sz w:val="11"/>
                <w:szCs w:val="11"/>
                <w:color w:val="auto"/>
              </w:rPr>
            </w:pPr>
          </w:p>
        </w:tc>
        <w:tc>
          <w:tcPr>
            <w:tcW w:w="5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6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62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5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640" w:type="dxa"/>
            <w:vAlign w:val="bottom"/>
            <w:shd w:val="clear" w:color="auto" w:fill="EAF9E8"/>
          </w:tcPr>
          <w:p>
            <w:pPr>
              <w:spacing w:after="0"/>
              <w:rPr>
                <w:sz w:val="11"/>
                <w:szCs w:val="11"/>
                <w:color w:val="auto"/>
              </w:rPr>
            </w:pPr>
          </w:p>
        </w:tc>
        <w:tc>
          <w:tcPr>
            <w:tcW w:w="260" w:type="dxa"/>
            <w:vAlign w:val="bottom"/>
            <w:shd w:val="clear" w:color="auto" w:fill="EAF9E8"/>
          </w:tcPr>
          <w:p>
            <w:pPr>
              <w:spacing w:after="0"/>
              <w:rPr>
                <w:sz w:val="11"/>
                <w:szCs w:val="11"/>
                <w:color w:val="auto"/>
              </w:rPr>
            </w:pPr>
          </w:p>
        </w:tc>
        <w:tc>
          <w:tcPr>
            <w:tcW w:w="60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EAF9E8"/>
          </w:tcPr>
          <w:p>
            <w:pPr>
              <w:ind w:left="140"/>
              <w:spacing w:after="0" w:line="149" w:lineRule="exact"/>
              <w:rPr>
                <w:sz w:val="20"/>
                <w:szCs w:val="20"/>
                <w:color w:val="auto"/>
              </w:rPr>
            </w:pPr>
            <w:r>
              <w:rPr>
                <w:rFonts w:ascii="Arial" w:cs="Arial" w:eastAsia="Arial" w:hAnsi="Arial"/>
                <w:sz w:val="14"/>
                <w:szCs w:val="14"/>
                <w:color w:val="auto"/>
              </w:rPr>
              <w:t>administrative, exclusive</w:t>
            </w:r>
          </w:p>
        </w:tc>
        <w:tc>
          <w:tcPr>
            <w:tcW w:w="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5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52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EAF9E8"/>
          </w:tcPr>
          <w:p>
            <w:pPr>
              <w:ind w:left="140"/>
              <w:spacing w:after="0" w:line="149" w:lineRule="exact"/>
              <w:rPr>
                <w:sz w:val="20"/>
                <w:szCs w:val="20"/>
                <w:color w:val="auto"/>
              </w:rPr>
            </w:pPr>
            <w:r>
              <w:rPr>
                <w:rFonts w:ascii="Arial" w:cs="Arial" w:eastAsia="Arial" w:hAnsi="Arial"/>
                <w:sz w:val="14"/>
                <w:szCs w:val="14"/>
                <w:color w:val="auto"/>
              </w:rPr>
              <w:t>of depreciation and</w:t>
            </w:r>
          </w:p>
        </w:tc>
        <w:tc>
          <w:tcPr>
            <w:tcW w:w="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5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52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EAF9E8"/>
          </w:tcPr>
          <w:p>
            <w:pPr>
              <w:ind w:left="140"/>
              <w:spacing w:after="0" w:line="149" w:lineRule="exact"/>
              <w:rPr>
                <w:sz w:val="20"/>
                <w:szCs w:val="20"/>
                <w:color w:val="auto"/>
              </w:rPr>
            </w:pPr>
            <w:r>
              <w:rPr>
                <w:rFonts w:ascii="Arial" w:cs="Arial" w:eastAsia="Arial" w:hAnsi="Arial"/>
                <w:sz w:val="14"/>
                <w:szCs w:val="14"/>
                <w:color w:val="auto"/>
              </w:rPr>
              <w:t>amortization shown</w:t>
            </w:r>
          </w:p>
        </w:tc>
        <w:tc>
          <w:tcPr>
            <w:tcW w:w="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5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52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40" w:type="dxa"/>
            <w:vAlign w:val="bottom"/>
            <w:shd w:val="clear" w:color="auto" w:fill="EAF9E8"/>
          </w:tcPr>
          <w:p>
            <w:pPr>
              <w:ind w:left="140"/>
              <w:spacing w:after="0" w:line="159" w:lineRule="exact"/>
              <w:rPr>
                <w:sz w:val="20"/>
                <w:szCs w:val="20"/>
                <w:color w:val="auto"/>
              </w:rPr>
            </w:pPr>
            <w:r>
              <w:rPr>
                <w:rFonts w:ascii="Arial" w:cs="Arial" w:eastAsia="Arial" w:hAnsi="Arial"/>
                <w:sz w:val="14"/>
                <w:szCs w:val="14"/>
                <w:color w:val="auto"/>
              </w:rPr>
              <w:t>separately below</w:t>
            </w:r>
          </w:p>
        </w:tc>
        <w:tc>
          <w:tcPr>
            <w:tcW w:w="80" w:type="dxa"/>
            <w:vAlign w:val="bottom"/>
            <w:shd w:val="clear" w:color="auto" w:fill="EAF9E8"/>
          </w:tcPr>
          <w:p>
            <w:pPr>
              <w:spacing w:after="0"/>
              <w:rPr>
                <w:sz w:val="13"/>
                <w:szCs w:val="13"/>
                <w:color w:val="auto"/>
              </w:rPr>
            </w:pPr>
          </w:p>
        </w:tc>
        <w:tc>
          <w:tcPr>
            <w:tcW w:w="660" w:type="dxa"/>
            <w:vAlign w:val="bottom"/>
            <w:gridSpan w:val="3"/>
            <w:shd w:val="clear" w:color="auto" w:fill="EAF9E8"/>
          </w:tcPr>
          <w:p>
            <w:pPr>
              <w:jc w:val="right"/>
              <w:ind w:right="52"/>
              <w:spacing w:after="0" w:line="159" w:lineRule="exact"/>
              <w:rPr>
                <w:sz w:val="20"/>
                <w:szCs w:val="20"/>
                <w:color w:val="auto"/>
              </w:rPr>
            </w:pPr>
            <w:r>
              <w:rPr>
                <w:rFonts w:ascii="Arial" w:cs="Arial" w:eastAsia="Arial" w:hAnsi="Arial"/>
                <w:sz w:val="14"/>
                <w:szCs w:val="14"/>
                <w:color w:val="auto"/>
              </w:rPr>
              <w:t>28,848</w:t>
            </w:r>
          </w:p>
        </w:tc>
        <w:tc>
          <w:tcPr>
            <w:tcW w:w="260" w:type="dxa"/>
            <w:vAlign w:val="bottom"/>
            <w:shd w:val="clear" w:color="auto" w:fill="EAF9E8"/>
          </w:tcPr>
          <w:p>
            <w:pPr>
              <w:spacing w:after="0"/>
              <w:rPr>
                <w:sz w:val="13"/>
                <w:szCs w:val="13"/>
                <w:color w:val="auto"/>
              </w:rPr>
            </w:pPr>
          </w:p>
        </w:tc>
        <w:tc>
          <w:tcPr>
            <w:tcW w:w="54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5,313</w:t>
            </w:r>
          </w:p>
        </w:tc>
        <w:tc>
          <w:tcPr>
            <w:tcW w:w="100" w:type="dxa"/>
            <w:vAlign w:val="bottom"/>
            <w:shd w:val="clear" w:color="auto" w:fill="EAF9E8"/>
          </w:tcPr>
          <w:p>
            <w:pPr>
              <w:spacing w:after="0"/>
              <w:rPr>
                <w:sz w:val="13"/>
                <w:szCs w:val="13"/>
                <w:color w:val="auto"/>
              </w:rPr>
            </w:pPr>
          </w:p>
        </w:tc>
        <w:tc>
          <w:tcPr>
            <w:tcW w:w="60" w:type="dxa"/>
            <w:vAlign w:val="bottom"/>
            <w:shd w:val="clear" w:color="auto" w:fill="EAF9E8"/>
          </w:tcPr>
          <w:p>
            <w:pPr>
              <w:spacing w:after="0"/>
              <w:rPr>
                <w:sz w:val="13"/>
                <w:szCs w:val="13"/>
                <w:color w:val="auto"/>
              </w:rPr>
            </w:pPr>
          </w:p>
        </w:tc>
        <w:tc>
          <w:tcPr>
            <w:tcW w:w="720" w:type="dxa"/>
            <w:vAlign w:val="bottom"/>
            <w:shd w:val="clear" w:color="auto" w:fill="EAF9E8"/>
          </w:tcPr>
          <w:p>
            <w:pPr>
              <w:jc w:val="right"/>
              <w:ind w:right="112"/>
              <w:spacing w:after="0" w:line="159" w:lineRule="exact"/>
              <w:rPr>
                <w:sz w:val="20"/>
                <w:szCs w:val="20"/>
                <w:color w:val="auto"/>
              </w:rPr>
            </w:pPr>
            <w:r>
              <w:rPr>
                <w:rFonts w:ascii="Arial" w:cs="Arial" w:eastAsia="Arial" w:hAnsi="Arial"/>
                <w:sz w:val="14"/>
                <w:szCs w:val="14"/>
                <w:color w:val="auto"/>
              </w:rPr>
              <w:t>4,378</w:t>
            </w:r>
          </w:p>
        </w:tc>
        <w:tc>
          <w:tcPr>
            <w:tcW w:w="80" w:type="dxa"/>
            <w:vAlign w:val="bottom"/>
            <w:shd w:val="clear" w:color="auto" w:fill="EAF9E8"/>
          </w:tcPr>
          <w:p>
            <w:pPr>
              <w:spacing w:after="0"/>
              <w:rPr>
                <w:sz w:val="13"/>
                <w:szCs w:val="13"/>
                <w:color w:val="auto"/>
              </w:rPr>
            </w:pPr>
          </w:p>
        </w:tc>
        <w:tc>
          <w:tcPr>
            <w:tcW w:w="600" w:type="dxa"/>
            <w:vAlign w:val="bottom"/>
            <w:shd w:val="clear" w:color="auto" w:fill="EAF9E8"/>
          </w:tcPr>
          <w:p>
            <w:pPr>
              <w:jc w:val="right"/>
              <w:ind w:right="12"/>
              <w:spacing w:after="0" w:line="159" w:lineRule="exact"/>
              <w:rPr>
                <w:sz w:val="20"/>
                <w:szCs w:val="20"/>
                <w:color w:val="auto"/>
              </w:rPr>
            </w:pPr>
            <w:r>
              <w:rPr>
                <w:rFonts w:ascii="Arial" w:cs="Arial" w:eastAsia="Arial" w:hAnsi="Arial"/>
                <w:sz w:val="14"/>
                <w:szCs w:val="14"/>
                <w:color w:val="auto"/>
              </w:rPr>
              <w:t>559</w:t>
            </w:r>
          </w:p>
        </w:tc>
        <w:tc>
          <w:tcPr>
            <w:tcW w:w="100" w:type="dxa"/>
            <w:vAlign w:val="bottom"/>
            <w:shd w:val="clear" w:color="auto" w:fill="EAF9E8"/>
          </w:tcPr>
          <w:p>
            <w:pPr>
              <w:spacing w:after="0"/>
              <w:rPr>
                <w:sz w:val="13"/>
                <w:szCs w:val="13"/>
                <w:color w:val="auto"/>
              </w:rPr>
            </w:pPr>
          </w:p>
        </w:tc>
        <w:tc>
          <w:tcPr>
            <w:tcW w:w="62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1,872</w:t>
            </w:r>
          </w:p>
        </w:tc>
        <w:tc>
          <w:tcPr>
            <w:tcW w:w="6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520" w:type="dxa"/>
            <w:vAlign w:val="bottom"/>
            <w:shd w:val="clear" w:color="auto" w:fill="EAF9E8"/>
          </w:tcPr>
          <w:p>
            <w:pPr>
              <w:jc w:val="right"/>
              <w:ind w:right="12"/>
              <w:spacing w:after="0" w:line="159" w:lineRule="exact"/>
              <w:rPr>
                <w:sz w:val="20"/>
                <w:szCs w:val="20"/>
                <w:color w:val="auto"/>
              </w:rPr>
            </w:pPr>
            <w:r>
              <w:rPr>
                <w:rFonts w:ascii="Arial" w:cs="Arial" w:eastAsia="Arial" w:hAnsi="Arial"/>
                <w:sz w:val="14"/>
                <w:szCs w:val="14"/>
                <w:color w:val="auto"/>
              </w:rPr>
              <w:t>4,632</w:t>
            </w:r>
          </w:p>
        </w:tc>
        <w:tc>
          <w:tcPr>
            <w:tcW w:w="220" w:type="dxa"/>
            <w:vAlign w:val="bottom"/>
            <w:shd w:val="clear" w:color="auto" w:fill="EAF9E8"/>
          </w:tcPr>
          <w:p>
            <w:pPr>
              <w:spacing w:after="0"/>
              <w:rPr>
                <w:sz w:val="13"/>
                <w:szCs w:val="13"/>
                <w:color w:val="auto"/>
              </w:rPr>
            </w:pPr>
          </w:p>
        </w:tc>
        <w:tc>
          <w:tcPr>
            <w:tcW w:w="64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(1,268)</w:t>
            </w:r>
          </w:p>
        </w:tc>
        <w:tc>
          <w:tcPr>
            <w:tcW w:w="260" w:type="dxa"/>
            <w:vAlign w:val="bottom"/>
            <w:shd w:val="clear" w:color="auto" w:fill="EAF9E8"/>
          </w:tcPr>
          <w:p>
            <w:pPr>
              <w:spacing w:after="0"/>
              <w:rPr>
                <w:sz w:val="13"/>
                <w:szCs w:val="13"/>
                <w:color w:val="auto"/>
              </w:rPr>
            </w:pPr>
          </w:p>
        </w:tc>
        <w:tc>
          <w:tcPr>
            <w:tcW w:w="740" w:type="dxa"/>
            <w:vAlign w:val="bottom"/>
            <w:gridSpan w:val="2"/>
            <w:shd w:val="clear" w:color="auto" w:fill="EAF9E8"/>
          </w:tcPr>
          <w:p>
            <w:pPr>
              <w:jc w:val="right"/>
              <w:ind w:right="100"/>
              <w:spacing w:after="0" w:line="159" w:lineRule="exact"/>
              <w:rPr>
                <w:sz w:val="20"/>
                <w:szCs w:val="20"/>
                <w:color w:val="auto"/>
              </w:rPr>
            </w:pPr>
            <w:r>
              <w:rPr>
                <w:rFonts w:ascii="Arial" w:cs="Arial" w:eastAsia="Arial" w:hAnsi="Arial"/>
                <w:sz w:val="14"/>
                <w:szCs w:val="14"/>
                <w:color w:val="auto"/>
              </w:rPr>
              <w:t>44,334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40" w:type="dxa"/>
            <w:vAlign w:val="bottom"/>
          </w:tcPr>
          <w:p>
            <w:pPr>
              <w:spacing w:after="0" w:line="138" w:lineRule="exact"/>
              <w:rPr>
                <w:sz w:val="20"/>
                <w:szCs w:val="20"/>
                <w:color w:val="auto"/>
              </w:rPr>
            </w:pPr>
            <w:r>
              <w:rPr>
                <w:rFonts w:ascii="Arial" w:cs="Arial" w:eastAsia="Arial" w:hAnsi="Arial"/>
                <w:sz w:val="14"/>
                <w:szCs w:val="14"/>
                <w:color w:val="auto"/>
              </w:rPr>
              <w:t>Depreciation and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40" w:type="dxa"/>
            <w:vAlign w:val="bottom"/>
          </w:tcPr>
          <w:p>
            <w:pPr>
              <w:ind w:left="140"/>
              <w:spacing w:after="0"/>
              <w:rPr>
                <w:sz w:val="20"/>
                <w:szCs w:val="20"/>
                <w:color w:val="auto"/>
              </w:rPr>
            </w:pPr>
            <w:r>
              <w:rPr>
                <w:rFonts w:ascii="Arial" w:cs="Arial" w:eastAsia="Arial" w:hAnsi="Arial"/>
                <w:sz w:val="14"/>
                <w:szCs w:val="14"/>
                <w:color w:val="auto"/>
              </w:rPr>
              <w:t>amortization</w:t>
            </w:r>
          </w:p>
        </w:tc>
        <w:tc>
          <w:tcPr>
            <w:tcW w:w="80" w:type="dxa"/>
            <w:vAlign w:val="bottom"/>
          </w:tcPr>
          <w:p>
            <w:pPr>
              <w:spacing w:after="0"/>
              <w:rPr>
                <w:sz w:val="14"/>
                <w:szCs w:val="14"/>
                <w:color w:val="auto"/>
              </w:rPr>
            </w:pPr>
          </w:p>
        </w:tc>
        <w:tc>
          <w:tcPr>
            <w:tcW w:w="660" w:type="dxa"/>
            <w:vAlign w:val="bottom"/>
            <w:gridSpan w:val="3"/>
          </w:tcPr>
          <w:p>
            <w:pPr>
              <w:jc w:val="right"/>
              <w:ind w:right="52"/>
              <w:spacing w:after="0"/>
              <w:rPr>
                <w:sz w:val="20"/>
                <w:szCs w:val="20"/>
                <w:color w:val="auto"/>
              </w:rPr>
            </w:pPr>
            <w:r>
              <w:rPr>
                <w:rFonts w:ascii="Arial" w:cs="Arial" w:eastAsia="Arial" w:hAnsi="Arial"/>
                <w:sz w:val="14"/>
                <w:szCs w:val="14"/>
                <w:color w:val="auto"/>
              </w:rPr>
              <w:t>12,693</w:t>
            </w: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4,430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ind w:right="112"/>
              <w:spacing w:after="0"/>
              <w:rPr>
                <w:sz w:val="20"/>
                <w:szCs w:val="20"/>
                <w:color w:val="auto"/>
              </w:rPr>
            </w:pPr>
            <w:r>
              <w:rPr>
                <w:rFonts w:ascii="Arial" w:cs="Arial" w:eastAsia="Arial" w:hAnsi="Arial"/>
                <w:sz w:val="14"/>
                <w:szCs w:val="14"/>
                <w:color w:val="auto"/>
              </w:rPr>
              <w:t>2,575</w:t>
            </w:r>
          </w:p>
        </w:tc>
        <w:tc>
          <w:tcPr>
            <w:tcW w:w="80" w:type="dxa"/>
            <w:vAlign w:val="bottom"/>
          </w:tcPr>
          <w:p>
            <w:pPr>
              <w:spacing w:after="0"/>
              <w:rPr>
                <w:sz w:val="14"/>
                <w:szCs w:val="14"/>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713</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2"/>
              <w:spacing w:after="0"/>
              <w:rPr>
                <w:sz w:val="20"/>
                <w:szCs w:val="20"/>
                <w:color w:val="auto"/>
              </w:rPr>
            </w:pPr>
            <w:r>
              <w:rPr>
                <w:rFonts w:ascii="Arial" w:cs="Arial" w:eastAsia="Arial" w:hAnsi="Arial"/>
                <w:sz w:val="14"/>
                <w:szCs w:val="14"/>
                <w:color w:val="auto"/>
              </w:rPr>
              <w:t>1,907</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22,382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760" w:type="dxa"/>
            <w:vAlign w:val="bottom"/>
            <w:gridSpan w:val="2"/>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gridSpan w:val="2"/>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74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Total operating expenses</w:t>
            </w:r>
          </w:p>
        </w:tc>
        <w:tc>
          <w:tcPr>
            <w:tcW w:w="80" w:type="dxa"/>
            <w:vAlign w:val="bottom"/>
            <w:shd w:val="clear" w:color="auto" w:fill="EAF9E8"/>
          </w:tcPr>
          <w:p>
            <w:pPr>
              <w:spacing w:after="0"/>
              <w:rPr>
                <w:sz w:val="12"/>
                <w:szCs w:val="12"/>
                <w:color w:val="auto"/>
              </w:rPr>
            </w:pPr>
          </w:p>
        </w:tc>
        <w:tc>
          <w:tcPr>
            <w:tcW w:w="660" w:type="dxa"/>
            <w:vAlign w:val="bottom"/>
            <w:gridSpan w:val="3"/>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84,690</w:t>
            </w:r>
          </w:p>
        </w:tc>
        <w:tc>
          <w:tcPr>
            <w:tcW w:w="260" w:type="dxa"/>
            <w:vAlign w:val="bottom"/>
            <w:shd w:val="clear" w:color="auto" w:fill="EAF9E8"/>
          </w:tcPr>
          <w:p>
            <w:pPr>
              <w:spacing w:after="0"/>
              <w:rPr>
                <w:sz w:val="12"/>
                <w:szCs w:val="12"/>
                <w:color w:val="auto"/>
              </w:rPr>
            </w:pPr>
          </w:p>
        </w:tc>
        <w:tc>
          <w:tcPr>
            <w:tcW w:w="5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16,363</w:t>
            </w:r>
          </w:p>
        </w:tc>
        <w:tc>
          <w:tcPr>
            <w:tcW w:w="10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20" w:type="dxa"/>
            <w:vAlign w:val="bottom"/>
            <w:shd w:val="clear" w:color="auto" w:fill="EAF9E8"/>
          </w:tcPr>
          <w:p>
            <w:pPr>
              <w:jc w:val="right"/>
              <w:ind w:right="112"/>
              <w:spacing w:after="0" w:line="149" w:lineRule="exact"/>
              <w:rPr>
                <w:sz w:val="20"/>
                <w:szCs w:val="20"/>
                <w:color w:val="auto"/>
              </w:rPr>
            </w:pPr>
            <w:r>
              <w:rPr>
                <w:rFonts w:ascii="Arial" w:cs="Arial" w:eastAsia="Arial" w:hAnsi="Arial"/>
                <w:sz w:val="14"/>
                <w:szCs w:val="14"/>
                <w:color w:val="auto"/>
              </w:rPr>
              <w:t>13,736</w:t>
            </w: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2,686</w:t>
            </w:r>
          </w:p>
        </w:tc>
        <w:tc>
          <w:tcPr>
            <w:tcW w:w="100" w:type="dxa"/>
            <w:vAlign w:val="bottom"/>
            <w:shd w:val="clear" w:color="auto" w:fill="EAF9E8"/>
          </w:tcPr>
          <w:p>
            <w:pPr>
              <w:spacing w:after="0"/>
              <w:rPr>
                <w:sz w:val="12"/>
                <w:szCs w:val="12"/>
                <w:color w:val="auto"/>
              </w:rPr>
            </w:pPr>
          </w:p>
        </w:tc>
        <w:tc>
          <w:tcPr>
            <w:tcW w:w="6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1,936</w:t>
            </w:r>
          </w:p>
        </w:tc>
        <w:tc>
          <w:tcPr>
            <w:tcW w:w="6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52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w w:val="97"/>
              </w:rPr>
              <w:t>15,831</w:t>
            </w:r>
          </w:p>
        </w:tc>
        <w:tc>
          <w:tcPr>
            <w:tcW w:w="220" w:type="dxa"/>
            <w:vAlign w:val="bottom"/>
            <w:shd w:val="clear" w:color="auto" w:fill="EAF9E8"/>
          </w:tcPr>
          <w:p>
            <w:pPr>
              <w:spacing w:after="0"/>
              <w:rPr>
                <w:sz w:val="12"/>
                <w:szCs w:val="12"/>
                <w:color w:val="auto"/>
              </w:rPr>
            </w:pPr>
          </w:p>
        </w:tc>
        <w:tc>
          <w:tcPr>
            <w:tcW w:w="6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(8,227)</w:t>
            </w:r>
          </w:p>
        </w:tc>
        <w:tc>
          <w:tcPr>
            <w:tcW w:w="26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127,015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760" w:type="dxa"/>
            <w:vAlign w:val="bottom"/>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760" w:type="dxa"/>
            <w:vAlign w:val="bottom"/>
            <w:gridSpan w:val="2"/>
          </w:tcPr>
          <w:p>
            <w:pPr>
              <w:spacing w:after="0"/>
              <w:rPr>
                <w:sz w:val="20"/>
                <w:szCs w:val="20"/>
                <w:color w:val="auto"/>
              </w:rPr>
            </w:pPr>
            <w:r>
              <w:rPr>
                <w:rFonts w:ascii="Arial" w:cs="Arial" w:eastAsia="Arial" w:hAnsi="Arial"/>
                <w:sz w:val="14"/>
                <w:szCs w:val="14"/>
                <w:color w:val="auto"/>
              </w:rPr>
              <w:t>Operating income (loss)</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52"/>
              <w:spacing w:after="0"/>
              <w:rPr>
                <w:sz w:val="20"/>
                <w:szCs w:val="20"/>
                <w:color w:val="auto"/>
              </w:rPr>
            </w:pPr>
            <w:r>
              <w:rPr>
                <w:rFonts w:ascii="Arial" w:cs="Arial" w:eastAsia="Arial" w:hAnsi="Arial"/>
                <w:sz w:val="14"/>
                <w:szCs w:val="14"/>
                <w:color w:val="auto"/>
                <w:w w:val="96"/>
              </w:rPr>
              <w:t>9,729</w:t>
            </w:r>
          </w:p>
        </w:tc>
        <w:tc>
          <w:tcPr>
            <w:tcW w:w="2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12,631</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(3,914)</w:t>
            </w:r>
          </w:p>
        </w:tc>
        <w:tc>
          <w:tcPr>
            <w:tcW w:w="80" w:type="dxa"/>
            <w:vAlign w:val="bottom"/>
          </w:tcPr>
          <w:p>
            <w:pPr>
              <w:spacing w:after="0"/>
              <w:rPr>
                <w:sz w:val="22"/>
                <w:szCs w:val="22"/>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1,993</w:t>
            </w:r>
          </w:p>
        </w:tc>
        <w:tc>
          <w:tcPr>
            <w:tcW w:w="10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(1,936)</w:t>
            </w:r>
          </w:p>
        </w:tc>
        <w:tc>
          <w:tcPr>
            <w:tcW w:w="100" w:type="dxa"/>
            <w:vAlign w:val="bottom"/>
          </w:tcPr>
          <w:p>
            <w:pPr>
              <w:spacing w:after="0"/>
              <w:rPr>
                <w:sz w:val="22"/>
                <w:szCs w:val="22"/>
                <w:color w:val="auto"/>
              </w:rPr>
            </w:pPr>
          </w:p>
        </w:tc>
        <w:tc>
          <w:tcPr>
            <w:tcW w:w="520" w:type="dxa"/>
            <w:vAlign w:val="bottom"/>
          </w:tcPr>
          <w:p>
            <w:pPr>
              <w:jc w:val="right"/>
              <w:ind w:right="12"/>
              <w:spacing w:after="0"/>
              <w:rPr>
                <w:sz w:val="20"/>
                <w:szCs w:val="20"/>
                <w:color w:val="auto"/>
              </w:rPr>
            </w:pPr>
            <w:r>
              <w:rPr>
                <w:rFonts w:ascii="Arial" w:cs="Arial" w:eastAsia="Arial" w:hAnsi="Arial"/>
                <w:sz w:val="14"/>
                <w:szCs w:val="14"/>
                <w:color w:val="auto"/>
              </w:rPr>
              <w:t>873</w:t>
            </w:r>
          </w:p>
        </w:tc>
        <w:tc>
          <w:tcPr>
            <w:tcW w:w="2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19,376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740" w:type="dxa"/>
            <w:vAlign w:val="bottom"/>
            <w:shd w:val="clear" w:color="auto" w:fill="EAF9E8"/>
          </w:tcPr>
          <w:p>
            <w:pPr>
              <w:spacing w:after="0" w:line="138" w:lineRule="exact"/>
              <w:rPr>
                <w:sz w:val="20"/>
                <w:szCs w:val="20"/>
                <w:color w:val="auto"/>
              </w:rPr>
            </w:pPr>
            <w:r>
              <w:rPr>
                <w:rFonts w:ascii="Arial" w:cs="Arial" w:eastAsia="Arial" w:hAnsi="Arial"/>
                <w:sz w:val="14"/>
                <w:szCs w:val="14"/>
                <w:color w:val="auto"/>
              </w:rPr>
              <w:t>Non-operating income</w:t>
            </w:r>
          </w:p>
        </w:tc>
        <w:tc>
          <w:tcPr>
            <w:tcW w:w="8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480" w:type="dxa"/>
            <w:vAlign w:val="bottom"/>
            <w:shd w:val="clear" w:color="auto" w:fill="EAF9E8"/>
          </w:tcPr>
          <w:p>
            <w:pPr>
              <w:spacing w:after="0"/>
              <w:rPr>
                <w:sz w:val="11"/>
                <w:szCs w:val="11"/>
                <w:color w:val="auto"/>
              </w:rPr>
            </w:pPr>
          </w:p>
        </w:tc>
        <w:tc>
          <w:tcPr>
            <w:tcW w:w="260" w:type="dxa"/>
            <w:vAlign w:val="bottom"/>
            <w:shd w:val="clear" w:color="auto" w:fill="EAF9E8"/>
          </w:tcPr>
          <w:p>
            <w:pPr>
              <w:spacing w:after="0"/>
              <w:rPr>
                <w:sz w:val="11"/>
                <w:szCs w:val="11"/>
                <w:color w:val="auto"/>
              </w:rPr>
            </w:pPr>
          </w:p>
        </w:tc>
        <w:tc>
          <w:tcPr>
            <w:tcW w:w="5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6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62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5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640" w:type="dxa"/>
            <w:vAlign w:val="bottom"/>
            <w:shd w:val="clear" w:color="auto" w:fill="EAF9E8"/>
          </w:tcPr>
          <w:p>
            <w:pPr>
              <w:spacing w:after="0"/>
              <w:rPr>
                <w:sz w:val="11"/>
                <w:szCs w:val="11"/>
                <w:color w:val="auto"/>
              </w:rPr>
            </w:pPr>
          </w:p>
        </w:tc>
        <w:tc>
          <w:tcPr>
            <w:tcW w:w="260" w:type="dxa"/>
            <w:vAlign w:val="bottom"/>
            <w:shd w:val="clear" w:color="auto" w:fill="EAF9E8"/>
          </w:tcPr>
          <w:p>
            <w:pPr>
              <w:spacing w:after="0"/>
              <w:rPr>
                <w:sz w:val="11"/>
                <w:szCs w:val="11"/>
                <w:color w:val="auto"/>
              </w:rPr>
            </w:pPr>
          </w:p>
        </w:tc>
        <w:tc>
          <w:tcPr>
            <w:tcW w:w="60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40" w:type="dxa"/>
            <w:vAlign w:val="bottom"/>
            <w:shd w:val="clear" w:color="auto" w:fill="EAF9E8"/>
          </w:tcPr>
          <w:p>
            <w:pPr>
              <w:ind w:left="140"/>
              <w:spacing w:after="0" w:line="159" w:lineRule="exact"/>
              <w:rPr>
                <w:sz w:val="20"/>
                <w:szCs w:val="20"/>
                <w:color w:val="auto"/>
              </w:rPr>
            </w:pPr>
            <w:r>
              <w:rPr>
                <w:rFonts w:ascii="Arial" w:cs="Arial" w:eastAsia="Arial" w:hAnsi="Arial"/>
                <w:sz w:val="14"/>
                <w:szCs w:val="14"/>
                <w:color w:val="auto"/>
              </w:rPr>
              <w:t>(expense)</w:t>
            </w:r>
          </w:p>
        </w:tc>
        <w:tc>
          <w:tcPr>
            <w:tcW w:w="80" w:type="dxa"/>
            <w:vAlign w:val="bottom"/>
            <w:shd w:val="clear" w:color="auto" w:fill="EAF9E8"/>
          </w:tcPr>
          <w:p>
            <w:pPr>
              <w:spacing w:after="0"/>
              <w:rPr>
                <w:sz w:val="13"/>
                <w:szCs w:val="13"/>
                <w:color w:val="auto"/>
              </w:rPr>
            </w:pPr>
          </w:p>
        </w:tc>
        <w:tc>
          <w:tcPr>
            <w:tcW w:w="8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480" w:type="dxa"/>
            <w:vAlign w:val="bottom"/>
            <w:shd w:val="clear" w:color="auto" w:fill="EAF9E8"/>
          </w:tcPr>
          <w:p>
            <w:pPr>
              <w:jc w:val="right"/>
              <w:ind w:right="52"/>
              <w:spacing w:after="0" w:line="159" w:lineRule="exact"/>
              <w:rPr>
                <w:sz w:val="20"/>
                <w:szCs w:val="20"/>
                <w:color w:val="auto"/>
              </w:rPr>
            </w:pPr>
            <w:r>
              <w:rPr>
                <w:rFonts w:ascii="Arial" w:cs="Arial" w:eastAsia="Arial" w:hAnsi="Arial"/>
                <w:sz w:val="14"/>
                <w:szCs w:val="14"/>
                <w:color w:val="auto"/>
              </w:rPr>
              <w:t>11</w:t>
            </w:r>
          </w:p>
        </w:tc>
        <w:tc>
          <w:tcPr>
            <w:tcW w:w="260" w:type="dxa"/>
            <w:vAlign w:val="bottom"/>
            <w:shd w:val="clear" w:color="auto" w:fill="EAF9E8"/>
          </w:tcPr>
          <w:p>
            <w:pPr>
              <w:spacing w:after="0"/>
              <w:rPr>
                <w:sz w:val="13"/>
                <w:szCs w:val="13"/>
                <w:color w:val="auto"/>
              </w:rPr>
            </w:pPr>
          </w:p>
        </w:tc>
        <w:tc>
          <w:tcPr>
            <w:tcW w:w="54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687</w:t>
            </w:r>
          </w:p>
        </w:tc>
        <w:tc>
          <w:tcPr>
            <w:tcW w:w="100" w:type="dxa"/>
            <w:vAlign w:val="bottom"/>
            <w:shd w:val="clear" w:color="auto" w:fill="EAF9E8"/>
          </w:tcPr>
          <w:p>
            <w:pPr>
              <w:spacing w:after="0"/>
              <w:rPr>
                <w:sz w:val="13"/>
                <w:szCs w:val="13"/>
                <w:color w:val="auto"/>
              </w:rPr>
            </w:pPr>
          </w:p>
        </w:tc>
        <w:tc>
          <w:tcPr>
            <w:tcW w:w="60" w:type="dxa"/>
            <w:vAlign w:val="bottom"/>
            <w:shd w:val="clear" w:color="auto" w:fill="EAF9E8"/>
          </w:tcPr>
          <w:p>
            <w:pPr>
              <w:spacing w:after="0"/>
              <w:rPr>
                <w:sz w:val="13"/>
                <w:szCs w:val="13"/>
                <w:color w:val="auto"/>
              </w:rPr>
            </w:pPr>
          </w:p>
        </w:tc>
        <w:tc>
          <w:tcPr>
            <w:tcW w:w="720" w:type="dxa"/>
            <w:vAlign w:val="bottom"/>
            <w:shd w:val="clear" w:color="auto" w:fill="EAF9E8"/>
          </w:tcPr>
          <w:p>
            <w:pPr>
              <w:jc w:val="right"/>
              <w:ind w:right="112"/>
              <w:spacing w:after="0" w:line="159" w:lineRule="exact"/>
              <w:rPr>
                <w:sz w:val="20"/>
                <w:szCs w:val="20"/>
                <w:color w:val="auto"/>
              </w:rPr>
            </w:pPr>
            <w:r>
              <w:rPr>
                <w:rFonts w:ascii="Arial" w:cs="Arial" w:eastAsia="Arial" w:hAnsi="Arial"/>
                <w:sz w:val="14"/>
                <w:szCs w:val="14"/>
                <w:color w:val="auto"/>
              </w:rPr>
              <w:t>38</w:t>
            </w:r>
          </w:p>
        </w:tc>
        <w:tc>
          <w:tcPr>
            <w:tcW w:w="80" w:type="dxa"/>
            <w:vAlign w:val="bottom"/>
            <w:shd w:val="clear" w:color="auto" w:fill="EAF9E8"/>
          </w:tcPr>
          <w:p>
            <w:pPr>
              <w:spacing w:after="0"/>
              <w:rPr>
                <w:sz w:val="13"/>
                <w:szCs w:val="13"/>
                <w:color w:val="auto"/>
              </w:rPr>
            </w:pPr>
          </w:p>
        </w:tc>
        <w:tc>
          <w:tcPr>
            <w:tcW w:w="600" w:type="dxa"/>
            <w:vAlign w:val="bottom"/>
            <w:shd w:val="clear" w:color="auto" w:fill="EAF9E8"/>
          </w:tcPr>
          <w:p>
            <w:pPr>
              <w:jc w:val="right"/>
              <w:ind w:right="12"/>
              <w:spacing w:after="0" w:line="159" w:lineRule="exact"/>
              <w:rPr>
                <w:sz w:val="20"/>
                <w:szCs w:val="20"/>
                <w:color w:val="auto"/>
              </w:rPr>
            </w:pPr>
            <w:r>
              <w:rPr>
                <w:rFonts w:ascii="Arial" w:cs="Arial" w:eastAsia="Arial" w:hAnsi="Arial"/>
                <w:sz w:val="14"/>
                <w:szCs w:val="14"/>
                <w:color w:val="auto"/>
              </w:rPr>
              <w:t>166</w:t>
            </w:r>
          </w:p>
        </w:tc>
        <w:tc>
          <w:tcPr>
            <w:tcW w:w="100" w:type="dxa"/>
            <w:vAlign w:val="bottom"/>
            <w:shd w:val="clear" w:color="auto" w:fill="EAF9E8"/>
          </w:tcPr>
          <w:p>
            <w:pPr>
              <w:spacing w:after="0"/>
              <w:rPr>
                <w:sz w:val="13"/>
                <w:szCs w:val="13"/>
                <w:color w:val="auto"/>
              </w:rPr>
            </w:pPr>
          </w:p>
        </w:tc>
        <w:tc>
          <w:tcPr>
            <w:tcW w:w="62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3,710</w:t>
            </w:r>
          </w:p>
        </w:tc>
        <w:tc>
          <w:tcPr>
            <w:tcW w:w="6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520" w:type="dxa"/>
            <w:vAlign w:val="bottom"/>
            <w:shd w:val="clear" w:color="auto" w:fill="EAF9E8"/>
          </w:tcPr>
          <w:p>
            <w:pPr>
              <w:jc w:val="right"/>
              <w:ind w:right="12"/>
              <w:spacing w:after="0" w:line="159" w:lineRule="exact"/>
              <w:rPr>
                <w:sz w:val="20"/>
                <w:szCs w:val="20"/>
                <w:color w:val="auto"/>
              </w:rPr>
            </w:pPr>
            <w:r>
              <w:rPr>
                <w:rFonts w:ascii="Arial" w:cs="Arial" w:eastAsia="Arial" w:hAnsi="Arial"/>
                <w:sz w:val="14"/>
                <w:szCs w:val="14"/>
                <w:color w:val="auto"/>
              </w:rPr>
              <w:t>40</w:t>
            </w:r>
          </w:p>
        </w:tc>
        <w:tc>
          <w:tcPr>
            <w:tcW w:w="220" w:type="dxa"/>
            <w:vAlign w:val="bottom"/>
            <w:shd w:val="clear" w:color="auto" w:fill="EAF9E8"/>
          </w:tcPr>
          <w:p>
            <w:pPr>
              <w:spacing w:after="0"/>
              <w:rPr>
                <w:sz w:val="13"/>
                <w:szCs w:val="13"/>
                <w:color w:val="auto"/>
              </w:rPr>
            </w:pPr>
          </w:p>
        </w:tc>
        <w:tc>
          <w:tcPr>
            <w:tcW w:w="64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(3,501)</w:t>
            </w:r>
          </w:p>
        </w:tc>
        <w:tc>
          <w:tcPr>
            <w:tcW w:w="260" w:type="dxa"/>
            <w:vAlign w:val="bottom"/>
            <w:shd w:val="clear" w:color="auto" w:fill="EAF9E8"/>
          </w:tcPr>
          <w:p>
            <w:pPr>
              <w:spacing w:after="0"/>
              <w:rPr>
                <w:sz w:val="13"/>
                <w:szCs w:val="13"/>
                <w:color w:val="auto"/>
              </w:rPr>
            </w:pPr>
          </w:p>
        </w:tc>
        <w:tc>
          <w:tcPr>
            <w:tcW w:w="740" w:type="dxa"/>
            <w:vAlign w:val="bottom"/>
            <w:gridSpan w:val="2"/>
            <w:shd w:val="clear" w:color="auto" w:fill="EAF9E8"/>
          </w:tcPr>
          <w:p>
            <w:pPr>
              <w:jc w:val="right"/>
              <w:ind w:right="100"/>
              <w:spacing w:after="0" w:line="159" w:lineRule="exact"/>
              <w:rPr>
                <w:sz w:val="20"/>
                <w:szCs w:val="20"/>
                <w:color w:val="auto"/>
              </w:rPr>
            </w:pPr>
            <w:r>
              <w:rPr>
                <w:rFonts w:ascii="Arial" w:cs="Arial" w:eastAsia="Arial" w:hAnsi="Arial"/>
                <w:sz w:val="14"/>
                <w:szCs w:val="14"/>
                <w:color w:val="auto"/>
              </w:rPr>
              <w:t>1,151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85"/>
              </w:rPr>
              <w:t>(1,720)</w:t>
            </w:r>
          </w:p>
        </w:tc>
        <w:tc>
          <w:tcPr>
            <w:tcW w:w="2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(320)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(982)</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(273)</w:t>
            </w:r>
          </w:p>
        </w:tc>
        <w:tc>
          <w:tcPr>
            <w:tcW w:w="10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(2,746)</w:t>
            </w: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(536)</w:t>
            </w: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3,501</w:t>
            </w:r>
          </w:p>
        </w:tc>
        <w:tc>
          <w:tcPr>
            <w:tcW w:w="26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Income taxes</w:t>
            </w:r>
          </w:p>
        </w:tc>
        <w:tc>
          <w:tcPr>
            <w:tcW w:w="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w w:val="85"/>
              </w:rPr>
              <w:t>(2,658)</w:t>
            </w:r>
          </w:p>
        </w:tc>
        <w:tc>
          <w:tcPr>
            <w:tcW w:w="260" w:type="dxa"/>
            <w:vAlign w:val="bottom"/>
            <w:shd w:val="clear" w:color="auto" w:fill="EAF9E8"/>
          </w:tcPr>
          <w:p>
            <w:pPr>
              <w:spacing w:after="0"/>
              <w:rPr>
                <w:sz w:val="12"/>
                <w:szCs w:val="12"/>
                <w:color w:val="auto"/>
              </w:rPr>
            </w:pPr>
          </w:p>
        </w:tc>
        <w:tc>
          <w:tcPr>
            <w:tcW w:w="5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(5,148)</w:t>
            </w:r>
          </w:p>
        </w:tc>
        <w:tc>
          <w:tcPr>
            <w:tcW w:w="10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20" w:type="dxa"/>
            <w:vAlign w:val="bottom"/>
            <w:shd w:val="clear" w:color="auto" w:fill="EAF9E8"/>
          </w:tcPr>
          <w:p>
            <w:pPr>
              <w:jc w:val="right"/>
              <w:ind w:right="112"/>
              <w:spacing w:after="0" w:line="149" w:lineRule="exact"/>
              <w:rPr>
                <w:sz w:val="20"/>
                <w:szCs w:val="20"/>
                <w:color w:val="auto"/>
              </w:rPr>
            </w:pPr>
            <w:r>
              <w:rPr>
                <w:rFonts w:ascii="Arial" w:cs="Arial" w:eastAsia="Arial" w:hAnsi="Arial"/>
                <w:sz w:val="14"/>
                <w:szCs w:val="14"/>
                <w:color w:val="auto"/>
              </w:rPr>
              <w:t>1,557</w:t>
            </w: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(750)</w:t>
            </w:r>
          </w:p>
        </w:tc>
        <w:tc>
          <w:tcPr>
            <w:tcW w:w="100" w:type="dxa"/>
            <w:vAlign w:val="bottom"/>
            <w:shd w:val="clear" w:color="auto" w:fill="EAF9E8"/>
          </w:tcPr>
          <w:p>
            <w:pPr>
              <w:spacing w:after="0"/>
              <w:rPr>
                <w:sz w:val="12"/>
                <w:szCs w:val="12"/>
                <w:color w:val="auto"/>
              </w:rPr>
            </w:pPr>
          </w:p>
        </w:tc>
        <w:tc>
          <w:tcPr>
            <w:tcW w:w="6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895</w:t>
            </w:r>
          </w:p>
        </w:tc>
        <w:tc>
          <w:tcPr>
            <w:tcW w:w="6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5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(612)</w:t>
            </w:r>
          </w:p>
        </w:tc>
        <w:tc>
          <w:tcPr>
            <w:tcW w:w="220" w:type="dxa"/>
            <w:vAlign w:val="bottom"/>
            <w:shd w:val="clear" w:color="auto" w:fill="EAF9E8"/>
          </w:tcPr>
          <w:p>
            <w:pPr>
              <w:spacing w:after="0"/>
              <w:rPr>
                <w:sz w:val="12"/>
                <w:szCs w:val="12"/>
                <w:color w:val="auto"/>
              </w:rPr>
            </w:pPr>
          </w:p>
        </w:tc>
        <w:tc>
          <w:tcPr>
            <w:tcW w:w="6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60"/>
              <w:spacing w:after="0" w:line="149" w:lineRule="exact"/>
              <w:rPr>
                <w:sz w:val="20"/>
                <w:szCs w:val="20"/>
                <w:color w:val="auto"/>
              </w:rPr>
            </w:pPr>
            <w:r>
              <w:rPr>
                <w:rFonts w:ascii="Arial" w:cs="Arial" w:eastAsia="Arial" w:hAnsi="Arial"/>
                <w:sz w:val="14"/>
                <w:szCs w:val="14"/>
                <w:color w:val="auto"/>
              </w:rPr>
              <w:t>(6,716)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760" w:type="dxa"/>
            <w:vAlign w:val="bottom"/>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76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52"/>
              <w:spacing w:after="0"/>
              <w:rPr>
                <w:sz w:val="20"/>
                <w:szCs w:val="20"/>
                <w:color w:val="auto"/>
              </w:rPr>
            </w:pPr>
            <w:r>
              <w:rPr>
                <w:rFonts w:ascii="Arial" w:cs="Arial" w:eastAsia="Arial" w:hAnsi="Arial"/>
                <w:sz w:val="14"/>
                <w:szCs w:val="14"/>
                <w:color w:val="auto"/>
                <w:w w:val="96"/>
              </w:rPr>
              <w:t>5,362</w:t>
            </w:r>
          </w:p>
        </w:tc>
        <w:tc>
          <w:tcPr>
            <w:tcW w:w="2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7,850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 w:type="dxa"/>
            <w:vAlign w:val="bottom"/>
          </w:tcPr>
          <w:p>
            <w:pPr>
              <w:spacing w:after="0"/>
              <w:rPr>
                <w:sz w:val="22"/>
                <w:szCs w:val="22"/>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(3,301)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1,136</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(235)</w:t>
            </w:r>
          </w:p>
        </w:tc>
        <w:tc>
          <w:tcPr>
            <w:tcW w:w="2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10,735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1760" w:type="dxa"/>
            <w:vAlign w:val="bottom"/>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74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3"/>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81,796</w:t>
            </w:r>
          </w:p>
        </w:tc>
        <w:tc>
          <w:tcPr>
            <w:tcW w:w="260" w:type="dxa"/>
            <w:vAlign w:val="bottom"/>
            <w:shd w:val="clear" w:color="auto" w:fill="EAF9E8"/>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59,873</w:t>
            </w:r>
          </w:p>
        </w:tc>
        <w:tc>
          <w:tcPr>
            <w:tcW w:w="1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60" w:type="dxa"/>
            <w:vAlign w:val="bottom"/>
            <w:shd w:val="clear" w:color="auto" w:fill="EAF9E8"/>
          </w:tcPr>
          <w:p>
            <w:pPr>
              <w:spacing w:after="0"/>
              <w:rPr>
                <w:sz w:val="12"/>
                <w:szCs w:val="12"/>
                <w:color w:val="auto"/>
              </w:rPr>
            </w:pPr>
          </w:p>
        </w:tc>
        <w:tc>
          <w:tcPr>
            <w:tcW w:w="720" w:type="dxa"/>
            <w:vAlign w:val="bottom"/>
            <w:shd w:val="clear" w:color="auto" w:fill="EAF9E8"/>
          </w:tcPr>
          <w:p>
            <w:pPr>
              <w:jc w:val="right"/>
              <w:ind w:right="112"/>
              <w:spacing w:after="0" w:line="149" w:lineRule="exact"/>
              <w:rPr>
                <w:sz w:val="20"/>
                <w:szCs w:val="20"/>
                <w:color w:val="auto"/>
              </w:rPr>
            </w:pPr>
            <w:r>
              <w:rPr>
                <w:rFonts w:ascii="Arial" w:cs="Arial" w:eastAsia="Arial" w:hAnsi="Arial"/>
                <w:sz w:val="14"/>
                <w:szCs w:val="14"/>
                <w:color w:val="auto"/>
              </w:rPr>
              <w:t>27,107</w:t>
            </w:r>
          </w:p>
        </w:tc>
        <w:tc>
          <w:tcPr>
            <w:tcW w:w="8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20,039</w:t>
            </w:r>
          </w:p>
        </w:tc>
        <w:tc>
          <w:tcPr>
            <w:tcW w:w="1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143,308</w:t>
            </w:r>
          </w:p>
        </w:tc>
        <w:tc>
          <w:tcPr>
            <w:tcW w:w="60" w:type="dxa"/>
            <w:vAlign w:val="bottom"/>
            <w:shd w:val="clear" w:color="auto" w:fill="EAF9E8"/>
          </w:tcPr>
          <w:p>
            <w:pPr>
              <w:spacing w:after="0"/>
              <w:rPr>
                <w:sz w:val="12"/>
                <w:szCs w:val="12"/>
                <w:color w:val="auto"/>
              </w:rPr>
            </w:pPr>
          </w:p>
        </w:tc>
        <w:tc>
          <w:tcPr>
            <w:tcW w:w="100" w:type="dxa"/>
            <w:vAlign w:val="bottom"/>
            <w:shd w:val="clear" w:color="auto" w:fill="EAF9E8"/>
          </w:tcPr>
          <w:p>
            <w:pPr>
              <w:ind w:left="2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w w:val="97"/>
              </w:rPr>
              <w:t>23,154</w:t>
            </w:r>
          </w:p>
        </w:tc>
        <w:tc>
          <w:tcPr>
            <w:tcW w:w="220" w:type="dxa"/>
            <w:vAlign w:val="bottom"/>
            <w:shd w:val="clear" w:color="auto" w:fill="EAF9E8"/>
          </w:tcPr>
          <w:p>
            <w:pPr>
              <w:jc w:val="right"/>
              <w:ind w:right="97"/>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(150,356)</w:t>
            </w:r>
          </w:p>
        </w:tc>
        <w:tc>
          <w:tcPr>
            <w:tcW w:w="260" w:type="dxa"/>
            <w:vAlign w:val="bottom"/>
            <w:shd w:val="clear" w:color="auto" w:fill="EAF9E8"/>
          </w:tcPr>
          <w:p>
            <w:pPr>
              <w:jc w:val="right"/>
              <w:ind w:right="112"/>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204,921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60" w:type="dxa"/>
            <w:vAlign w:val="bottom"/>
            <w:tcBorders>
              <w:bottom w:val="single" w:sz="8" w:color="808080"/>
            </w:tcBorders>
            <w:gridSpan w:val="2"/>
          </w:tcPr>
          <w:p>
            <w:pPr>
              <w:spacing w:after="0"/>
              <w:rPr>
                <w:sz w:val="10"/>
                <w:szCs w:val="10"/>
                <w:color w:val="auto"/>
              </w:rPr>
            </w:pPr>
          </w:p>
        </w:tc>
        <w:tc>
          <w:tcPr>
            <w:tcW w:w="2260" w:type="dxa"/>
            <w:vAlign w:val="bottom"/>
            <w:tcBorders>
              <w:bottom w:val="single" w:sz="8" w:color="808080"/>
            </w:tcBorders>
            <w:gridSpan w:val="7"/>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562"/>
        </w:trPr>
        <w:tc>
          <w:tcPr>
            <w:tcW w:w="20" w:type="dxa"/>
            <w:vAlign w:val="bottom"/>
          </w:tcPr>
          <w:p>
            <w:pPr>
              <w:spacing w:after="0"/>
              <w:rPr>
                <w:sz w:val="24"/>
                <w:szCs w:val="24"/>
                <w:color w:val="auto"/>
              </w:rPr>
            </w:pPr>
          </w:p>
        </w:tc>
        <w:tc>
          <w:tcPr>
            <w:tcW w:w="4160" w:type="dxa"/>
            <w:vAlign w:val="bottom"/>
            <w:gridSpan w:val="10"/>
          </w:tcPr>
          <w:p>
            <w:pPr>
              <w:jc w:val="right"/>
              <w:ind w:right="72"/>
              <w:spacing w:after="0"/>
              <w:rPr>
                <w:sz w:val="20"/>
                <w:szCs w:val="20"/>
                <w:color w:val="auto"/>
              </w:rPr>
            </w:pPr>
            <w:r>
              <w:rPr>
                <w:rFonts w:ascii="Arial" w:cs="Arial" w:eastAsia="Arial" w:hAnsi="Arial"/>
                <w:sz w:val="18"/>
                <w:szCs w:val="18"/>
                <w:color w:val="auto"/>
              </w:rPr>
              <w:t>Year Ended December 31, 2004 (Restated)</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17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gridSpan w:val="3"/>
          </w:tcPr>
          <w:p>
            <w:pPr>
              <w:jc w:val="center"/>
              <w:ind w:right="32"/>
              <w:spacing w:after="0"/>
              <w:rPr>
                <w:sz w:val="20"/>
                <w:szCs w:val="20"/>
                <w:color w:val="auto"/>
              </w:rPr>
            </w:pPr>
            <w:r>
              <w:rPr>
                <w:rFonts w:ascii="Arial" w:cs="Arial" w:eastAsia="Arial" w:hAnsi="Arial"/>
                <w:sz w:val="14"/>
                <w:szCs w:val="14"/>
                <w:b w:val="1"/>
                <w:bCs w:val="1"/>
                <w:color w:val="auto"/>
                <w:w w:val="84"/>
              </w:rPr>
              <w:t>Converged</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52"/>
              <w:spacing w:after="0" w:line="149" w:lineRule="exact"/>
              <w:rPr>
                <w:sz w:val="20"/>
                <w:szCs w:val="20"/>
                <w:color w:val="auto"/>
              </w:rPr>
            </w:pPr>
            <w:r>
              <w:rPr>
                <w:rFonts w:ascii="Arial" w:cs="Arial" w:eastAsia="Arial" w:hAnsi="Arial"/>
                <w:sz w:val="14"/>
                <w:szCs w:val="14"/>
                <w:b w:val="1"/>
                <w:bCs w:val="1"/>
                <w:color w:val="auto"/>
                <w:w w:val="83"/>
              </w:rPr>
              <w:t>Services</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132"/>
              <w:spacing w:after="0"/>
              <w:rPr>
                <w:sz w:val="20"/>
                <w:szCs w:val="20"/>
                <w:color w:val="auto"/>
              </w:rPr>
            </w:pPr>
            <w:r>
              <w:rPr>
                <w:rFonts w:ascii="Arial" w:cs="Arial" w:eastAsia="Arial" w:hAnsi="Arial"/>
                <w:sz w:val="14"/>
                <w:szCs w:val="14"/>
                <w:b w:val="1"/>
                <w:bCs w:val="1"/>
                <w:color w:val="auto"/>
                <w:w w:val="90"/>
              </w:rPr>
              <w:t>PCS</w:t>
            </w:r>
          </w:p>
        </w:tc>
        <w:tc>
          <w:tcPr>
            <w:tcW w:w="8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w w:val="94"/>
              </w:rPr>
              <w:t>Telephone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center"/>
              <w:ind w:right="212"/>
              <w:spacing w:after="0"/>
              <w:rPr>
                <w:sz w:val="20"/>
                <w:szCs w:val="20"/>
                <w:color w:val="auto"/>
              </w:rPr>
            </w:pPr>
            <w:r>
              <w:rPr>
                <w:rFonts w:ascii="Arial" w:cs="Arial" w:eastAsia="Arial" w:hAnsi="Arial"/>
                <w:sz w:val="14"/>
                <w:szCs w:val="14"/>
                <w:b w:val="1"/>
                <w:bCs w:val="1"/>
                <w:color w:val="auto"/>
                <w:w w:val="94"/>
              </w:rPr>
              <w:t>(NTC)</w:t>
            </w:r>
          </w:p>
        </w:tc>
        <w:tc>
          <w:tcPr>
            <w:tcW w:w="68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w w:val="94"/>
              </w:rPr>
              <w:t>Mobile</w:t>
            </w:r>
          </w:p>
        </w:tc>
        <w:tc>
          <w:tcPr>
            <w:tcW w:w="72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w w:val="92"/>
              </w:rPr>
              <w:t>Holding</w:t>
            </w:r>
          </w:p>
        </w:tc>
        <w:tc>
          <w:tcPr>
            <w:tcW w:w="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Other</w:t>
            </w:r>
          </w:p>
        </w:tc>
        <w:tc>
          <w:tcPr>
            <w:tcW w:w="8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88"/>
              </w:rPr>
              <w:t>Eliminations</w:t>
            </w:r>
          </w:p>
        </w:tc>
        <w:tc>
          <w:tcPr>
            <w:tcW w:w="260" w:type="dxa"/>
            <w:vAlign w:val="bottom"/>
          </w:tcPr>
          <w:p>
            <w:pPr>
              <w:spacing w:after="0"/>
              <w:rPr>
                <w:sz w:val="15"/>
                <w:szCs w:val="15"/>
                <w:color w:val="auto"/>
              </w:rPr>
            </w:pPr>
          </w:p>
        </w:tc>
        <w:tc>
          <w:tcPr>
            <w:tcW w:w="7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Totals</w:t>
            </w:r>
          </w:p>
        </w:tc>
        <w:tc>
          <w:tcPr>
            <w:tcW w:w="0" w:type="dxa"/>
            <w:vAlign w:val="bottom"/>
          </w:tcPr>
          <w:p>
            <w:pPr>
              <w:spacing w:after="0"/>
              <w:rPr>
                <w:sz w:val="1"/>
                <w:szCs w:val="1"/>
                <w:color w:val="auto"/>
              </w:rPr>
            </w:pPr>
          </w:p>
        </w:tc>
      </w:tr>
      <w:tr>
        <w:trPr>
          <w:trHeight w:val="95"/>
        </w:trPr>
        <w:tc>
          <w:tcPr>
            <w:tcW w:w="176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74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External Revenues</w:t>
            </w:r>
          </w:p>
        </w:tc>
        <w:tc>
          <w:tcPr>
            <w:tcW w:w="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5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52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Service revenues</w:t>
            </w:r>
          </w:p>
        </w:tc>
        <w:tc>
          <w:tcPr>
            <w:tcW w:w="80" w:type="dxa"/>
            <w:vAlign w:val="bottom"/>
          </w:tcPr>
          <w:p>
            <w:pPr>
              <w:spacing w:after="0"/>
              <w:rPr>
                <w:sz w:val="12"/>
                <w:szCs w:val="12"/>
                <w:color w:val="auto"/>
              </w:rPr>
            </w:pP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88"/>
              </w:rPr>
              <w:t>52,724</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6,403</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731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1"/>
              </w:rPr>
              <w:t>9,589</w:t>
            </w:r>
          </w:p>
        </w:tc>
        <w:tc>
          <w:tcPr>
            <w:tcW w:w="220" w:type="dxa"/>
            <w:vAlign w:val="bottom"/>
          </w:tcPr>
          <w:p>
            <w:pPr>
              <w:jc w:val="right"/>
              <w:ind w:right="17"/>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69,447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Access charges</w:t>
            </w:r>
          </w:p>
        </w:tc>
        <w:tc>
          <w:tcPr>
            <w:tcW w:w="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AF9E8"/>
          </w:tcPr>
          <w:p>
            <w:pPr>
              <w:spacing w:after="0"/>
              <w:rPr>
                <w:sz w:val="12"/>
                <w:szCs w:val="12"/>
                <w:color w:val="auto"/>
              </w:rPr>
            </w:pPr>
          </w:p>
        </w:tc>
        <w:tc>
          <w:tcPr>
            <w:tcW w:w="54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w w:val="93"/>
              </w:rPr>
              <w:t>10,960</w:t>
            </w:r>
          </w:p>
        </w:tc>
        <w:tc>
          <w:tcPr>
            <w:tcW w:w="10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20" w:type="dxa"/>
            <w:vAlign w:val="bottom"/>
            <w:shd w:val="clear" w:color="auto" w:fill="EAF9E8"/>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620" w:type="dxa"/>
            <w:vAlign w:val="bottom"/>
            <w:shd w:val="clear" w:color="auto" w:fill="EAF9E8"/>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520" w:type="dxa"/>
            <w:vAlign w:val="bottom"/>
            <w:shd w:val="clear" w:color="auto" w:fill="EAF9E8"/>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2"/>
                <w:szCs w:val="12"/>
                <w:color w:val="auto"/>
              </w:rPr>
            </w:pPr>
          </w:p>
        </w:tc>
        <w:tc>
          <w:tcPr>
            <w:tcW w:w="64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AF9E8"/>
          </w:tcPr>
          <w:p>
            <w:pPr>
              <w:spacing w:after="0"/>
              <w:rPr>
                <w:sz w:val="12"/>
                <w:szCs w:val="12"/>
                <w:color w:val="auto"/>
              </w:rPr>
            </w:pPr>
          </w:p>
        </w:tc>
        <w:tc>
          <w:tcPr>
            <w:tcW w:w="6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10,960</w:t>
            </w:r>
          </w:p>
        </w:tc>
        <w:tc>
          <w:tcPr>
            <w:tcW w:w="140" w:type="dxa"/>
            <w:vAlign w:val="bottom"/>
            <w:shd w:val="clear" w:color="auto" w:fill="EAF9E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Travel/roaming revenue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88"/>
              </w:rPr>
              <w:t>22,863</w:t>
            </w:r>
          </w:p>
        </w:tc>
        <w:tc>
          <w:tcPr>
            <w:tcW w:w="260" w:type="dxa"/>
            <w:vAlign w:val="bottom"/>
          </w:tcPr>
          <w:p>
            <w:pPr>
              <w:spacing w:after="0"/>
              <w:rPr>
                <w:sz w:val="12"/>
                <w:szCs w:val="12"/>
                <w:color w:val="auto"/>
              </w:rPr>
            </w:pPr>
          </w:p>
        </w:tc>
        <w:tc>
          <w:tcPr>
            <w:tcW w:w="5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22,863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Facilities and tower lease</w:t>
            </w:r>
          </w:p>
        </w:tc>
        <w:tc>
          <w:tcPr>
            <w:tcW w:w="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AF9E8"/>
          </w:tcPr>
          <w:p>
            <w:pPr>
              <w:spacing w:after="0"/>
              <w:rPr>
                <w:sz w:val="12"/>
                <w:szCs w:val="12"/>
                <w:color w:val="auto"/>
              </w:rPr>
            </w:pPr>
          </w:p>
        </w:tc>
        <w:tc>
          <w:tcPr>
            <w:tcW w:w="54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3,944</w:t>
            </w:r>
          </w:p>
        </w:tc>
        <w:tc>
          <w:tcPr>
            <w:tcW w:w="10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20" w:type="dxa"/>
            <w:vAlign w:val="bottom"/>
            <w:shd w:val="clear" w:color="auto" w:fill="EAF9E8"/>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jc w:val="right"/>
              <w:ind w:right="132"/>
              <w:spacing w:after="0" w:line="149" w:lineRule="exact"/>
              <w:rPr>
                <w:sz w:val="20"/>
                <w:szCs w:val="20"/>
                <w:color w:val="auto"/>
              </w:rPr>
            </w:pPr>
            <w:r>
              <w:rPr>
                <w:rFonts w:ascii="Arial" w:cs="Arial" w:eastAsia="Arial" w:hAnsi="Arial"/>
                <w:sz w:val="14"/>
                <w:szCs w:val="14"/>
                <w:color w:val="auto"/>
              </w:rPr>
              <w:t>2,915</w:t>
            </w:r>
          </w:p>
        </w:tc>
        <w:tc>
          <w:tcPr>
            <w:tcW w:w="100" w:type="dxa"/>
            <w:vAlign w:val="bottom"/>
            <w:shd w:val="clear" w:color="auto" w:fill="EAF9E8"/>
          </w:tcPr>
          <w:p>
            <w:pPr>
              <w:spacing w:after="0"/>
              <w:rPr>
                <w:sz w:val="12"/>
                <w:szCs w:val="12"/>
                <w:color w:val="auto"/>
              </w:rPr>
            </w:pPr>
          </w:p>
        </w:tc>
        <w:tc>
          <w:tcPr>
            <w:tcW w:w="620" w:type="dxa"/>
            <w:vAlign w:val="bottom"/>
            <w:shd w:val="clear" w:color="auto" w:fill="EAF9E8"/>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520" w:type="dxa"/>
            <w:vAlign w:val="bottom"/>
            <w:shd w:val="clear" w:color="auto" w:fill="EAF9E8"/>
          </w:tcPr>
          <w:p>
            <w:pPr>
              <w:jc w:val="right"/>
              <w:ind w:right="112"/>
              <w:spacing w:after="0" w:line="149" w:lineRule="exact"/>
              <w:rPr>
                <w:sz w:val="20"/>
                <w:szCs w:val="20"/>
                <w:color w:val="auto"/>
              </w:rPr>
            </w:pPr>
            <w:r>
              <w:rPr>
                <w:rFonts w:ascii="Arial" w:cs="Arial" w:eastAsia="Arial" w:hAnsi="Arial"/>
                <w:sz w:val="14"/>
                <w:szCs w:val="14"/>
                <w:color w:val="auto"/>
                <w:w w:val="91"/>
              </w:rPr>
              <w:t>1,149</w:t>
            </w:r>
          </w:p>
        </w:tc>
        <w:tc>
          <w:tcPr>
            <w:tcW w:w="220" w:type="dxa"/>
            <w:vAlign w:val="bottom"/>
            <w:shd w:val="clear" w:color="auto" w:fill="EAF9E8"/>
          </w:tcPr>
          <w:p>
            <w:pPr>
              <w:spacing w:after="0"/>
              <w:rPr>
                <w:sz w:val="12"/>
                <w:szCs w:val="12"/>
                <w:color w:val="auto"/>
              </w:rPr>
            </w:pPr>
          </w:p>
        </w:tc>
        <w:tc>
          <w:tcPr>
            <w:tcW w:w="64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AF9E8"/>
          </w:tcPr>
          <w:p>
            <w:pPr>
              <w:spacing w:after="0"/>
              <w:rPr>
                <w:sz w:val="12"/>
                <w:szCs w:val="12"/>
                <w:color w:val="auto"/>
              </w:rPr>
            </w:pPr>
          </w:p>
        </w:tc>
        <w:tc>
          <w:tcPr>
            <w:tcW w:w="6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8,008</w:t>
            </w:r>
          </w:p>
        </w:tc>
        <w:tc>
          <w:tcPr>
            <w:tcW w:w="140" w:type="dxa"/>
            <w:vAlign w:val="bottom"/>
            <w:shd w:val="clear" w:color="auto" w:fill="EAF9E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Equipment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3,190</w:t>
            </w:r>
          </w:p>
        </w:tc>
        <w:tc>
          <w:tcPr>
            <w:tcW w:w="260" w:type="dxa"/>
            <w:vAlign w:val="bottom"/>
          </w:tcPr>
          <w:p>
            <w:pPr>
              <w:spacing w:after="0"/>
              <w:rPr>
                <w:sz w:val="12"/>
                <w:szCs w:val="12"/>
                <w:color w:val="auto"/>
              </w:rPr>
            </w:pPr>
          </w:p>
        </w:tc>
        <w:tc>
          <w:tcPr>
            <w:tcW w:w="5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6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361</w:t>
            </w:r>
          </w:p>
        </w:tc>
        <w:tc>
          <w:tcPr>
            <w:tcW w:w="22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3,575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1,388</w:t>
            </w:r>
          </w:p>
        </w:tc>
        <w:tc>
          <w:tcPr>
            <w:tcW w:w="260" w:type="dxa"/>
            <w:vAlign w:val="bottom"/>
            <w:shd w:val="clear" w:color="auto" w:fill="EAF9E8"/>
          </w:tcPr>
          <w:p>
            <w:pPr>
              <w:spacing w:after="0"/>
              <w:rPr>
                <w:sz w:val="12"/>
                <w:szCs w:val="12"/>
                <w:color w:val="auto"/>
              </w:rPr>
            </w:pPr>
          </w:p>
        </w:tc>
        <w:tc>
          <w:tcPr>
            <w:tcW w:w="54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2,408</w:t>
            </w:r>
          </w:p>
        </w:tc>
        <w:tc>
          <w:tcPr>
            <w:tcW w:w="10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20" w:type="dxa"/>
            <w:vAlign w:val="bottom"/>
            <w:shd w:val="clear" w:color="auto" w:fill="EAF9E8"/>
          </w:tcPr>
          <w:p>
            <w:pPr>
              <w:jc w:val="right"/>
              <w:ind w:right="112"/>
              <w:spacing w:after="0" w:line="149" w:lineRule="exact"/>
              <w:rPr>
                <w:sz w:val="20"/>
                <w:szCs w:val="20"/>
                <w:color w:val="auto"/>
              </w:rPr>
            </w:pPr>
            <w:r>
              <w:rPr>
                <w:rFonts w:ascii="Arial" w:cs="Arial" w:eastAsia="Arial" w:hAnsi="Arial"/>
                <w:sz w:val="14"/>
                <w:szCs w:val="14"/>
                <w:color w:val="auto"/>
              </w:rPr>
              <w:t>6</w:t>
            </w: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jc w:val="right"/>
              <w:ind w:right="132"/>
              <w:spacing w:after="0" w:line="149" w:lineRule="exact"/>
              <w:rPr>
                <w:sz w:val="20"/>
                <w:szCs w:val="20"/>
                <w:color w:val="auto"/>
              </w:rPr>
            </w:pPr>
            <w:r>
              <w:rPr>
                <w:rFonts w:ascii="Arial" w:cs="Arial" w:eastAsia="Arial" w:hAnsi="Arial"/>
                <w:sz w:val="14"/>
                <w:szCs w:val="14"/>
                <w:color w:val="auto"/>
              </w:rPr>
              <w:t>178</w:t>
            </w:r>
          </w:p>
        </w:tc>
        <w:tc>
          <w:tcPr>
            <w:tcW w:w="100" w:type="dxa"/>
            <w:vAlign w:val="bottom"/>
            <w:shd w:val="clear" w:color="auto" w:fill="EAF9E8"/>
          </w:tcPr>
          <w:p>
            <w:pPr>
              <w:spacing w:after="0"/>
              <w:rPr>
                <w:sz w:val="12"/>
                <w:szCs w:val="12"/>
                <w:color w:val="auto"/>
              </w:rPr>
            </w:pPr>
          </w:p>
        </w:tc>
        <w:tc>
          <w:tcPr>
            <w:tcW w:w="620" w:type="dxa"/>
            <w:vAlign w:val="bottom"/>
            <w:shd w:val="clear" w:color="auto" w:fill="EAF9E8"/>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520" w:type="dxa"/>
            <w:vAlign w:val="bottom"/>
            <w:shd w:val="clear" w:color="auto" w:fill="EAF9E8"/>
          </w:tcPr>
          <w:p>
            <w:pPr>
              <w:jc w:val="right"/>
              <w:ind w:right="112"/>
              <w:spacing w:after="0" w:line="149" w:lineRule="exact"/>
              <w:rPr>
                <w:sz w:val="20"/>
                <w:szCs w:val="20"/>
                <w:color w:val="auto"/>
              </w:rPr>
            </w:pPr>
            <w:r>
              <w:rPr>
                <w:rFonts w:ascii="Arial" w:cs="Arial" w:eastAsia="Arial" w:hAnsi="Arial"/>
                <w:sz w:val="14"/>
                <w:szCs w:val="14"/>
                <w:color w:val="auto"/>
                <w:w w:val="91"/>
              </w:rPr>
              <w:t>2,161</w:t>
            </w:r>
          </w:p>
        </w:tc>
        <w:tc>
          <w:tcPr>
            <w:tcW w:w="220" w:type="dxa"/>
            <w:vAlign w:val="bottom"/>
            <w:shd w:val="clear" w:color="auto" w:fill="EAF9E8"/>
          </w:tcPr>
          <w:p>
            <w:pPr>
              <w:spacing w:after="0"/>
              <w:rPr>
                <w:sz w:val="12"/>
                <w:szCs w:val="12"/>
                <w:color w:val="auto"/>
              </w:rPr>
            </w:pPr>
          </w:p>
        </w:tc>
        <w:tc>
          <w:tcPr>
            <w:tcW w:w="64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AF9E8"/>
          </w:tcPr>
          <w:p>
            <w:pPr>
              <w:spacing w:after="0"/>
              <w:rPr>
                <w:sz w:val="12"/>
                <w:szCs w:val="12"/>
                <w:color w:val="auto"/>
              </w:rPr>
            </w:pPr>
          </w:p>
        </w:tc>
        <w:tc>
          <w:tcPr>
            <w:tcW w:w="6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6,141</w:t>
            </w:r>
          </w:p>
        </w:tc>
        <w:tc>
          <w:tcPr>
            <w:tcW w:w="140" w:type="dxa"/>
            <w:vAlign w:val="bottom"/>
            <w:shd w:val="clear" w:color="auto" w:fill="EAF9E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76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760" w:type="dxa"/>
            <w:vAlign w:val="bottom"/>
            <w:gridSpan w:val="2"/>
          </w:tcPr>
          <w:p>
            <w:pPr>
              <w:spacing w:after="0"/>
              <w:rPr>
                <w:sz w:val="20"/>
                <w:szCs w:val="20"/>
                <w:color w:val="auto"/>
              </w:rPr>
            </w:pPr>
            <w:r>
              <w:rPr>
                <w:rFonts w:ascii="Arial" w:cs="Arial" w:eastAsia="Arial" w:hAnsi="Arial"/>
                <w:sz w:val="14"/>
                <w:szCs w:val="14"/>
                <w:color w:val="auto"/>
              </w:rPr>
              <w:t>Total external revenues</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12"/>
              <w:spacing w:after="0"/>
              <w:rPr>
                <w:sz w:val="20"/>
                <w:szCs w:val="20"/>
                <w:color w:val="auto"/>
              </w:rPr>
            </w:pPr>
            <w:r>
              <w:rPr>
                <w:rFonts w:ascii="Arial" w:cs="Arial" w:eastAsia="Arial" w:hAnsi="Arial"/>
                <w:sz w:val="14"/>
                <w:szCs w:val="14"/>
                <w:color w:val="auto"/>
                <w:w w:val="88"/>
              </w:rPr>
              <w:t>80,165</w:t>
            </w:r>
          </w:p>
        </w:tc>
        <w:tc>
          <w:tcPr>
            <w:tcW w:w="260" w:type="dxa"/>
            <w:vAlign w:val="bottom"/>
          </w:tcPr>
          <w:p>
            <w:pPr>
              <w:spacing w:after="0"/>
              <w:rPr>
                <w:sz w:val="21"/>
                <w:szCs w:val="21"/>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color w:val="auto"/>
                <w:w w:val="93"/>
              </w:rPr>
              <w:t>23,740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jc w:val="right"/>
              <w:ind w:right="112"/>
              <w:spacing w:after="0"/>
              <w:rPr>
                <w:sz w:val="20"/>
                <w:szCs w:val="20"/>
                <w:color w:val="auto"/>
              </w:rPr>
            </w:pPr>
            <w:r>
              <w:rPr>
                <w:rFonts w:ascii="Arial" w:cs="Arial" w:eastAsia="Arial" w:hAnsi="Arial"/>
                <w:sz w:val="14"/>
                <w:szCs w:val="14"/>
                <w:color w:val="auto"/>
              </w:rPr>
              <w:t>736</w:t>
            </w:r>
          </w:p>
        </w:tc>
        <w:tc>
          <w:tcPr>
            <w:tcW w:w="80" w:type="dxa"/>
            <w:vAlign w:val="bottom"/>
          </w:tcPr>
          <w:p>
            <w:pPr>
              <w:spacing w:after="0"/>
              <w:rPr>
                <w:sz w:val="21"/>
                <w:szCs w:val="21"/>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color w:val="auto"/>
              </w:rPr>
              <w:t>3,093</w:t>
            </w:r>
          </w:p>
        </w:tc>
        <w:tc>
          <w:tcPr>
            <w:tcW w:w="100" w:type="dxa"/>
            <w:vAlign w:val="bottom"/>
          </w:tcPr>
          <w:p>
            <w:pPr>
              <w:spacing w:after="0"/>
              <w:rPr>
                <w:sz w:val="21"/>
                <w:szCs w:val="21"/>
                <w:color w:val="auto"/>
              </w:rPr>
            </w:pPr>
          </w:p>
        </w:tc>
        <w:tc>
          <w:tcPr>
            <w:tcW w:w="62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620" w:type="dxa"/>
            <w:vAlign w:val="bottom"/>
            <w:gridSpan w:val="2"/>
          </w:tcPr>
          <w:p>
            <w:pPr>
              <w:jc w:val="right"/>
              <w:ind w:right="112"/>
              <w:spacing w:after="0"/>
              <w:rPr>
                <w:sz w:val="20"/>
                <w:szCs w:val="20"/>
                <w:color w:val="auto"/>
              </w:rPr>
            </w:pPr>
            <w:r>
              <w:rPr>
                <w:rFonts w:ascii="Arial" w:cs="Arial" w:eastAsia="Arial" w:hAnsi="Arial"/>
                <w:sz w:val="14"/>
                <w:szCs w:val="14"/>
                <w:color w:val="auto"/>
                <w:w w:val="97"/>
              </w:rPr>
              <w:t>13,260</w:t>
            </w:r>
          </w:p>
        </w:tc>
        <w:tc>
          <w:tcPr>
            <w:tcW w:w="22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120,994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Internal Revenues</w:t>
            </w:r>
          </w:p>
        </w:tc>
        <w:tc>
          <w:tcPr>
            <w:tcW w:w="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1</w:t>
            </w:r>
          </w:p>
        </w:tc>
        <w:tc>
          <w:tcPr>
            <w:tcW w:w="260" w:type="dxa"/>
            <w:vAlign w:val="bottom"/>
            <w:shd w:val="clear" w:color="auto" w:fill="EAF9E8"/>
          </w:tcPr>
          <w:p>
            <w:pPr>
              <w:spacing w:after="0"/>
              <w:rPr>
                <w:sz w:val="12"/>
                <w:szCs w:val="12"/>
                <w:color w:val="auto"/>
              </w:rPr>
            </w:pPr>
          </w:p>
        </w:tc>
        <w:tc>
          <w:tcPr>
            <w:tcW w:w="54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3,635</w:t>
            </w:r>
          </w:p>
        </w:tc>
        <w:tc>
          <w:tcPr>
            <w:tcW w:w="10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20" w:type="dxa"/>
            <w:vAlign w:val="bottom"/>
            <w:shd w:val="clear" w:color="auto" w:fill="EAF9E8"/>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jc w:val="right"/>
              <w:ind w:right="132"/>
              <w:spacing w:after="0" w:line="149" w:lineRule="exact"/>
              <w:rPr>
                <w:sz w:val="20"/>
                <w:szCs w:val="20"/>
                <w:color w:val="auto"/>
              </w:rPr>
            </w:pPr>
            <w:r>
              <w:rPr>
                <w:rFonts w:ascii="Arial" w:cs="Arial" w:eastAsia="Arial" w:hAnsi="Arial"/>
                <w:sz w:val="14"/>
                <w:szCs w:val="14"/>
                <w:color w:val="auto"/>
              </w:rPr>
              <w:t>1,298</w:t>
            </w:r>
          </w:p>
        </w:tc>
        <w:tc>
          <w:tcPr>
            <w:tcW w:w="100" w:type="dxa"/>
            <w:vAlign w:val="bottom"/>
            <w:shd w:val="clear" w:color="auto" w:fill="EAF9E8"/>
          </w:tcPr>
          <w:p>
            <w:pPr>
              <w:spacing w:after="0"/>
              <w:rPr>
                <w:sz w:val="12"/>
                <w:szCs w:val="12"/>
                <w:color w:val="auto"/>
              </w:rPr>
            </w:pPr>
          </w:p>
        </w:tc>
        <w:tc>
          <w:tcPr>
            <w:tcW w:w="620" w:type="dxa"/>
            <w:vAlign w:val="bottom"/>
            <w:shd w:val="clear" w:color="auto" w:fill="EAF9E8"/>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520" w:type="dxa"/>
            <w:vAlign w:val="bottom"/>
            <w:shd w:val="clear" w:color="auto" w:fill="EAF9E8"/>
          </w:tcPr>
          <w:p>
            <w:pPr>
              <w:jc w:val="right"/>
              <w:ind w:right="112"/>
              <w:spacing w:after="0" w:line="149" w:lineRule="exact"/>
              <w:rPr>
                <w:sz w:val="20"/>
                <w:szCs w:val="20"/>
                <w:color w:val="auto"/>
              </w:rPr>
            </w:pPr>
            <w:r>
              <w:rPr>
                <w:rFonts w:ascii="Arial" w:cs="Arial" w:eastAsia="Arial" w:hAnsi="Arial"/>
                <w:sz w:val="14"/>
                <w:szCs w:val="14"/>
                <w:color w:val="auto"/>
                <w:w w:val="91"/>
              </w:rPr>
              <w:t>1,991</w:t>
            </w:r>
          </w:p>
        </w:tc>
        <w:tc>
          <w:tcPr>
            <w:tcW w:w="220" w:type="dxa"/>
            <w:vAlign w:val="bottom"/>
            <w:shd w:val="clear" w:color="auto" w:fill="EAF9E8"/>
          </w:tcPr>
          <w:p>
            <w:pPr>
              <w:spacing w:after="0"/>
              <w:rPr>
                <w:sz w:val="12"/>
                <w:szCs w:val="12"/>
                <w:color w:val="auto"/>
              </w:rPr>
            </w:pPr>
          </w:p>
        </w:tc>
        <w:tc>
          <w:tcPr>
            <w:tcW w:w="6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(6,925)</w:t>
            </w:r>
          </w:p>
        </w:tc>
        <w:tc>
          <w:tcPr>
            <w:tcW w:w="26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76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760" w:type="dxa"/>
            <w:vAlign w:val="bottom"/>
            <w:gridSpan w:val="2"/>
          </w:tcPr>
          <w:p>
            <w:pPr>
              <w:spacing w:after="0"/>
              <w:rPr>
                <w:sz w:val="20"/>
                <w:szCs w:val="20"/>
                <w:color w:val="auto"/>
              </w:rPr>
            </w:pPr>
            <w:r>
              <w:rPr>
                <w:rFonts w:ascii="Arial" w:cs="Arial" w:eastAsia="Arial" w:hAnsi="Arial"/>
                <w:sz w:val="14"/>
                <w:szCs w:val="14"/>
                <w:color w:val="auto"/>
              </w:rPr>
              <w:t>Total operating revenues</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12"/>
              <w:spacing w:after="0"/>
              <w:rPr>
                <w:sz w:val="20"/>
                <w:szCs w:val="20"/>
                <w:color w:val="auto"/>
              </w:rPr>
            </w:pPr>
            <w:r>
              <w:rPr>
                <w:rFonts w:ascii="Arial" w:cs="Arial" w:eastAsia="Arial" w:hAnsi="Arial"/>
                <w:sz w:val="14"/>
                <w:szCs w:val="14"/>
                <w:color w:val="auto"/>
                <w:w w:val="88"/>
              </w:rPr>
              <w:t>80,166</w:t>
            </w:r>
          </w:p>
        </w:tc>
        <w:tc>
          <w:tcPr>
            <w:tcW w:w="260" w:type="dxa"/>
            <w:vAlign w:val="bottom"/>
          </w:tcPr>
          <w:p>
            <w:pPr>
              <w:spacing w:after="0"/>
              <w:rPr>
                <w:sz w:val="22"/>
                <w:szCs w:val="22"/>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color w:val="auto"/>
                <w:w w:val="93"/>
              </w:rPr>
              <w:t>27,375</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right"/>
              <w:ind w:right="112"/>
              <w:spacing w:after="0"/>
              <w:rPr>
                <w:sz w:val="20"/>
                <w:szCs w:val="20"/>
                <w:color w:val="auto"/>
              </w:rPr>
            </w:pPr>
            <w:r>
              <w:rPr>
                <w:rFonts w:ascii="Arial" w:cs="Arial" w:eastAsia="Arial" w:hAnsi="Arial"/>
                <w:sz w:val="14"/>
                <w:szCs w:val="14"/>
                <w:color w:val="auto"/>
              </w:rPr>
              <w:t>736</w:t>
            </w:r>
          </w:p>
        </w:tc>
        <w:tc>
          <w:tcPr>
            <w:tcW w:w="80" w:type="dxa"/>
            <w:vAlign w:val="bottom"/>
          </w:tcPr>
          <w:p>
            <w:pPr>
              <w:spacing w:after="0"/>
              <w:rPr>
                <w:sz w:val="22"/>
                <w:szCs w:val="22"/>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color w:val="auto"/>
              </w:rPr>
              <w:t>4,391</w:t>
            </w:r>
          </w:p>
        </w:tc>
        <w:tc>
          <w:tcPr>
            <w:tcW w:w="100" w:type="dxa"/>
            <w:vAlign w:val="bottom"/>
          </w:tcPr>
          <w:p>
            <w:pPr>
              <w:spacing w:after="0"/>
              <w:rPr>
                <w:sz w:val="22"/>
                <w:szCs w:val="22"/>
                <w:color w:val="auto"/>
              </w:rPr>
            </w:pPr>
          </w:p>
        </w:tc>
        <w:tc>
          <w:tcPr>
            <w:tcW w:w="62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620" w:type="dxa"/>
            <w:vAlign w:val="bottom"/>
            <w:gridSpan w:val="2"/>
          </w:tcPr>
          <w:p>
            <w:pPr>
              <w:jc w:val="right"/>
              <w:ind w:right="112"/>
              <w:spacing w:after="0"/>
              <w:rPr>
                <w:sz w:val="20"/>
                <w:szCs w:val="20"/>
                <w:color w:val="auto"/>
              </w:rPr>
            </w:pPr>
            <w:r>
              <w:rPr>
                <w:rFonts w:ascii="Arial" w:cs="Arial" w:eastAsia="Arial" w:hAnsi="Arial"/>
                <w:sz w:val="14"/>
                <w:szCs w:val="14"/>
                <w:color w:val="auto"/>
                <w:w w:val="97"/>
              </w:rPr>
              <w:t>15,251</w:t>
            </w:r>
          </w:p>
        </w:tc>
        <w:tc>
          <w:tcPr>
            <w:tcW w:w="2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(6,925)</w:t>
            </w:r>
          </w:p>
        </w:tc>
        <w:tc>
          <w:tcPr>
            <w:tcW w:w="2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120,994</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76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74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Operating expenses</w:t>
            </w:r>
          </w:p>
        </w:tc>
        <w:tc>
          <w:tcPr>
            <w:tcW w:w="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5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52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40" w:type="dxa"/>
            <w:vAlign w:val="bottom"/>
          </w:tcPr>
          <w:p>
            <w:pPr>
              <w:spacing w:after="0" w:line="138" w:lineRule="exact"/>
              <w:rPr>
                <w:sz w:val="20"/>
                <w:szCs w:val="20"/>
                <w:color w:val="auto"/>
              </w:rPr>
            </w:pPr>
            <w:r>
              <w:rPr>
                <w:rFonts w:ascii="Arial" w:cs="Arial" w:eastAsia="Arial" w:hAnsi="Arial"/>
                <w:sz w:val="14"/>
                <w:szCs w:val="14"/>
                <w:color w:val="auto"/>
                <w:w w:val="95"/>
              </w:rPr>
              <w:t>Costs of goods and services,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ind w:left="60"/>
              <w:spacing w:after="0" w:line="149" w:lineRule="exact"/>
              <w:rPr>
                <w:sz w:val="20"/>
                <w:szCs w:val="20"/>
                <w:color w:val="auto"/>
              </w:rPr>
            </w:pPr>
            <w:r>
              <w:rPr>
                <w:rFonts w:ascii="Arial" w:cs="Arial" w:eastAsia="Arial" w:hAnsi="Arial"/>
                <w:sz w:val="14"/>
                <w:szCs w:val="14"/>
                <w:color w:val="auto"/>
                <w:w w:val="91"/>
              </w:rPr>
              <w:t>exclusive of depreciation and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ind w:left="60"/>
              <w:spacing w:after="0" w:line="149" w:lineRule="exact"/>
              <w:rPr>
                <w:sz w:val="20"/>
                <w:szCs w:val="20"/>
                <w:color w:val="auto"/>
              </w:rPr>
            </w:pPr>
            <w:r>
              <w:rPr>
                <w:rFonts w:ascii="Arial" w:cs="Arial" w:eastAsia="Arial" w:hAnsi="Arial"/>
                <w:sz w:val="14"/>
                <w:szCs w:val="14"/>
                <w:color w:val="auto"/>
                <w:w w:val="87"/>
              </w:rPr>
              <w:t>amortization shown separately</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40" w:type="dxa"/>
            <w:vAlign w:val="bottom"/>
          </w:tcPr>
          <w:p>
            <w:pPr>
              <w:ind w:left="60"/>
              <w:spacing w:after="0" w:line="159" w:lineRule="exact"/>
              <w:rPr>
                <w:sz w:val="20"/>
                <w:szCs w:val="20"/>
                <w:color w:val="auto"/>
              </w:rPr>
            </w:pPr>
            <w:r>
              <w:rPr>
                <w:rFonts w:ascii="Arial" w:cs="Arial" w:eastAsia="Arial" w:hAnsi="Arial"/>
                <w:sz w:val="14"/>
                <w:szCs w:val="14"/>
                <w:color w:val="auto"/>
              </w:rPr>
              <w:t>below</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12"/>
              <w:spacing w:after="0" w:line="159" w:lineRule="exact"/>
              <w:rPr>
                <w:sz w:val="20"/>
                <w:szCs w:val="20"/>
                <w:color w:val="auto"/>
              </w:rPr>
            </w:pPr>
            <w:r>
              <w:rPr>
                <w:rFonts w:ascii="Arial" w:cs="Arial" w:eastAsia="Arial" w:hAnsi="Arial"/>
                <w:sz w:val="14"/>
                <w:szCs w:val="14"/>
                <w:color w:val="auto"/>
                <w:w w:val="88"/>
              </w:rPr>
              <w:t>39,112</w:t>
            </w:r>
          </w:p>
        </w:tc>
        <w:tc>
          <w:tcPr>
            <w:tcW w:w="260" w:type="dxa"/>
            <w:vAlign w:val="bottom"/>
          </w:tcPr>
          <w:p>
            <w:pPr>
              <w:spacing w:after="0"/>
              <w:rPr>
                <w:sz w:val="13"/>
                <w:szCs w:val="13"/>
                <w:color w:val="auto"/>
              </w:rPr>
            </w:pPr>
          </w:p>
        </w:tc>
        <w:tc>
          <w:tcPr>
            <w:tcW w:w="540" w:type="dxa"/>
            <w:vAlign w:val="bottom"/>
          </w:tcPr>
          <w:p>
            <w:pPr>
              <w:jc w:val="right"/>
              <w:ind w:right="52"/>
              <w:spacing w:after="0" w:line="159" w:lineRule="exact"/>
              <w:rPr>
                <w:sz w:val="20"/>
                <w:szCs w:val="20"/>
                <w:color w:val="auto"/>
              </w:rPr>
            </w:pPr>
            <w:r>
              <w:rPr>
                <w:rFonts w:ascii="Arial" w:cs="Arial" w:eastAsia="Arial" w:hAnsi="Arial"/>
                <w:sz w:val="14"/>
                <w:szCs w:val="14"/>
                <w:color w:val="auto"/>
              </w:rPr>
              <w:t>4,098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352</w:t>
            </w:r>
          </w:p>
        </w:tc>
        <w:tc>
          <w:tcPr>
            <w:tcW w:w="80" w:type="dxa"/>
            <w:vAlign w:val="bottom"/>
          </w:tcPr>
          <w:p>
            <w:pPr>
              <w:spacing w:after="0"/>
              <w:rPr>
                <w:sz w:val="13"/>
                <w:szCs w:val="13"/>
                <w:color w:val="auto"/>
              </w:rPr>
            </w:pPr>
          </w:p>
        </w:tc>
        <w:tc>
          <w:tcPr>
            <w:tcW w:w="600" w:type="dxa"/>
            <w:vAlign w:val="bottom"/>
          </w:tcPr>
          <w:p>
            <w:pPr>
              <w:jc w:val="right"/>
              <w:ind w:right="132"/>
              <w:spacing w:after="0" w:line="159" w:lineRule="exact"/>
              <w:rPr>
                <w:sz w:val="20"/>
                <w:szCs w:val="20"/>
                <w:color w:val="auto"/>
              </w:rPr>
            </w:pPr>
            <w:r>
              <w:rPr>
                <w:rFonts w:ascii="Arial" w:cs="Arial" w:eastAsia="Arial" w:hAnsi="Arial"/>
                <w:sz w:val="14"/>
                <w:szCs w:val="14"/>
                <w:color w:val="auto"/>
              </w:rPr>
              <w:t>1,114</w:t>
            </w:r>
          </w:p>
        </w:tc>
        <w:tc>
          <w:tcPr>
            <w:tcW w:w="100" w:type="dxa"/>
            <w:vAlign w:val="bottom"/>
          </w:tcPr>
          <w:p>
            <w:pPr>
              <w:spacing w:after="0"/>
              <w:rPr>
                <w:sz w:val="13"/>
                <w:szCs w:val="13"/>
                <w:color w:val="auto"/>
              </w:rPr>
            </w:pPr>
          </w:p>
        </w:tc>
        <w:tc>
          <w:tcPr>
            <w:tcW w:w="6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91"/>
              </w:rPr>
              <w:t>7,837</w:t>
            </w:r>
          </w:p>
        </w:tc>
        <w:tc>
          <w:tcPr>
            <w:tcW w:w="22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(6,675)</w:t>
            </w:r>
          </w:p>
        </w:tc>
        <w:tc>
          <w:tcPr>
            <w:tcW w:w="26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45,847</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40" w:type="dxa"/>
            <w:vAlign w:val="bottom"/>
            <w:shd w:val="clear" w:color="auto" w:fill="EAF9E8"/>
          </w:tcPr>
          <w:p>
            <w:pPr>
              <w:spacing w:after="0" w:line="138" w:lineRule="exact"/>
              <w:rPr>
                <w:sz w:val="20"/>
                <w:szCs w:val="20"/>
                <w:color w:val="auto"/>
              </w:rPr>
            </w:pPr>
            <w:r>
              <w:rPr>
                <w:rFonts w:ascii="Arial" w:cs="Arial" w:eastAsia="Arial" w:hAnsi="Arial"/>
                <w:sz w:val="14"/>
                <w:szCs w:val="14"/>
                <w:color w:val="auto"/>
              </w:rPr>
              <w:t>Selling, general and</w:t>
            </w:r>
          </w:p>
        </w:tc>
        <w:tc>
          <w:tcPr>
            <w:tcW w:w="8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480" w:type="dxa"/>
            <w:vAlign w:val="bottom"/>
            <w:shd w:val="clear" w:color="auto" w:fill="EAF9E8"/>
          </w:tcPr>
          <w:p>
            <w:pPr>
              <w:spacing w:after="0"/>
              <w:rPr>
                <w:sz w:val="11"/>
                <w:szCs w:val="11"/>
                <w:color w:val="auto"/>
              </w:rPr>
            </w:pPr>
          </w:p>
        </w:tc>
        <w:tc>
          <w:tcPr>
            <w:tcW w:w="260" w:type="dxa"/>
            <w:vAlign w:val="bottom"/>
            <w:shd w:val="clear" w:color="auto" w:fill="EAF9E8"/>
          </w:tcPr>
          <w:p>
            <w:pPr>
              <w:spacing w:after="0"/>
              <w:rPr>
                <w:sz w:val="11"/>
                <w:szCs w:val="11"/>
                <w:color w:val="auto"/>
              </w:rPr>
            </w:pPr>
          </w:p>
        </w:tc>
        <w:tc>
          <w:tcPr>
            <w:tcW w:w="5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6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62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5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640" w:type="dxa"/>
            <w:vAlign w:val="bottom"/>
            <w:shd w:val="clear" w:color="auto" w:fill="EAF9E8"/>
          </w:tcPr>
          <w:p>
            <w:pPr>
              <w:spacing w:after="0"/>
              <w:rPr>
                <w:sz w:val="11"/>
                <w:szCs w:val="11"/>
                <w:color w:val="auto"/>
              </w:rPr>
            </w:pPr>
          </w:p>
        </w:tc>
        <w:tc>
          <w:tcPr>
            <w:tcW w:w="260" w:type="dxa"/>
            <w:vAlign w:val="bottom"/>
            <w:shd w:val="clear" w:color="auto" w:fill="EAF9E8"/>
          </w:tcPr>
          <w:p>
            <w:pPr>
              <w:spacing w:after="0"/>
              <w:rPr>
                <w:sz w:val="11"/>
                <w:szCs w:val="11"/>
                <w:color w:val="auto"/>
              </w:rPr>
            </w:pPr>
          </w:p>
        </w:tc>
        <w:tc>
          <w:tcPr>
            <w:tcW w:w="60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EAF9E8"/>
          </w:tcPr>
          <w:p>
            <w:pPr>
              <w:ind w:left="60"/>
              <w:spacing w:after="0" w:line="149" w:lineRule="exact"/>
              <w:rPr>
                <w:sz w:val="20"/>
                <w:szCs w:val="20"/>
                <w:color w:val="auto"/>
              </w:rPr>
            </w:pPr>
            <w:r>
              <w:rPr>
                <w:rFonts w:ascii="Arial" w:cs="Arial" w:eastAsia="Arial" w:hAnsi="Arial"/>
                <w:sz w:val="14"/>
                <w:szCs w:val="14"/>
                <w:color w:val="auto"/>
                <w:w w:val="99"/>
              </w:rPr>
              <w:t>administrative, exclusive of</w:t>
            </w:r>
          </w:p>
        </w:tc>
        <w:tc>
          <w:tcPr>
            <w:tcW w:w="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5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52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EAF9E8"/>
          </w:tcPr>
          <w:p>
            <w:pPr>
              <w:ind w:left="60"/>
              <w:spacing w:after="0" w:line="149" w:lineRule="exact"/>
              <w:rPr>
                <w:sz w:val="20"/>
                <w:szCs w:val="20"/>
                <w:color w:val="auto"/>
              </w:rPr>
            </w:pPr>
            <w:r>
              <w:rPr>
                <w:rFonts w:ascii="Arial" w:cs="Arial" w:eastAsia="Arial" w:hAnsi="Arial"/>
                <w:sz w:val="14"/>
                <w:szCs w:val="14"/>
                <w:color w:val="auto"/>
                <w:w w:val="90"/>
              </w:rPr>
              <w:t>depreciation and amortization</w:t>
            </w:r>
          </w:p>
        </w:tc>
        <w:tc>
          <w:tcPr>
            <w:tcW w:w="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5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62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52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64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40" w:type="dxa"/>
            <w:vAlign w:val="bottom"/>
            <w:shd w:val="clear" w:color="auto" w:fill="EAF9E8"/>
          </w:tcPr>
          <w:p>
            <w:pPr>
              <w:ind w:left="60"/>
              <w:spacing w:after="0" w:line="159" w:lineRule="exact"/>
              <w:rPr>
                <w:sz w:val="20"/>
                <w:szCs w:val="20"/>
                <w:color w:val="auto"/>
              </w:rPr>
            </w:pPr>
            <w:r>
              <w:rPr>
                <w:rFonts w:ascii="Arial" w:cs="Arial" w:eastAsia="Arial" w:hAnsi="Arial"/>
                <w:sz w:val="14"/>
                <w:szCs w:val="14"/>
                <w:color w:val="auto"/>
              </w:rPr>
              <w:t>shown separately below</w:t>
            </w:r>
          </w:p>
        </w:tc>
        <w:tc>
          <w:tcPr>
            <w:tcW w:w="80" w:type="dxa"/>
            <w:vAlign w:val="bottom"/>
            <w:shd w:val="clear" w:color="auto" w:fill="EAF9E8"/>
          </w:tcPr>
          <w:p>
            <w:pPr>
              <w:spacing w:after="0"/>
              <w:rPr>
                <w:sz w:val="13"/>
                <w:szCs w:val="13"/>
                <w:color w:val="auto"/>
              </w:rPr>
            </w:pPr>
          </w:p>
        </w:tc>
        <w:tc>
          <w:tcPr>
            <w:tcW w:w="8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480" w:type="dxa"/>
            <w:vAlign w:val="bottom"/>
            <w:shd w:val="clear" w:color="auto" w:fill="EAF9E8"/>
          </w:tcPr>
          <w:p>
            <w:pPr>
              <w:jc w:val="right"/>
              <w:ind w:right="12"/>
              <w:spacing w:after="0" w:line="159" w:lineRule="exact"/>
              <w:rPr>
                <w:sz w:val="20"/>
                <w:szCs w:val="20"/>
                <w:color w:val="auto"/>
              </w:rPr>
            </w:pPr>
            <w:r>
              <w:rPr>
                <w:rFonts w:ascii="Arial" w:cs="Arial" w:eastAsia="Arial" w:hAnsi="Arial"/>
                <w:sz w:val="14"/>
                <w:szCs w:val="14"/>
                <w:color w:val="auto"/>
                <w:w w:val="88"/>
              </w:rPr>
              <w:t>22,952</w:t>
            </w:r>
          </w:p>
        </w:tc>
        <w:tc>
          <w:tcPr>
            <w:tcW w:w="260" w:type="dxa"/>
            <w:vAlign w:val="bottom"/>
            <w:shd w:val="clear" w:color="auto" w:fill="EAF9E8"/>
          </w:tcPr>
          <w:p>
            <w:pPr>
              <w:spacing w:after="0"/>
              <w:rPr>
                <w:sz w:val="13"/>
                <w:szCs w:val="13"/>
                <w:color w:val="auto"/>
              </w:rPr>
            </w:pPr>
          </w:p>
        </w:tc>
        <w:tc>
          <w:tcPr>
            <w:tcW w:w="540" w:type="dxa"/>
            <w:vAlign w:val="bottom"/>
            <w:shd w:val="clear" w:color="auto" w:fill="EAF9E8"/>
          </w:tcPr>
          <w:p>
            <w:pPr>
              <w:jc w:val="right"/>
              <w:ind w:right="52"/>
              <w:spacing w:after="0" w:line="159" w:lineRule="exact"/>
              <w:rPr>
                <w:sz w:val="20"/>
                <w:szCs w:val="20"/>
                <w:color w:val="auto"/>
              </w:rPr>
            </w:pPr>
            <w:r>
              <w:rPr>
                <w:rFonts w:ascii="Arial" w:cs="Arial" w:eastAsia="Arial" w:hAnsi="Arial"/>
                <w:sz w:val="14"/>
                <w:szCs w:val="14"/>
                <w:color w:val="auto"/>
              </w:rPr>
              <w:t>8,129</w:t>
            </w:r>
          </w:p>
        </w:tc>
        <w:tc>
          <w:tcPr>
            <w:tcW w:w="100" w:type="dxa"/>
            <w:vAlign w:val="bottom"/>
            <w:shd w:val="clear" w:color="auto" w:fill="EAF9E8"/>
          </w:tcPr>
          <w:p>
            <w:pPr>
              <w:spacing w:after="0"/>
              <w:rPr>
                <w:sz w:val="13"/>
                <w:szCs w:val="13"/>
                <w:color w:val="auto"/>
              </w:rPr>
            </w:pPr>
          </w:p>
        </w:tc>
        <w:tc>
          <w:tcPr>
            <w:tcW w:w="60" w:type="dxa"/>
            <w:vAlign w:val="bottom"/>
            <w:shd w:val="clear" w:color="auto" w:fill="EAF9E8"/>
          </w:tcPr>
          <w:p>
            <w:pPr>
              <w:spacing w:after="0"/>
              <w:rPr>
                <w:sz w:val="13"/>
                <w:szCs w:val="13"/>
                <w:color w:val="auto"/>
              </w:rPr>
            </w:pPr>
          </w:p>
        </w:tc>
        <w:tc>
          <w:tcPr>
            <w:tcW w:w="720" w:type="dxa"/>
            <w:vAlign w:val="bottom"/>
            <w:shd w:val="clear" w:color="auto" w:fill="EAF9E8"/>
          </w:tcPr>
          <w:p>
            <w:pPr>
              <w:jc w:val="right"/>
              <w:ind w:right="112"/>
              <w:spacing w:after="0" w:line="159" w:lineRule="exact"/>
              <w:rPr>
                <w:sz w:val="20"/>
                <w:szCs w:val="20"/>
                <w:color w:val="auto"/>
              </w:rPr>
            </w:pPr>
            <w:r>
              <w:rPr>
                <w:rFonts w:ascii="Arial" w:cs="Arial" w:eastAsia="Arial" w:hAnsi="Arial"/>
                <w:sz w:val="14"/>
                <w:szCs w:val="14"/>
                <w:color w:val="auto"/>
              </w:rPr>
              <w:t>319</w:t>
            </w:r>
          </w:p>
        </w:tc>
        <w:tc>
          <w:tcPr>
            <w:tcW w:w="80" w:type="dxa"/>
            <w:vAlign w:val="bottom"/>
            <w:shd w:val="clear" w:color="auto" w:fill="EAF9E8"/>
          </w:tcPr>
          <w:p>
            <w:pPr>
              <w:spacing w:after="0"/>
              <w:rPr>
                <w:sz w:val="13"/>
                <w:szCs w:val="13"/>
                <w:color w:val="auto"/>
              </w:rPr>
            </w:pPr>
          </w:p>
        </w:tc>
        <w:tc>
          <w:tcPr>
            <w:tcW w:w="600" w:type="dxa"/>
            <w:vAlign w:val="bottom"/>
            <w:shd w:val="clear" w:color="auto" w:fill="EAF9E8"/>
          </w:tcPr>
          <w:p>
            <w:pPr>
              <w:jc w:val="right"/>
              <w:ind w:right="132"/>
              <w:spacing w:after="0" w:line="159" w:lineRule="exact"/>
              <w:rPr>
                <w:sz w:val="20"/>
                <w:szCs w:val="20"/>
                <w:color w:val="auto"/>
              </w:rPr>
            </w:pPr>
            <w:r>
              <w:rPr>
                <w:rFonts w:ascii="Arial" w:cs="Arial" w:eastAsia="Arial" w:hAnsi="Arial"/>
                <w:sz w:val="14"/>
                <w:szCs w:val="14"/>
                <w:color w:val="auto"/>
              </w:rPr>
              <w:t>632</w:t>
            </w:r>
          </w:p>
        </w:tc>
        <w:tc>
          <w:tcPr>
            <w:tcW w:w="100" w:type="dxa"/>
            <w:vAlign w:val="bottom"/>
            <w:shd w:val="clear" w:color="auto" w:fill="EAF9E8"/>
          </w:tcPr>
          <w:p>
            <w:pPr>
              <w:spacing w:after="0"/>
              <w:rPr>
                <w:sz w:val="13"/>
                <w:szCs w:val="13"/>
                <w:color w:val="auto"/>
              </w:rPr>
            </w:pPr>
          </w:p>
        </w:tc>
        <w:tc>
          <w:tcPr>
            <w:tcW w:w="620" w:type="dxa"/>
            <w:vAlign w:val="bottom"/>
            <w:shd w:val="clear" w:color="auto" w:fill="EAF9E8"/>
          </w:tcPr>
          <w:p>
            <w:pPr>
              <w:jc w:val="right"/>
              <w:ind w:right="112"/>
              <w:spacing w:after="0" w:line="159" w:lineRule="exact"/>
              <w:rPr>
                <w:sz w:val="20"/>
                <w:szCs w:val="20"/>
                <w:color w:val="auto"/>
              </w:rPr>
            </w:pPr>
            <w:r>
              <w:rPr>
                <w:rFonts w:ascii="Arial" w:cs="Arial" w:eastAsia="Arial" w:hAnsi="Arial"/>
                <w:sz w:val="14"/>
                <w:szCs w:val="14"/>
                <w:color w:val="auto"/>
              </w:rPr>
              <w:t>2,059</w:t>
            </w:r>
          </w:p>
        </w:tc>
        <w:tc>
          <w:tcPr>
            <w:tcW w:w="6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520" w:type="dxa"/>
            <w:vAlign w:val="bottom"/>
            <w:shd w:val="clear" w:color="auto" w:fill="EAF9E8"/>
          </w:tcPr>
          <w:p>
            <w:pPr>
              <w:jc w:val="right"/>
              <w:ind w:right="112"/>
              <w:spacing w:after="0" w:line="159" w:lineRule="exact"/>
              <w:rPr>
                <w:sz w:val="20"/>
                <w:szCs w:val="20"/>
                <w:color w:val="auto"/>
              </w:rPr>
            </w:pPr>
            <w:r>
              <w:rPr>
                <w:rFonts w:ascii="Arial" w:cs="Arial" w:eastAsia="Arial" w:hAnsi="Arial"/>
                <w:sz w:val="14"/>
                <w:szCs w:val="14"/>
                <w:color w:val="auto"/>
                <w:w w:val="91"/>
              </w:rPr>
              <w:t>4,275</w:t>
            </w:r>
          </w:p>
        </w:tc>
        <w:tc>
          <w:tcPr>
            <w:tcW w:w="220" w:type="dxa"/>
            <w:vAlign w:val="bottom"/>
            <w:shd w:val="clear" w:color="auto" w:fill="EAF9E8"/>
          </w:tcPr>
          <w:p>
            <w:pPr>
              <w:spacing w:after="0"/>
              <w:rPr>
                <w:sz w:val="13"/>
                <w:szCs w:val="13"/>
                <w:color w:val="auto"/>
              </w:rPr>
            </w:pPr>
          </w:p>
        </w:tc>
        <w:tc>
          <w:tcPr>
            <w:tcW w:w="64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(250)</w:t>
            </w:r>
          </w:p>
        </w:tc>
        <w:tc>
          <w:tcPr>
            <w:tcW w:w="260" w:type="dxa"/>
            <w:vAlign w:val="bottom"/>
            <w:shd w:val="clear" w:color="auto" w:fill="EAF9E8"/>
          </w:tcPr>
          <w:p>
            <w:pPr>
              <w:spacing w:after="0"/>
              <w:rPr>
                <w:sz w:val="13"/>
                <w:szCs w:val="13"/>
                <w:color w:val="auto"/>
              </w:rPr>
            </w:pPr>
          </w:p>
        </w:tc>
        <w:tc>
          <w:tcPr>
            <w:tcW w:w="60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38,116</w:t>
            </w:r>
          </w:p>
        </w:tc>
        <w:tc>
          <w:tcPr>
            <w:tcW w:w="140" w:type="dxa"/>
            <w:vAlign w:val="bottom"/>
            <w:shd w:val="clear" w:color="auto" w:fill="EAF9E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40" w:type="dxa"/>
            <w:vAlign w:val="bottom"/>
          </w:tcPr>
          <w:p>
            <w:pPr>
              <w:spacing w:after="0"/>
              <w:rPr>
                <w:sz w:val="20"/>
                <w:szCs w:val="20"/>
                <w:color w:val="auto"/>
              </w:rPr>
            </w:pPr>
            <w:r>
              <w:rPr>
                <w:rFonts w:ascii="Arial" w:cs="Arial" w:eastAsia="Arial" w:hAnsi="Arial"/>
                <w:sz w:val="14"/>
                <w:szCs w:val="14"/>
                <w:color w:val="auto"/>
                <w:w w:val="92"/>
              </w:rPr>
              <w:t>Depreciation and amortization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2"/>
              <w:spacing w:after="0"/>
              <w:rPr>
                <w:sz w:val="20"/>
                <w:szCs w:val="20"/>
                <w:color w:val="auto"/>
              </w:rPr>
            </w:pPr>
            <w:r>
              <w:rPr>
                <w:rFonts w:ascii="Arial" w:cs="Arial" w:eastAsia="Arial" w:hAnsi="Arial"/>
                <w:sz w:val="14"/>
                <w:szCs w:val="14"/>
                <w:color w:val="auto"/>
                <w:w w:val="88"/>
              </w:rPr>
              <w:t>11,915</w:t>
            </w:r>
          </w:p>
        </w:tc>
        <w:tc>
          <w:tcPr>
            <w:tcW w:w="260" w:type="dxa"/>
            <w:vAlign w:val="bottom"/>
          </w:tcPr>
          <w:p>
            <w:pPr>
              <w:spacing w:after="0"/>
              <w:rPr>
                <w:sz w:val="14"/>
                <w:szCs w:val="14"/>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color w:val="auto"/>
              </w:rPr>
              <w:t>4,633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ind w:right="112"/>
              <w:spacing w:after="0"/>
              <w:rPr>
                <w:sz w:val="20"/>
                <w:szCs w:val="20"/>
                <w:color w:val="auto"/>
              </w:rPr>
            </w:pPr>
            <w:r>
              <w:rPr>
                <w:rFonts w:ascii="Arial" w:cs="Arial" w:eastAsia="Arial" w:hAnsi="Arial"/>
                <w:sz w:val="14"/>
                <w:szCs w:val="14"/>
                <w:color w:val="auto"/>
              </w:rPr>
              <w:t>232</w:t>
            </w:r>
          </w:p>
        </w:tc>
        <w:tc>
          <w:tcPr>
            <w:tcW w:w="80" w:type="dxa"/>
            <w:vAlign w:val="bottom"/>
          </w:tcPr>
          <w:p>
            <w:pPr>
              <w:spacing w:after="0"/>
              <w:rPr>
                <w:sz w:val="14"/>
                <w:szCs w:val="14"/>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color w:val="auto"/>
              </w:rPr>
              <w:t>611</w:t>
            </w:r>
          </w:p>
        </w:tc>
        <w:tc>
          <w:tcPr>
            <w:tcW w:w="100" w:type="dxa"/>
            <w:vAlign w:val="bottom"/>
          </w:tcPr>
          <w:p>
            <w:pPr>
              <w:spacing w:after="0"/>
              <w:rPr>
                <w:sz w:val="14"/>
                <w:szCs w:val="14"/>
                <w:color w:val="auto"/>
              </w:rPr>
            </w:pPr>
          </w:p>
        </w:tc>
        <w:tc>
          <w:tcPr>
            <w:tcW w:w="620" w:type="dxa"/>
            <w:vAlign w:val="bottom"/>
          </w:tcPr>
          <w:p>
            <w:pPr>
              <w:jc w:val="right"/>
              <w:ind w:right="112"/>
              <w:spacing w:after="0"/>
              <w:rPr>
                <w:sz w:val="20"/>
                <w:szCs w:val="20"/>
                <w:color w:val="auto"/>
              </w:rPr>
            </w:pPr>
            <w:r>
              <w:rPr>
                <w:rFonts w:ascii="Arial" w:cs="Arial" w:eastAsia="Arial" w:hAnsi="Arial"/>
                <w:sz w:val="14"/>
                <w:szCs w:val="14"/>
                <w:color w:val="auto"/>
              </w:rPr>
              <w:t>95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12"/>
              <w:spacing w:after="0"/>
              <w:rPr>
                <w:sz w:val="20"/>
                <w:szCs w:val="20"/>
                <w:color w:val="auto"/>
              </w:rPr>
            </w:pPr>
            <w:r>
              <w:rPr>
                <w:rFonts w:ascii="Arial" w:cs="Arial" w:eastAsia="Arial" w:hAnsi="Arial"/>
                <w:sz w:val="14"/>
                <w:szCs w:val="14"/>
                <w:color w:val="auto"/>
                <w:w w:val="91"/>
              </w:rPr>
              <w:t>1,534</w:t>
            </w:r>
          </w:p>
        </w:tc>
        <w:tc>
          <w:tcPr>
            <w:tcW w:w="220" w:type="dxa"/>
            <w:vAlign w:val="bottom"/>
          </w:tcPr>
          <w:p>
            <w:pPr>
              <w:spacing w:after="0"/>
              <w:rPr>
                <w:sz w:val="14"/>
                <w:szCs w:val="14"/>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19,020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1760" w:type="dxa"/>
            <w:vAlign w:val="bottom"/>
            <w:gridSpan w:val="2"/>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gridSpan w:val="2"/>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74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Total operating expenses</w:t>
            </w:r>
          </w:p>
        </w:tc>
        <w:tc>
          <w:tcPr>
            <w:tcW w:w="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w w:val="88"/>
              </w:rPr>
              <w:t>73,979</w:t>
            </w:r>
          </w:p>
        </w:tc>
        <w:tc>
          <w:tcPr>
            <w:tcW w:w="260" w:type="dxa"/>
            <w:vAlign w:val="bottom"/>
            <w:shd w:val="clear" w:color="auto" w:fill="EAF9E8"/>
          </w:tcPr>
          <w:p>
            <w:pPr>
              <w:spacing w:after="0"/>
              <w:rPr>
                <w:sz w:val="12"/>
                <w:szCs w:val="12"/>
                <w:color w:val="auto"/>
              </w:rPr>
            </w:pPr>
          </w:p>
        </w:tc>
        <w:tc>
          <w:tcPr>
            <w:tcW w:w="54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w w:val="93"/>
              </w:rPr>
              <w:t>16,860</w:t>
            </w:r>
          </w:p>
        </w:tc>
        <w:tc>
          <w:tcPr>
            <w:tcW w:w="10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20" w:type="dxa"/>
            <w:vAlign w:val="bottom"/>
            <w:shd w:val="clear" w:color="auto" w:fill="EAF9E8"/>
          </w:tcPr>
          <w:p>
            <w:pPr>
              <w:jc w:val="right"/>
              <w:ind w:right="112"/>
              <w:spacing w:after="0" w:line="149" w:lineRule="exact"/>
              <w:rPr>
                <w:sz w:val="20"/>
                <w:szCs w:val="20"/>
                <w:color w:val="auto"/>
              </w:rPr>
            </w:pPr>
            <w:r>
              <w:rPr>
                <w:rFonts w:ascii="Arial" w:cs="Arial" w:eastAsia="Arial" w:hAnsi="Arial"/>
                <w:sz w:val="14"/>
                <w:szCs w:val="14"/>
                <w:color w:val="auto"/>
              </w:rPr>
              <w:t>903</w:t>
            </w: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jc w:val="right"/>
              <w:ind w:right="132"/>
              <w:spacing w:after="0" w:line="149" w:lineRule="exact"/>
              <w:rPr>
                <w:sz w:val="20"/>
                <w:szCs w:val="20"/>
                <w:color w:val="auto"/>
              </w:rPr>
            </w:pPr>
            <w:r>
              <w:rPr>
                <w:rFonts w:ascii="Arial" w:cs="Arial" w:eastAsia="Arial" w:hAnsi="Arial"/>
                <w:sz w:val="14"/>
                <w:szCs w:val="14"/>
                <w:color w:val="auto"/>
              </w:rPr>
              <w:t>2,357</w:t>
            </w:r>
          </w:p>
        </w:tc>
        <w:tc>
          <w:tcPr>
            <w:tcW w:w="100" w:type="dxa"/>
            <w:vAlign w:val="bottom"/>
            <w:shd w:val="clear" w:color="auto" w:fill="EAF9E8"/>
          </w:tcPr>
          <w:p>
            <w:pPr>
              <w:spacing w:after="0"/>
              <w:rPr>
                <w:sz w:val="12"/>
                <w:szCs w:val="12"/>
                <w:color w:val="auto"/>
              </w:rPr>
            </w:pPr>
          </w:p>
        </w:tc>
        <w:tc>
          <w:tcPr>
            <w:tcW w:w="620" w:type="dxa"/>
            <w:vAlign w:val="bottom"/>
            <w:shd w:val="clear" w:color="auto" w:fill="EAF9E8"/>
          </w:tcPr>
          <w:p>
            <w:pPr>
              <w:jc w:val="right"/>
              <w:ind w:right="112"/>
              <w:spacing w:after="0" w:line="149" w:lineRule="exact"/>
              <w:rPr>
                <w:sz w:val="20"/>
                <w:szCs w:val="20"/>
                <w:color w:val="auto"/>
              </w:rPr>
            </w:pPr>
            <w:r>
              <w:rPr>
                <w:rFonts w:ascii="Arial" w:cs="Arial" w:eastAsia="Arial" w:hAnsi="Arial"/>
                <w:sz w:val="14"/>
                <w:szCs w:val="14"/>
                <w:color w:val="auto"/>
              </w:rPr>
              <w:t>2,163</w:t>
            </w:r>
          </w:p>
        </w:tc>
        <w:tc>
          <w:tcPr>
            <w:tcW w:w="60" w:type="dxa"/>
            <w:vAlign w:val="bottom"/>
            <w:shd w:val="clear" w:color="auto" w:fill="EAF9E8"/>
          </w:tcPr>
          <w:p>
            <w:pPr>
              <w:spacing w:after="0"/>
              <w:rPr>
                <w:sz w:val="12"/>
                <w:szCs w:val="12"/>
                <w:color w:val="auto"/>
              </w:rPr>
            </w:pPr>
          </w:p>
        </w:tc>
        <w:tc>
          <w:tcPr>
            <w:tcW w:w="620" w:type="dxa"/>
            <w:vAlign w:val="bottom"/>
            <w:gridSpan w:val="2"/>
            <w:shd w:val="clear" w:color="auto" w:fill="EAF9E8"/>
          </w:tcPr>
          <w:p>
            <w:pPr>
              <w:jc w:val="right"/>
              <w:ind w:right="112"/>
              <w:spacing w:after="0" w:line="149" w:lineRule="exact"/>
              <w:rPr>
                <w:sz w:val="20"/>
                <w:szCs w:val="20"/>
                <w:color w:val="auto"/>
              </w:rPr>
            </w:pPr>
            <w:r>
              <w:rPr>
                <w:rFonts w:ascii="Arial" w:cs="Arial" w:eastAsia="Arial" w:hAnsi="Arial"/>
                <w:sz w:val="14"/>
                <w:szCs w:val="14"/>
                <w:color w:val="auto"/>
                <w:w w:val="97"/>
              </w:rPr>
              <w:t>13,646</w:t>
            </w:r>
          </w:p>
        </w:tc>
        <w:tc>
          <w:tcPr>
            <w:tcW w:w="220" w:type="dxa"/>
            <w:vAlign w:val="bottom"/>
            <w:shd w:val="clear" w:color="auto" w:fill="EAF9E8"/>
          </w:tcPr>
          <w:p>
            <w:pPr>
              <w:spacing w:after="0"/>
              <w:rPr>
                <w:sz w:val="12"/>
                <w:szCs w:val="12"/>
                <w:color w:val="auto"/>
              </w:rPr>
            </w:pPr>
          </w:p>
        </w:tc>
        <w:tc>
          <w:tcPr>
            <w:tcW w:w="6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(6,925)</w:t>
            </w:r>
          </w:p>
        </w:tc>
        <w:tc>
          <w:tcPr>
            <w:tcW w:w="260" w:type="dxa"/>
            <w:vAlign w:val="bottom"/>
            <w:shd w:val="clear" w:color="auto" w:fill="EAF9E8"/>
          </w:tcPr>
          <w:p>
            <w:pPr>
              <w:spacing w:after="0"/>
              <w:rPr>
                <w:sz w:val="12"/>
                <w:szCs w:val="12"/>
                <w:color w:val="auto"/>
              </w:rPr>
            </w:pPr>
          </w:p>
        </w:tc>
        <w:tc>
          <w:tcPr>
            <w:tcW w:w="6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102,983</w:t>
            </w:r>
          </w:p>
        </w:tc>
        <w:tc>
          <w:tcPr>
            <w:tcW w:w="140" w:type="dxa"/>
            <w:vAlign w:val="bottom"/>
            <w:shd w:val="clear" w:color="auto" w:fill="EAF9E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76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760" w:type="dxa"/>
            <w:vAlign w:val="bottom"/>
            <w:gridSpan w:val="2"/>
          </w:tcPr>
          <w:p>
            <w:pPr>
              <w:spacing w:after="0"/>
              <w:rPr>
                <w:sz w:val="20"/>
                <w:szCs w:val="20"/>
                <w:color w:val="auto"/>
              </w:rPr>
            </w:pPr>
            <w:r>
              <w:rPr>
                <w:rFonts w:ascii="Arial" w:cs="Arial" w:eastAsia="Arial" w:hAnsi="Arial"/>
                <w:sz w:val="14"/>
                <w:szCs w:val="14"/>
                <w:color w:val="auto"/>
              </w:rPr>
              <w:t>Operating income (loss)</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12"/>
              <w:spacing w:after="0"/>
              <w:rPr>
                <w:sz w:val="20"/>
                <w:szCs w:val="20"/>
                <w:color w:val="auto"/>
              </w:rPr>
            </w:pPr>
            <w:r>
              <w:rPr>
                <w:rFonts w:ascii="Arial" w:cs="Arial" w:eastAsia="Arial" w:hAnsi="Arial"/>
                <w:sz w:val="14"/>
                <w:szCs w:val="14"/>
                <w:color w:val="auto"/>
              </w:rPr>
              <w:t>6,187</w:t>
            </w:r>
          </w:p>
        </w:tc>
        <w:tc>
          <w:tcPr>
            <w:tcW w:w="260" w:type="dxa"/>
            <w:vAlign w:val="bottom"/>
          </w:tcPr>
          <w:p>
            <w:pPr>
              <w:spacing w:after="0"/>
              <w:rPr>
                <w:sz w:val="22"/>
                <w:szCs w:val="22"/>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color w:val="auto"/>
                <w:w w:val="93"/>
              </w:rPr>
              <w:t>10,515</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(167)</w:t>
            </w:r>
          </w:p>
        </w:tc>
        <w:tc>
          <w:tcPr>
            <w:tcW w:w="80" w:type="dxa"/>
            <w:vAlign w:val="bottom"/>
          </w:tcPr>
          <w:p>
            <w:pPr>
              <w:spacing w:after="0"/>
              <w:rPr>
                <w:sz w:val="22"/>
                <w:szCs w:val="22"/>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color w:val="auto"/>
              </w:rPr>
              <w:t>2,034</w:t>
            </w:r>
          </w:p>
        </w:tc>
        <w:tc>
          <w:tcPr>
            <w:tcW w:w="100" w:type="dxa"/>
            <w:vAlign w:val="bottom"/>
          </w:tcPr>
          <w:p>
            <w:pPr>
              <w:spacing w:after="0"/>
              <w:rPr>
                <w:sz w:val="22"/>
                <w:szCs w:val="22"/>
                <w:color w:val="auto"/>
              </w:rPr>
            </w:pPr>
          </w:p>
        </w:tc>
        <w:tc>
          <w:tcPr>
            <w:tcW w:w="620" w:type="dxa"/>
            <w:vAlign w:val="bottom"/>
          </w:tcPr>
          <w:p>
            <w:pPr>
              <w:jc w:val="right"/>
              <w:ind w:right="72"/>
              <w:spacing w:after="0"/>
              <w:rPr>
                <w:sz w:val="20"/>
                <w:szCs w:val="20"/>
                <w:color w:val="auto"/>
              </w:rPr>
            </w:pPr>
            <w:r>
              <w:rPr>
                <w:rFonts w:ascii="Arial" w:cs="Arial" w:eastAsia="Arial" w:hAnsi="Arial"/>
                <w:sz w:val="14"/>
                <w:szCs w:val="14"/>
                <w:color w:val="auto"/>
              </w:rPr>
              <w:t>(2,163)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ind w:right="112"/>
              <w:spacing w:after="0"/>
              <w:rPr>
                <w:sz w:val="20"/>
                <w:szCs w:val="20"/>
                <w:color w:val="auto"/>
              </w:rPr>
            </w:pPr>
            <w:r>
              <w:rPr>
                <w:rFonts w:ascii="Arial" w:cs="Arial" w:eastAsia="Arial" w:hAnsi="Arial"/>
                <w:sz w:val="14"/>
                <w:szCs w:val="14"/>
                <w:color w:val="auto"/>
                <w:w w:val="91"/>
              </w:rPr>
              <w:t>1,605</w:t>
            </w:r>
          </w:p>
        </w:tc>
        <w:tc>
          <w:tcPr>
            <w:tcW w:w="220" w:type="dxa"/>
            <w:vAlign w:val="bottom"/>
          </w:tcPr>
          <w:p>
            <w:pPr>
              <w:spacing w:after="0"/>
              <w:rPr>
                <w:sz w:val="22"/>
                <w:szCs w:val="22"/>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18,011</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740" w:type="dxa"/>
            <w:vAlign w:val="bottom"/>
            <w:shd w:val="clear" w:color="auto" w:fill="EAF9E8"/>
          </w:tcPr>
          <w:p>
            <w:pPr>
              <w:spacing w:after="0" w:line="138" w:lineRule="exact"/>
              <w:rPr>
                <w:sz w:val="20"/>
                <w:szCs w:val="20"/>
                <w:color w:val="auto"/>
              </w:rPr>
            </w:pPr>
            <w:r>
              <w:rPr>
                <w:rFonts w:ascii="Arial" w:cs="Arial" w:eastAsia="Arial" w:hAnsi="Arial"/>
                <w:sz w:val="14"/>
                <w:szCs w:val="14"/>
                <w:color w:val="auto"/>
              </w:rPr>
              <w:t>Non-operating income</w:t>
            </w:r>
          </w:p>
        </w:tc>
        <w:tc>
          <w:tcPr>
            <w:tcW w:w="8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480" w:type="dxa"/>
            <w:vAlign w:val="bottom"/>
            <w:shd w:val="clear" w:color="auto" w:fill="EAF9E8"/>
          </w:tcPr>
          <w:p>
            <w:pPr>
              <w:spacing w:after="0"/>
              <w:rPr>
                <w:sz w:val="11"/>
                <w:szCs w:val="11"/>
                <w:color w:val="auto"/>
              </w:rPr>
            </w:pPr>
          </w:p>
        </w:tc>
        <w:tc>
          <w:tcPr>
            <w:tcW w:w="260" w:type="dxa"/>
            <w:vAlign w:val="bottom"/>
            <w:shd w:val="clear" w:color="auto" w:fill="EAF9E8"/>
          </w:tcPr>
          <w:p>
            <w:pPr>
              <w:spacing w:after="0"/>
              <w:rPr>
                <w:sz w:val="11"/>
                <w:szCs w:val="11"/>
                <w:color w:val="auto"/>
              </w:rPr>
            </w:pPr>
          </w:p>
        </w:tc>
        <w:tc>
          <w:tcPr>
            <w:tcW w:w="5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6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620" w:type="dxa"/>
            <w:vAlign w:val="bottom"/>
            <w:shd w:val="clear" w:color="auto" w:fill="EAF9E8"/>
          </w:tcPr>
          <w:p>
            <w:pPr>
              <w:spacing w:after="0"/>
              <w:rPr>
                <w:sz w:val="11"/>
                <w:szCs w:val="11"/>
                <w:color w:val="auto"/>
              </w:rPr>
            </w:pPr>
          </w:p>
        </w:tc>
        <w:tc>
          <w:tcPr>
            <w:tcW w:w="6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5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640" w:type="dxa"/>
            <w:vAlign w:val="bottom"/>
            <w:shd w:val="clear" w:color="auto" w:fill="EAF9E8"/>
          </w:tcPr>
          <w:p>
            <w:pPr>
              <w:spacing w:after="0"/>
              <w:rPr>
                <w:sz w:val="11"/>
                <w:szCs w:val="11"/>
                <w:color w:val="auto"/>
              </w:rPr>
            </w:pPr>
          </w:p>
        </w:tc>
        <w:tc>
          <w:tcPr>
            <w:tcW w:w="260" w:type="dxa"/>
            <w:vAlign w:val="bottom"/>
            <w:shd w:val="clear" w:color="auto" w:fill="EAF9E8"/>
          </w:tcPr>
          <w:p>
            <w:pPr>
              <w:spacing w:after="0"/>
              <w:rPr>
                <w:sz w:val="11"/>
                <w:szCs w:val="11"/>
                <w:color w:val="auto"/>
              </w:rPr>
            </w:pPr>
          </w:p>
        </w:tc>
        <w:tc>
          <w:tcPr>
            <w:tcW w:w="60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40" w:type="dxa"/>
            <w:vAlign w:val="bottom"/>
            <w:shd w:val="clear" w:color="auto" w:fill="EAF9E8"/>
          </w:tcPr>
          <w:p>
            <w:pPr>
              <w:spacing w:after="0" w:line="159" w:lineRule="exact"/>
              <w:rPr>
                <w:sz w:val="20"/>
                <w:szCs w:val="20"/>
                <w:color w:val="auto"/>
              </w:rPr>
            </w:pPr>
            <w:r>
              <w:rPr>
                <w:rFonts w:ascii="Arial" w:cs="Arial" w:eastAsia="Arial" w:hAnsi="Arial"/>
                <w:sz w:val="14"/>
                <w:szCs w:val="14"/>
                <w:color w:val="auto"/>
              </w:rPr>
              <w:t>(expense)</w:t>
            </w:r>
          </w:p>
        </w:tc>
        <w:tc>
          <w:tcPr>
            <w:tcW w:w="80" w:type="dxa"/>
            <w:vAlign w:val="bottom"/>
            <w:shd w:val="clear" w:color="auto" w:fill="EAF9E8"/>
          </w:tcPr>
          <w:p>
            <w:pPr>
              <w:spacing w:after="0"/>
              <w:rPr>
                <w:sz w:val="13"/>
                <w:szCs w:val="13"/>
                <w:color w:val="auto"/>
              </w:rPr>
            </w:pPr>
          </w:p>
        </w:tc>
        <w:tc>
          <w:tcPr>
            <w:tcW w:w="8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480" w:type="dxa"/>
            <w:vAlign w:val="bottom"/>
            <w:shd w:val="clear" w:color="auto" w:fill="EAF9E8"/>
          </w:tcPr>
          <w:p>
            <w:pPr>
              <w:jc w:val="right"/>
              <w:ind w:right="12"/>
              <w:spacing w:after="0" w:line="159" w:lineRule="exact"/>
              <w:rPr>
                <w:sz w:val="20"/>
                <w:szCs w:val="20"/>
                <w:color w:val="auto"/>
              </w:rPr>
            </w:pPr>
            <w:r>
              <w:rPr>
                <w:rFonts w:ascii="Arial" w:cs="Arial" w:eastAsia="Arial" w:hAnsi="Arial"/>
                <w:sz w:val="14"/>
                <w:szCs w:val="14"/>
                <w:color w:val="auto"/>
              </w:rPr>
              <w:t>2</w:t>
            </w:r>
          </w:p>
        </w:tc>
        <w:tc>
          <w:tcPr>
            <w:tcW w:w="260" w:type="dxa"/>
            <w:vAlign w:val="bottom"/>
            <w:shd w:val="clear" w:color="auto" w:fill="EAF9E8"/>
          </w:tcPr>
          <w:p>
            <w:pPr>
              <w:spacing w:after="0"/>
              <w:rPr>
                <w:sz w:val="13"/>
                <w:szCs w:val="13"/>
                <w:color w:val="auto"/>
              </w:rPr>
            </w:pPr>
          </w:p>
        </w:tc>
        <w:tc>
          <w:tcPr>
            <w:tcW w:w="540" w:type="dxa"/>
            <w:vAlign w:val="bottom"/>
            <w:shd w:val="clear" w:color="auto" w:fill="EAF9E8"/>
          </w:tcPr>
          <w:p>
            <w:pPr>
              <w:jc w:val="right"/>
              <w:ind w:right="52"/>
              <w:spacing w:after="0" w:line="159" w:lineRule="exact"/>
              <w:rPr>
                <w:sz w:val="20"/>
                <w:szCs w:val="20"/>
                <w:color w:val="auto"/>
              </w:rPr>
            </w:pPr>
            <w:r>
              <w:rPr>
                <w:rFonts w:ascii="Arial" w:cs="Arial" w:eastAsia="Arial" w:hAnsi="Arial"/>
                <w:sz w:val="14"/>
                <w:szCs w:val="14"/>
                <w:color w:val="auto"/>
              </w:rPr>
              <w:t>355</w:t>
            </w:r>
          </w:p>
        </w:tc>
        <w:tc>
          <w:tcPr>
            <w:tcW w:w="100" w:type="dxa"/>
            <w:vAlign w:val="bottom"/>
            <w:shd w:val="clear" w:color="auto" w:fill="EAF9E8"/>
          </w:tcPr>
          <w:p>
            <w:pPr>
              <w:spacing w:after="0"/>
              <w:rPr>
                <w:sz w:val="13"/>
                <w:szCs w:val="13"/>
                <w:color w:val="auto"/>
              </w:rPr>
            </w:pPr>
          </w:p>
        </w:tc>
        <w:tc>
          <w:tcPr>
            <w:tcW w:w="60" w:type="dxa"/>
            <w:vAlign w:val="bottom"/>
            <w:shd w:val="clear" w:color="auto" w:fill="EAF9E8"/>
          </w:tcPr>
          <w:p>
            <w:pPr>
              <w:spacing w:after="0"/>
              <w:rPr>
                <w:sz w:val="13"/>
                <w:szCs w:val="13"/>
                <w:color w:val="auto"/>
              </w:rPr>
            </w:pPr>
          </w:p>
        </w:tc>
        <w:tc>
          <w:tcPr>
            <w:tcW w:w="720" w:type="dxa"/>
            <w:vAlign w:val="bottom"/>
            <w:shd w:val="clear" w:color="auto" w:fill="EAF9E8"/>
          </w:tcPr>
          <w:p>
            <w:pPr>
              <w:jc w:val="right"/>
              <w:ind w:right="112"/>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EAF9E8"/>
          </w:tcPr>
          <w:p>
            <w:pPr>
              <w:spacing w:after="0"/>
              <w:rPr>
                <w:sz w:val="13"/>
                <w:szCs w:val="13"/>
                <w:color w:val="auto"/>
              </w:rPr>
            </w:pPr>
          </w:p>
        </w:tc>
        <w:tc>
          <w:tcPr>
            <w:tcW w:w="600" w:type="dxa"/>
            <w:vAlign w:val="bottom"/>
            <w:shd w:val="clear" w:color="auto" w:fill="EAF9E8"/>
          </w:tcPr>
          <w:p>
            <w:pPr>
              <w:jc w:val="right"/>
              <w:ind w:right="132"/>
              <w:spacing w:after="0" w:line="159" w:lineRule="exact"/>
              <w:rPr>
                <w:sz w:val="20"/>
                <w:szCs w:val="20"/>
                <w:color w:val="auto"/>
              </w:rPr>
            </w:pPr>
            <w:r>
              <w:rPr>
                <w:rFonts w:ascii="Arial" w:cs="Arial" w:eastAsia="Arial" w:hAnsi="Arial"/>
                <w:sz w:val="14"/>
                <w:szCs w:val="14"/>
                <w:color w:val="auto"/>
              </w:rPr>
              <w:t>82</w:t>
            </w:r>
          </w:p>
        </w:tc>
        <w:tc>
          <w:tcPr>
            <w:tcW w:w="100" w:type="dxa"/>
            <w:vAlign w:val="bottom"/>
            <w:shd w:val="clear" w:color="auto" w:fill="EAF9E8"/>
          </w:tcPr>
          <w:p>
            <w:pPr>
              <w:spacing w:after="0"/>
              <w:rPr>
                <w:sz w:val="13"/>
                <w:szCs w:val="13"/>
                <w:color w:val="auto"/>
              </w:rPr>
            </w:pPr>
          </w:p>
        </w:tc>
        <w:tc>
          <w:tcPr>
            <w:tcW w:w="620" w:type="dxa"/>
            <w:vAlign w:val="bottom"/>
            <w:shd w:val="clear" w:color="auto" w:fill="EAF9E8"/>
          </w:tcPr>
          <w:p>
            <w:pPr>
              <w:jc w:val="right"/>
              <w:ind w:right="112"/>
              <w:spacing w:after="0" w:line="159" w:lineRule="exact"/>
              <w:rPr>
                <w:sz w:val="20"/>
                <w:szCs w:val="20"/>
                <w:color w:val="auto"/>
              </w:rPr>
            </w:pPr>
            <w:r>
              <w:rPr>
                <w:rFonts w:ascii="Arial" w:cs="Arial" w:eastAsia="Arial" w:hAnsi="Arial"/>
                <w:sz w:val="14"/>
                <w:szCs w:val="14"/>
                <w:color w:val="auto"/>
              </w:rPr>
              <w:t>2,982</w:t>
            </w:r>
          </w:p>
        </w:tc>
        <w:tc>
          <w:tcPr>
            <w:tcW w:w="6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520" w:type="dxa"/>
            <w:vAlign w:val="bottom"/>
            <w:shd w:val="clear" w:color="auto" w:fill="EAF9E8"/>
          </w:tcPr>
          <w:p>
            <w:pPr>
              <w:jc w:val="right"/>
              <w:ind w:right="112"/>
              <w:spacing w:after="0" w:line="159" w:lineRule="exact"/>
              <w:rPr>
                <w:sz w:val="20"/>
                <w:szCs w:val="20"/>
                <w:color w:val="auto"/>
              </w:rPr>
            </w:pPr>
            <w:r>
              <w:rPr>
                <w:rFonts w:ascii="Arial" w:cs="Arial" w:eastAsia="Arial" w:hAnsi="Arial"/>
                <w:sz w:val="14"/>
                <w:szCs w:val="14"/>
                <w:color w:val="auto"/>
              </w:rPr>
              <w:t>26</w:t>
            </w:r>
          </w:p>
        </w:tc>
        <w:tc>
          <w:tcPr>
            <w:tcW w:w="220" w:type="dxa"/>
            <w:vAlign w:val="bottom"/>
            <w:shd w:val="clear" w:color="auto" w:fill="EAF9E8"/>
          </w:tcPr>
          <w:p>
            <w:pPr>
              <w:spacing w:after="0"/>
              <w:rPr>
                <w:sz w:val="13"/>
                <w:szCs w:val="13"/>
                <w:color w:val="auto"/>
              </w:rPr>
            </w:pPr>
          </w:p>
        </w:tc>
        <w:tc>
          <w:tcPr>
            <w:tcW w:w="64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(2,370)</w:t>
            </w:r>
          </w:p>
        </w:tc>
        <w:tc>
          <w:tcPr>
            <w:tcW w:w="260" w:type="dxa"/>
            <w:vAlign w:val="bottom"/>
            <w:shd w:val="clear" w:color="auto" w:fill="EAF9E8"/>
          </w:tcPr>
          <w:p>
            <w:pPr>
              <w:spacing w:after="0"/>
              <w:rPr>
                <w:sz w:val="13"/>
                <w:szCs w:val="13"/>
                <w:color w:val="auto"/>
              </w:rPr>
            </w:pPr>
          </w:p>
        </w:tc>
        <w:tc>
          <w:tcPr>
            <w:tcW w:w="600" w:type="dxa"/>
            <w:vAlign w:val="bottom"/>
            <w:shd w:val="clear" w:color="auto" w:fill="EAF9E8"/>
          </w:tcPr>
          <w:p>
            <w:pPr>
              <w:jc w:val="right"/>
              <w:spacing w:after="0" w:line="159" w:lineRule="exact"/>
              <w:rPr>
                <w:sz w:val="20"/>
                <w:szCs w:val="20"/>
                <w:color w:val="auto"/>
              </w:rPr>
            </w:pPr>
            <w:r>
              <w:rPr>
                <w:rFonts w:ascii="Arial" w:cs="Arial" w:eastAsia="Arial" w:hAnsi="Arial"/>
                <w:sz w:val="14"/>
                <w:szCs w:val="14"/>
                <w:color w:val="auto"/>
              </w:rPr>
              <w:t>1,077</w:t>
            </w:r>
          </w:p>
        </w:tc>
        <w:tc>
          <w:tcPr>
            <w:tcW w:w="140" w:type="dxa"/>
            <w:vAlign w:val="bottom"/>
            <w:shd w:val="clear" w:color="auto" w:fill="EAF9E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4"/>
              </w:rPr>
              <w:t>(1,626)</w:t>
            </w:r>
          </w:p>
        </w:tc>
        <w:tc>
          <w:tcPr>
            <w:tcW w:w="26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(305)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(19)</w:t>
            </w:r>
          </w:p>
        </w:tc>
        <w:tc>
          <w:tcPr>
            <w:tcW w:w="8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(254)</w:t>
            </w:r>
          </w:p>
        </w:tc>
        <w:tc>
          <w:tcPr>
            <w:tcW w:w="10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(2,804)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(491)</w:t>
            </w:r>
          </w:p>
        </w:tc>
        <w:tc>
          <w:tcPr>
            <w:tcW w:w="22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2,370</w:t>
            </w:r>
          </w:p>
        </w:tc>
        <w:tc>
          <w:tcPr>
            <w:tcW w:w="2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Income taxes</w:t>
            </w:r>
          </w:p>
        </w:tc>
        <w:tc>
          <w:tcPr>
            <w:tcW w:w="8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94"/>
              </w:rPr>
              <w:t>(1,799)</w:t>
            </w:r>
          </w:p>
        </w:tc>
        <w:tc>
          <w:tcPr>
            <w:tcW w:w="260" w:type="dxa"/>
            <w:vAlign w:val="bottom"/>
            <w:shd w:val="clear" w:color="auto" w:fill="EAF9E8"/>
          </w:tcPr>
          <w:p>
            <w:pPr>
              <w:spacing w:after="0"/>
              <w:rPr>
                <w:sz w:val="12"/>
                <w:szCs w:val="12"/>
                <w:color w:val="auto"/>
              </w:rPr>
            </w:pPr>
          </w:p>
        </w:tc>
        <w:tc>
          <w:tcPr>
            <w:tcW w:w="54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w w:val="99"/>
              </w:rPr>
              <w:t>(3,858)</w:t>
            </w:r>
          </w:p>
        </w:tc>
        <w:tc>
          <w:tcPr>
            <w:tcW w:w="100" w:type="dxa"/>
            <w:vAlign w:val="bottom"/>
            <w:shd w:val="clear" w:color="auto" w:fill="EAF9E8"/>
          </w:tcPr>
          <w:p>
            <w:pPr>
              <w:spacing w:after="0"/>
              <w:rPr>
                <w:sz w:val="12"/>
                <w:szCs w:val="12"/>
                <w:color w:val="auto"/>
              </w:rPr>
            </w:pPr>
          </w:p>
        </w:tc>
        <w:tc>
          <w:tcPr>
            <w:tcW w:w="60" w:type="dxa"/>
            <w:vAlign w:val="bottom"/>
            <w:shd w:val="clear" w:color="auto" w:fill="EAF9E8"/>
          </w:tcPr>
          <w:p>
            <w:pPr>
              <w:spacing w:after="0"/>
              <w:rPr>
                <w:sz w:val="12"/>
                <w:szCs w:val="12"/>
                <w:color w:val="auto"/>
              </w:rPr>
            </w:pPr>
          </w:p>
        </w:tc>
        <w:tc>
          <w:tcPr>
            <w:tcW w:w="720" w:type="dxa"/>
            <w:vAlign w:val="bottom"/>
            <w:shd w:val="clear" w:color="auto" w:fill="EAF9E8"/>
          </w:tcPr>
          <w:p>
            <w:pPr>
              <w:jc w:val="right"/>
              <w:ind w:right="112"/>
              <w:spacing w:after="0" w:line="149" w:lineRule="exact"/>
              <w:rPr>
                <w:sz w:val="20"/>
                <w:szCs w:val="20"/>
                <w:color w:val="auto"/>
              </w:rPr>
            </w:pPr>
            <w:r>
              <w:rPr>
                <w:rFonts w:ascii="Arial" w:cs="Arial" w:eastAsia="Arial" w:hAnsi="Arial"/>
                <w:sz w:val="14"/>
                <w:szCs w:val="14"/>
                <w:color w:val="auto"/>
              </w:rPr>
              <w:t>69</w:t>
            </w:r>
          </w:p>
        </w:tc>
        <w:tc>
          <w:tcPr>
            <w:tcW w:w="80" w:type="dxa"/>
            <w:vAlign w:val="bottom"/>
            <w:shd w:val="clear" w:color="auto" w:fill="EAF9E8"/>
          </w:tcPr>
          <w:p>
            <w:pPr>
              <w:spacing w:after="0"/>
              <w:rPr>
                <w:sz w:val="12"/>
                <w:szCs w:val="12"/>
                <w:color w:val="auto"/>
              </w:rPr>
            </w:pPr>
          </w:p>
        </w:tc>
        <w:tc>
          <w:tcPr>
            <w:tcW w:w="600" w:type="dxa"/>
            <w:vAlign w:val="bottom"/>
            <w:shd w:val="clear" w:color="auto" w:fill="EAF9E8"/>
          </w:tcPr>
          <w:p>
            <w:pPr>
              <w:jc w:val="right"/>
              <w:ind w:right="72"/>
              <w:spacing w:after="0" w:line="149" w:lineRule="exact"/>
              <w:rPr>
                <w:sz w:val="20"/>
                <w:szCs w:val="20"/>
                <w:color w:val="auto"/>
              </w:rPr>
            </w:pPr>
            <w:r>
              <w:rPr>
                <w:rFonts w:ascii="Arial" w:cs="Arial" w:eastAsia="Arial" w:hAnsi="Arial"/>
                <w:sz w:val="14"/>
                <w:szCs w:val="14"/>
                <w:color w:val="auto"/>
              </w:rPr>
              <w:t>(714)</w:t>
            </w:r>
          </w:p>
        </w:tc>
        <w:tc>
          <w:tcPr>
            <w:tcW w:w="100" w:type="dxa"/>
            <w:vAlign w:val="bottom"/>
            <w:shd w:val="clear" w:color="auto" w:fill="EAF9E8"/>
          </w:tcPr>
          <w:p>
            <w:pPr>
              <w:spacing w:after="0"/>
              <w:rPr>
                <w:sz w:val="12"/>
                <w:szCs w:val="12"/>
                <w:color w:val="auto"/>
              </w:rPr>
            </w:pPr>
          </w:p>
        </w:tc>
        <w:tc>
          <w:tcPr>
            <w:tcW w:w="620" w:type="dxa"/>
            <w:vAlign w:val="bottom"/>
            <w:shd w:val="clear" w:color="auto" w:fill="EAF9E8"/>
          </w:tcPr>
          <w:p>
            <w:pPr>
              <w:jc w:val="right"/>
              <w:ind w:right="112"/>
              <w:spacing w:after="0" w:line="149" w:lineRule="exact"/>
              <w:rPr>
                <w:sz w:val="20"/>
                <w:szCs w:val="20"/>
                <w:color w:val="auto"/>
              </w:rPr>
            </w:pPr>
            <w:r>
              <w:rPr>
                <w:rFonts w:ascii="Arial" w:cs="Arial" w:eastAsia="Arial" w:hAnsi="Arial"/>
                <w:sz w:val="14"/>
                <w:szCs w:val="14"/>
                <w:color w:val="auto"/>
              </w:rPr>
              <w:t>802</w:t>
            </w:r>
          </w:p>
        </w:tc>
        <w:tc>
          <w:tcPr>
            <w:tcW w:w="6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52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rPr>
              <w:t>(421)</w:t>
            </w:r>
          </w:p>
        </w:tc>
        <w:tc>
          <w:tcPr>
            <w:tcW w:w="220" w:type="dxa"/>
            <w:vAlign w:val="bottom"/>
            <w:shd w:val="clear" w:color="auto" w:fill="EAF9E8"/>
          </w:tcPr>
          <w:p>
            <w:pPr>
              <w:spacing w:after="0"/>
              <w:rPr>
                <w:sz w:val="12"/>
                <w:szCs w:val="12"/>
                <w:color w:val="auto"/>
              </w:rPr>
            </w:pPr>
          </w:p>
        </w:tc>
        <w:tc>
          <w:tcPr>
            <w:tcW w:w="64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(5,921)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76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gridSpan w:val="2"/>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76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80" w:type="dxa"/>
            <w:vAlign w:val="bottom"/>
          </w:tcPr>
          <w:p>
            <w:pPr>
              <w:spacing w:after="0"/>
              <w:rPr>
                <w:sz w:val="22"/>
                <w:szCs w:val="22"/>
                <w:color w:val="auto"/>
              </w:rPr>
            </w:pP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ind w:right="12"/>
              <w:spacing w:after="0"/>
              <w:rPr>
                <w:sz w:val="20"/>
                <w:szCs w:val="20"/>
                <w:color w:val="auto"/>
              </w:rPr>
            </w:pPr>
            <w:r>
              <w:rPr>
                <w:rFonts w:ascii="Arial" w:cs="Arial" w:eastAsia="Arial" w:hAnsi="Arial"/>
                <w:sz w:val="14"/>
                <w:szCs w:val="14"/>
                <w:color w:val="auto"/>
              </w:rPr>
              <w:t>2,764</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2"/>
              <w:spacing w:after="0"/>
              <w:rPr>
                <w:sz w:val="20"/>
                <w:szCs w:val="20"/>
                <w:color w:val="auto"/>
              </w:rPr>
            </w:pPr>
            <w:r>
              <w:rPr>
                <w:rFonts w:ascii="Arial" w:cs="Arial" w:eastAsia="Arial" w:hAnsi="Arial"/>
                <w:sz w:val="14"/>
                <w:szCs w:val="14"/>
                <w:color w:val="auto"/>
              </w:rPr>
              <w:t>6,707</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(117)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132"/>
              <w:spacing w:after="0"/>
              <w:rPr>
                <w:sz w:val="20"/>
                <w:szCs w:val="20"/>
                <w:color w:val="auto"/>
              </w:rPr>
            </w:pPr>
            <w:r>
              <w:rPr>
                <w:rFonts w:ascii="Arial" w:cs="Arial" w:eastAsia="Arial" w:hAnsi="Arial"/>
                <w:sz w:val="14"/>
                <w:szCs w:val="14"/>
                <w:color w:val="auto"/>
              </w:rPr>
              <w:t>1,148</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72"/>
              <w:spacing w:after="0"/>
              <w:rPr>
                <w:sz w:val="20"/>
                <w:szCs w:val="20"/>
                <w:color w:val="auto"/>
              </w:rPr>
            </w:pPr>
            <w:r>
              <w:rPr>
                <w:rFonts w:ascii="Arial" w:cs="Arial" w:eastAsia="Arial" w:hAnsi="Arial"/>
                <w:sz w:val="14"/>
                <w:szCs w:val="14"/>
                <w:color w:val="auto"/>
              </w:rPr>
              <w:t>(1,183)</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112"/>
              <w:spacing w:after="0"/>
              <w:rPr>
                <w:sz w:val="20"/>
                <w:szCs w:val="20"/>
                <w:color w:val="auto"/>
              </w:rPr>
            </w:pPr>
            <w:r>
              <w:rPr>
                <w:rFonts w:ascii="Arial" w:cs="Arial" w:eastAsia="Arial" w:hAnsi="Arial"/>
                <w:sz w:val="14"/>
                <w:szCs w:val="14"/>
                <w:color w:val="auto"/>
              </w:rPr>
              <w:t>719</w:t>
            </w:r>
          </w:p>
        </w:tc>
        <w:tc>
          <w:tcPr>
            <w:tcW w:w="220" w:type="dxa"/>
            <w:vAlign w:val="bottom"/>
          </w:tcPr>
          <w:p>
            <w:pPr>
              <w:jc w:val="right"/>
              <w:ind w:right="17"/>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10,038</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176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gridSpan w:val="2"/>
          </w:tcPr>
          <w:p>
            <w:pPr>
              <w:spacing w:after="0"/>
              <w:rPr>
                <w:sz w:val="9"/>
                <w:szCs w:val="9"/>
                <w:color w:val="auto"/>
              </w:rPr>
            </w:pPr>
          </w:p>
        </w:tc>
        <w:tc>
          <w:tcPr>
            <w:tcW w:w="720" w:type="dxa"/>
            <w:vAlign w:val="bottom"/>
            <w:tcBorders>
              <w:bottom w:val="single" w:sz="8" w:color="808080"/>
            </w:tcBorders>
            <w:gridSpan w:val="2"/>
          </w:tcPr>
          <w:p>
            <w:pPr>
              <w:spacing w:after="0"/>
              <w:rPr>
                <w:sz w:val="9"/>
                <w:szCs w:val="9"/>
                <w:color w:val="auto"/>
              </w:rPr>
            </w:pPr>
          </w:p>
        </w:tc>
        <w:tc>
          <w:tcPr>
            <w:tcW w:w="680" w:type="dxa"/>
            <w:vAlign w:val="bottom"/>
            <w:tcBorders>
              <w:bottom w:val="single" w:sz="8" w:color="808080"/>
            </w:tcBorders>
            <w:gridSpan w:val="3"/>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720" w:type="dxa"/>
            <w:vAlign w:val="bottom"/>
            <w:gridSpan w:val="2"/>
          </w:tcPr>
          <w:p>
            <w:pPr>
              <w:spacing w:after="0"/>
              <w:rPr>
                <w:sz w:val="9"/>
                <w:szCs w:val="9"/>
                <w:color w:val="auto"/>
              </w:rPr>
            </w:pPr>
          </w:p>
        </w:tc>
        <w:tc>
          <w:tcPr>
            <w:tcW w:w="680" w:type="dxa"/>
            <w:vAlign w:val="bottom"/>
            <w:gridSpan w:val="3"/>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74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shd w:val="clear" w:color="auto" w:fill="EAF9E8"/>
          </w:tcPr>
          <w:p>
            <w:pPr>
              <w:spacing w:after="0"/>
              <w:rPr>
                <w:sz w:val="12"/>
                <w:szCs w:val="12"/>
                <w:color w:val="auto"/>
              </w:rPr>
            </w:pPr>
          </w:p>
        </w:tc>
        <w:tc>
          <w:tcPr>
            <w:tcW w:w="180" w:type="dxa"/>
            <w:vAlign w:val="bottom"/>
            <w:gridSpan w:val="2"/>
            <w:shd w:val="clear" w:color="auto" w:fill="EAF9E8"/>
          </w:tcPr>
          <w:p>
            <w:pPr>
              <w:ind w:left="100"/>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w w:val="88"/>
              </w:rPr>
              <w:t>81,090</w:t>
            </w:r>
          </w:p>
        </w:tc>
        <w:tc>
          <w:tcPr>
            <w:tcW w:w="2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w w:val="93"/>
              </w:rPr>
              <w:t>59,507</w:t>
            </w:r>
          </w:p>
        </w:tc>
        <w:tc>
          <w:tcPr>
            <w:tcW w:w="16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EAF9E8"/>
          </w:tcPr>
          <w:p>
            <w:pPr>
              <w:jc w:val="right"/>
              <w:ind w:right="112"/>
              <w:spacing w:after="0" w:line="149" w:lineRule="exact"/>
              <w:rPr>
                <w:sz w:val="20"/>
                <w:szCs w:val="20"/>
                <w:color w:val="auto"/>
              </w:rPr>
            </w:pPr>
            <w:r>
              <w:rPr>
                <w:rFonts w:ascii="Arial" w:cs="Arial" w:eastAsia="Arial" w:hAnsi="Arial"/>
                <w:sz w:val="14"/>
                <w:szCs w:val="14"/>
                <w:color w:val="auto"/>
              </w:rPr>
              <w:t>24,423</w:t>
            </w:r>
          </w:p>
        </w:tc>
        <w:tc>
          <w:tcPr>
            <w:tcW w:w="680" w:type="dxa"/>
            <w:vAlign w:val="bottom"/>
            <w:gridSpan w:val="2"/>
            <w:shd w:val="clear" w:color="auto" w:fill="EAF9E8"/>
          </w:tcPr>
          <w:p>
            <w:pPr>
              <w:jc w:val="right"/>
              <w:ind w:right="132"/>
              <w:spacing w:after="0" w:line="149" w:lineRule="exact"/>
              <w:rPr>
                <w:sz w:val="20"/>
                <w:szCs w:val="20"/>
                <w:color w:val="auto"/>
              </w:rPr>
            </w:pPr>
            <w:r>
              <w:rPr>
                <w:rFonts w:ascii="Arial" w:cs="Arial" w:eastAsia="Arial" w:hAnsi="Arial"/>
                <w:sz w:val="14"/>
                <w:szCs w:val="14"/>
                <w:color w:val="auto"/>
                <w:w w:val="84"/>
              </w:rPr>
              <w:t>$ 17,509</w:t>
            </w:r>
          </w:p>
        </w:tc>
        <w:tc>
          <w:tcPr>
            <w:tcW w:w="720" w:type="dxa"/>
            <w:vAlign w:val="bottom"/>
            <w:gridSpan w:val="2"/>
            <w:shd w:val="clear" w:color="auto" w:fill="EAF9E8"/>
          </w:tcPr>
          <w:p>
            <w:pPr>
              <w:jc w:val="right"/>
              <w:ind w:right="112"/>
              <w:spacing w:after="0" w:line="149" w:lineRule="exact"/>
              <w:rPr>
                <w:sz w:val="20"/>
                <w:szCs w:val="20"/>
                <w:color w:val="auto"/>
              </w:rPr>
            </w:pPr>
            <w:r>
              <w:rPr>
                <w:rFonts w:ascii="Arial" w:cs="Arial" w:eastAsia="Arial" w:hAnsi="Arial"/>
                <w:sz w:val="14"/>
                <w:szCs w:val="14"/>
                <w:color w:val="auto"/>
                <w:w w:val="88"/>
              </w:rPr>
              <w:t>$152,002</w:t>
            </w:r>
          </w:p>
        </w:tc>
        <w:tc>
          <w:tcPr>
            <w:tcW w:w="680" w:type="dxa"/>
            <w:vAlign w:val="bottom"/>
            <w:gridSpan w:val="3"/>
            <w:shd w:val="clear" w:color="auto" w:fill="EAF9E8"/>
          </w:tcPr>
          <w:p>
            <w:pPr>
              <w:jc w:val="right"/>
              <w:ind w:right="112"/>
              <w:spacing w:after="0" w:line="149" w:lineRule="exact"/>
              <w:rPr>
                <w:sz w:val="20"/>
                <w:szCs w:val="20"/>
                <w:color w:val="auto"/>
              </w:rPr>
            </w:pPr>
            <w:r>
              <w:rPr>
                <w:rFonts w:ascii="Arial" w:cs="Arial" w:eastAsia="Arial" w:hAnsi="Arial"/>
                <w:sz w:val="14"/>
                <w:szCs w:val="14"/>
                <w:color w:val="auto"/>
                <w:w w:val="88"/>
              </w:rPr>
              <w:t>$ 23,256</w:t>
            </w:r>
          </w:p>
        </w:tc>
        <w:tc>
          <w:tcPr>
            <w:tcW w:w="220" w:type="dxa"/>
            <w:vAlign w:val="bottom"/>
            <w:shd w:val="clear" w:color="auto" w:fill="EAF9E8"/>
          </w:tcPr>
          <w:p>
            <w:pPr>
              <w:jc w:val="right"/>
              <w:ind w:right="17"/>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93"/>
              </w:rPr>
              <w:t>(146,366)</w:t>
            </w:r>
          </w:p>
        </w:tc>
        <w:tc>
          <w:tcPr>
            <w:tcW w:w="26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211,421</w:t>
            </w:r>
          </w:p>
        </w:tc>
        <w:tc>
          <w:tcPr>
            <w:tcW w:w="140" w:type="dxa"/>
            <w:vAlign w:val="bottom"/>
            <w:shd w:val="clear" w:color="auto" w:fill="EAF9E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1117600</wp:posOffset>
            </wp:positionH>
            <wp:positionV relativeFrom="paragraph">
              <wp:posOffset>-5571490</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1169670</wp:posOffset>
            </wp:positionH>
            <wp:positionV relativeFrom="paragraph">
              <wp:posOffset>-5571490</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1503680</wp:posOffset>
            </wp:positionH>
            <wp:positionV relativeFrom="paragraph">
              <wp:posOffset>-5571490</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1615440</wp:posOffset>
            </wp:positionH>
            <wp:positionV relativeFrom="paragraph">
              <wp:posOffset>-5571490</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1666875</wp:posOffset>
            </wp:positionH>
            <wp:positionV relativeFrom="paragraph">
              <wp:posOffset>-5571490</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-5571490</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-5571490</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2155825</wp:posOffset>
            </wp:positionH>
            <wp:positionV relativeFrom="paragraph">
              <wp:posOffset>-5571490</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-5571490</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-5571490</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-5571490</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-5571490</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-5571490</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-5571490</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-5571490</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-5571490</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-5571490</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-5571490</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-5571490</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-5571490</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-5571490</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-5571490</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-5571490</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-5571490</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-5571490</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-5322570</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1169670</wp:posOffset>
            </wp:positionH>
            <wp:positionV relativeFrom="paragraph">
              <wp:posOffset>-5322570</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1503680</wp:posOffset>
            </wp:positionH>
            <wp:positionV relativeFrom="paragraph">
              <wp:posOffset>-5322570</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1615440</wp:posOffset>
            </wp:positionH>
            <wp:positionV relativeFrom="paragraph">
              <wp:posOffset>-5322570</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1666875</wp:posOffset>
            </wp:positionH>
            <wp:positionV relativeFrom="paragraph">
              <wp:posOffset>-5322570</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-5322570</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-5322570</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2155825</wp:posOffset>
            </wp:positionH>
            <wp:positionV relativeFrom="paragraph">
              <wp:posOffset>-5322570</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-5322570</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-5322570</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-5322570</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-5322570</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-5322570</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-5322570</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-5322570</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-5322570</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-5322570</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-5322570</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-5322570</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-5322570</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-5322570</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-5322570</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-5322570</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-5322570</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-5322570</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-262890</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1221105</wp:posOffset>
            </wp:positionH>
            <wp:positionV relativeFrom="paragraph">
              <wp:posOffset>-262890</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-14605</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1221105</wp:posOffset>
            </wp:positionH>
            <wp:positionV relativeFrom="paragraph">
              <wp:posOffset>-14605</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388" w:right="1440" w:bottom="0" w:gutter="0" w:footer="0" w:header="0"/>
        </w:sectPr>
      </w:pPr>
    </w:p>
    <w:bookmarkStart w:id="109" w:name="page110"/>
    <w:bookmarkEnd w:id="109"/>
    <w:p>
      <w:pPr>
        <w:ind w:left="2700"/>
        <w:spacing w:after="0"/>
        <w:rPr>
          <w:sz w:val="20"/>
          <w:szCs w:val="20"/>
          <w:color w:val="auto"/>
        </w:rPr>
      </w:pPr>
      <w:r>
        <w:rPr>
          <w:rFonts w:ascii="Arial" w:cs="Arial" w:eastAsia="Arial" w:hAnsi="Arial"/>
          <w:sz w:val="15"/>
          <w:szCs w:val="15"/>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168275</wp:posOffset>
            </wp:positionV>
            <wp:extent cx="5166995" cy="469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10" w:name="page111"/>
    <w:bookmarkEnd w:id="110"/>
    <w:p>
      <w:pPr>
        <w:ind w:left="360"/>
        <w:spacing w:after="0"/>
        <w:rPr>
          <w:sz w:val="20"/>
          <w:szCs w:val="20"/>
          <w:color w:val="auto"/>
        </w:rPr>
      </w:pPr>
      <w:r>
        <w:rPr>
          <w:rFonts w:ascii="Arial" w:cs="Arial" w:eastAsia="Arial" w:hAnsi="Arial"/>
          <w:sz w:val="18"/>
          <w:szCs w:val="18"/>
          <w:color w:val="auto"/>
        </w:rPr>
        <w:t>Year Ended December 31, 2003 (Restated)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21" w:lineRule="exact"/>
        <w:rPr>
          <w:sz w:val="20"/>
          <w:szCs w:val="20"/>
          <w:color w:val="auto"/>
        </w:rPr>
      </w:pPr>
    </w:p>
    <w:p>
      <w:pPr>
        <w:ind w:left="7200"/>
        <w:spacing w:after="0"/>
        <w:rPr>
          <w:sz w:val="20"/>
          <w:szCs w:val="20"/>
          <w:color w:val="auto"/>
        </w:rPr>
      </w:pPr>
      <w:r>
        <w:rPr>
          <w:rFonts w:ascii="Arial" w:cs="Arial" w:eastAsia="Arial" w:hAnsi="Arial"/>
          <w:sz w:val="11"/>
          <w:szCs w:val="11"/>
          <w:b w:val="1"/>
          <w:bCs w:val="1"/>
          <w:color w:val="auto"/>
        </w:rPr>
        <w:t>Consolidated</w:t>
      </w:r>
    </w:p>
    <w:p>
      <w:pPr>
        <w:spacing w:after="0" w:line="35" w:lineRule="exact"/>
        <w:rPr>
          <w:sz w:val="20"/>
          <w:szCs w:val="20"/>
          <w:color w:val="auto"/>
        </w:rPr>
      </w:pPr>
    </w:p>
    <w:p>
      <w:pPr>
        <w:ind w:left="2660"/>
        <w:spacing w:after="0"/>
        <w:tabs>
          <w:tab w:leader="none" w:pos="3220" w:val="left"/>
          <w:tab w:leader="none" w:pos="4060" w:val="left"/>
          <w:tab w:leader="none" w:pos="4780" w:val="left"/>
          <w:tab w:leader="none" w:pos="5580" w:val="left"/>
          <w:tab w:leader="none" w:pos="6220" w:val="left"/>
          <w:tab w:leader="none" w:pos="7400" w:val="left"/>
        </w:tabs>
        <w:rPr>
          <w:sz w:val="20"/>
          <w:szCs w:val="20"/>
          <w:color w:val="auto"/>
        </w:rPr>
      </w:pPr>
      <w:r>
        <w:rPr>
          <w:rFonts w:ascii="Arial" w:cs="Arial" w:eastAsia="Arial" w:hAnsi="Arial"/>
          <w:sz w:val="14"/>
          <w:szCs w:val="14"/>
          <w:b w:val="1"/>
          <w:bCs w:val="1"/>
          <w:color w:val="auto"/>
        </w:rPr>
        <w:t>PCS</w:t>
      </w:r>
      <w:r>
        <w:rPr>
          <w:sz w:val="20"/>
          <w:szCs w:val="20"/>
          <w:color w:val="auto"/>
        </w:rPr>
        <w:tab/>
      </w:r>
      <w:r>
        <w:rPr>
          <w:rFonts w:ascii="Arial" w:cs="Arial" w:eastAsia="Arial" w:hAnsi="Arial"/>
          <w:sz w:val="14"/>
          <w:szCs w:val="14"/>
          <w:b w:val="1"/>
          <w:bCs w:val="1"/>
          <w:color w:val="auto"/>
        </w:rPr>
        <w:t>Telephone</w:t>
      </w:r>
      <w:r>
        <w:rPr>
          <w:sz w:val="20"/>
          <w:szCs w:val="20"/>
          <w:color w:val="auto"/>
        </w:rPr>
        <w:tab/>
      </w:r>
      <w:r>
        <w:rPr>
          <w:rFonts w:ascii="Arial" w:cs="Arial" w:eastAsia="Arial" w:hAnsi="Arial"/>
          <w:sz w:val="14"/>
          <w:szCs w:val="14"/>
          <w:b w:val="1"/>
          <w:bCs w:val="1"/>
          <w:color w:val="auto"/>
        </w:rPr>
        <w:t>Mobile</w:t>
      </w:r>
      <w:r>
        <w:rPr>
          <w:sz w:val="20"/>
          <w:szCs w:val="20"/>
          <w:color w:val="auto"/>
        </w:rPr>
        <w:tab/>
      </w:r>
      <w:r>
        <w:rPr>
          <w:rFonts w:ascii="Arial" w:cs="Arial" w:eastAsia="Arial" w:hAnsi="Arial"/>
          <w:sz w:val="14"/>
          <w:szCs w:val="14"/>
          <w:b w:val="1"/>
          <w:bCs w:val="1"/>
          <w:color w:val="auto"/>
        </w:rPr>
        <w:t>Holding</w:t>
      </w:r>
      <w:r>
        <w:rPr>
          <w:sz w:val="20"/>
          <w:szCs w:val="20"/>
          <w:color w:val="auto"/>
        </w:rPr>
        <w:tab/>
      </w:r>
      <w:r>
        <w:rPr>
          <w:rFonts w:ascii="Arial" w:cs="Arial" w:eastAsia="Arial" w:hAnsi="Arial"/>
          <w:sz w:val="14"/>
          <w:szCs w:val="14"/>
          <w:b w:val="1"/>
          <w:bCs w:val="1"/>
          <w:color w:val="auto"/>
        </w:rPr>
        <w:t>Other</w:t>
      </w:r>
      <w:r>
        <w:rPr>
          <w:sz w:val="20"/>
          <w:szCs w:val="20"/>
          <w:color w:val="auto"/>
        </w:rPr>
        <w:tab/>
      </w:r>
      <w:r>
        <w:rPr>
          <w:rFonts w:ascii="Arial" w:cs="Arial" w:eastAsia="Arial" w:hAnsi="Arial"/>
          <w:sz w:val="14"/>
          <w:szCs w:val="14"/>
          <w:b w:val="1"/>
          <w:bCs w:val="1"/>
          <w:color w:val="auto"/>
        </w:rPr>
        <w:t>Eliminations</w:t>
      </w:r>
      <w:r>
        <w:rPr>
          <w:sz w:val="20"/>
          <w:szCs w:val="20"/>
          <w:color w:val="auto"/>
        </w:rPr>
        <w:tab/>
      </w:r>
      <w:r>
        <w:rPr>
          <w:rFonts w:ascii="Arial" w:cs="Arial" w:eastAsia="Arial" w:hAnsi="Arial"/>
          <w:sz w:val="11"/>
          <w:szCs w:val="11"/>
          <w:b w:val="1"/>
          <w:bCs w:val="1"/>
          <w:color w:val="auto"/>
        </w:rPr>
        <w:t>Totals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60325</wp:posOffset>
            </wp:positionV>
            <wp:extent cx="353314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ectPr>
          <w:pgSz w:w="11900" w:h="16838" w:orient="portrait"/>
          <w:cols w:equalWidth="0" w:num="1">
            <w:col w:w="10219"/>
          </w:cols>
          <w:pgMar w:left="240" w:top="590" w:right="1440"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External Revenues</w:t>
      </w:r>
    </w:p>
    <w:p>
      <w:pPr>
        <w:spacing w:after="0" w:line="221" w:lineRule="auto"/>
        <w:rPr>
          <w:sz w:val="20"/>
          <w:szCs w:val="20"/>
          <w:color w:val="auto"/>
        </w:rPr>
      </w:pPr>
      <w:r>
        <w:rPr>
          <w:rFonts w:ascii="Arial" w:cs="Arial" w:eastAsia="Arial" w:hAnsi="Arial"/>
          <w:sz w:val="14"/>
          <w:szCs w:val="14"/>
          <w:color w:val="auto"/>
        </w:rPr>
        <w:t>Service revenues</w:t>
      </w:r>
    </w:p>
    <w:p>
      <w:pPr>
        <w:spacing w:after="0" w:line="221" w:lineRule="auto"/>
        <w:rPr>
          <w:sz w:val="20"/>
          <w:szCs w:val="20"/>
          <w:color w:val="auto"/>
        </w:rPr>
      </w:pPr>
      <w:r>
        <w:rPr>
          <w:rFonts w:ascii="Arial" w:cs="Arial" w:eastAsia="Arial" w:hAnsi="Arial"/>
          <w:sz w:val="14"/>
          <w:szCs w:val="14"/>
          <w:color w:val="auto"/>
        </w:rPr>
        <w:t>Access charges</w:t>
      </w:r>
    </w:p>
    <w:p>
      <w:pPr>
        <w:spacing w:after="0" w:line="222" w:lineRule="auto"/>
        <w:rPr>
          <w:sz w:val="20"/>
          <w:szCs w:val="20"/>
          <w:color w:val="auto"/>
        </w:rPr>
      </w:pPr>
      <w:r>
        <w:rPr>
          <w:rFonts w:ascii="Arial" w:cs="Arial" w:eastAsia="Arial" w:hAnsi="Arial"/>
          <w:sz w:val="14"/>
          <w:szCs w:val="14"/>
          <w:color w:val="auto"/>
        </w:rPr>
        <w:t>Travel/roaming revenue</w:t>
      </w:r>
    </w:p>
    <w:p>
      <w:pPr>
        <w:spacing w:after="0" w:line="221" w:lineRule="auto"/>
        <w:rPr>
          <w:sz w:val="20"/>
          <w:szCs w:val="20"/>
          <w:color w:val="auto"/>
        </w:rPr>
      </w:pPr>
      <w:r>
        <w:rPr>
          <w:rFonts w:ascii="Arial" w:cs="Arial" w:eastAsia="Arial" w:hAnsi="Arial"/>
          <w:sz w:val="14"/>
          <w:szCs w:val="14"/>
          <w:color w:val="auto"/>
        </w:rPr>
        <w:t>Facilities and tower lease</w:t>
      </w:r>
    </w:p>
    <w:p>
      <w:pPr>
        <w:spacing w:after="0" w:line="222" w:lineRule="auto"/>
        <w:rPr>
          <w:sz w:val="20"/>
          <w:szCs w:val="20"/>
          <w:color w:val="auto"/>
        </w:rPr>
      </w:pPr>
      <w:r>
        <w:rPr>
          <w:rFonts w:ascii="Arial" w:cs="Arial" w:eastAsia="Arial" w:hAnsi="Arial"/>
          <w:sz w:val="14"/>
          <w:szCs w:val="14"/>
          <w:color w:val="auto"/>
        </w:rPr>
        <w:t>Equipment</w:t>
      </w:r>
    </w:p>
    <w:p>
      <w:pPr>
        <w:spacing w:after="0"/>
        <w:rPr>
          <w:sz w:val="20"/>
          <w:szCs w:val="20"/>
          <w:color w:val="auto"/>
        </w:rPr>
      </w:pPr>
      <w:r>
        <w:rPr>
          <w:rFonts w:ascii="Arial" w:cs="Arial" w:eastAsia="Arial" w:hAnsi="Arial"/>
          <w:sz w:val="14"/>
          <w:szCs w:val="14"/>
          <w:color w:val="auto"/>
        </w:rPr>
        <w:t>Other</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Total external revenues</w:t>
      </w:r>
    </w:p>
    <w:p>
      <w:pPr>
        <w:spacing w:after="0"/>
        <w:rPr>
          <w:sz w:val="20"/>
          <w:szCs w:val="20"/>
          <w:color w:val="auto"/>
        </w:rPr>
      </w:pPr>
      <w:r>
        <w:rPr>
          <w:rFonts w:ascii="Arial" w:cs="Arial" w:eastAsia="Arial" w:hAnsi="Arial"/>
          <w:sz w:val="14"/>
          <w:szCs w:val="14"/>
          <w:color w:val="auto"/>
        </w:rPr>
        <w:t>Internal Revenues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Total operating revenues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Operating expenses</w:t>
      </w:r>
    </w:p>
    <w:p>
      <w:pPr>
        <w:ind w:right="160"/>
        <w:spacing w:after="0" w:line="263" w:lineRule="auto"/>
        <w:rPr>
          <w:sz w:val="20"/>
          <w:szCs w:val="20"/>
          <w:color w:val="auto"/>
        </w:rPr>
      </w:pPr>
      <w:r>
        <w:rPr>
          <w:rFonts w:ascii="Arial" w:cs="Arial" w:eastAsia="Arial" w:hAnsi="Arial"/>
          <w:sz w:val="12"/>
          <w:szCs w:val="12"/>
          <w:color w:val="auto"/>
        </w:rPr>
        <w:t>Costs of goods and services, exclusive of depreciation and amortization shown separately below Selling, general and administrative, exclusive of depreciation and amortization shown separately below Depreciation and amortization</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Total operating expenses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Operating income (loss)</w:t>
      </w:r>
    </w:p>
    <w:p>
      <w:pPr>
        <w:spacing w:after="0" w:line="231" w:lineRule="exact"/>
        <w:rPr>
          <w:sz w:val="20"/>
          <w:szCs w:val="20"/>
          <w:color w:val="auto"/>
        </w:rPr>
      </w:pPr>
    </w:p>
    <w:p>
      <w:pPr>
        <w:spacing w:after="0"/>
        <w:rPr>
          <w:sz w:val="20"/>
          <w:szCs w:val="20"/>
          <w:color w:val="auto"/>
        </w:rPr>
      </w:pPr>
      <w:r>
        <w:rPr>
          <w:rFonts w:ascii="Arial" w:cs="Arial" w:eastAsia="Arial" w:hAnsi="Arial"/>
          <w:sz w:val="12"/>
          <w:szCs w:val="12"/>
          <w:color w:val="auto"/>
        </w:rPr>
        <w:t>Non-operating income (expense)</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w:t>
      </w:r>
    </w:p>
    <w:p>
      <w:pPr>
        <w:spacing w:after="0"/>
        <w:rPr>
          <w:sz w:val="20"/>
          <w:szCs w:val="20"/>
          <w:color w:val="auto"/>
        </w:rPr>
      </w:pPr>
      <w:r>
        <w:rPr>
          <w:rFonts w:ascii="Arial" w:cs="Arial" w:eastAsia="Arial" w:hAnsi="Arial"/>
          <w:sz w:val="14"/>
          <w:szCs w:val="14"/>
          <w:color w:val="auto"/>
        </w:rPr>
        <w:t>Income taxes</w:t>
      </w:r>
    </w:p>
    <w:p>
      <w:pPr>
        <w:spacing w:after="0" w:line="205" w:lineRule="exact"/>
        <w:rPr>
          <w:sz w:val="20"/>
          <w:szCs w:val="20"/>
          <w:color w:val="auto"/>
        </w:rPr>
      </w:pPr>
    </w:p>
    <w:p>
      <w:pPr>
        <w:spacing w:after="0"/>
        <w:rPr>
          <w:sz w:val="20"/>
          <w:szCs w:val="20"/>
          <w:color w:val="auto"/>
        </w:rPr>
      </w:pPr>
      <w:r>
        <w:rPr>
          <w:rFonts w:ascii="Arial" w:cs="Arial" w:eastAsia="Arial" w:hAnsi="Arial"/>
          <w:sz w:val="12"/>
          <w:szCs w:val="12"/>
          <w:color w:val="auto"/>
        </w:rPr>
        <w:t>Discontinued Operations, net</w:t>
      </w:r>
    </w:p>
    <w:p>
      <w:pPr>
        <w:spacing w:after="0" w:line="10" w:lineRule="exact"/>
        <w:rPr>
          <w:sz w:val="20"/>
          <w:szCs w:val="20"/>
          <w:color w:val="auto"/>
        </w:rPr>
      </w:pPr>
    </w:p>
    <w:p>
      <w:pPr>
        <w:ind w:left="80"/>
        <w:spacing w:after="0"/>
        <w:rPr>
          <w:sz w:val="20"/>
          <w:szCs w:val="20"/>
          <w:color w:val="auto"/>
        </w:rPr>
      </w:pPr>
      <w:r>
        <w:rPr>
          <w:rFonts w:ascii="Arial" w:cs="Arial" w:eastAsia="Arial" w:hAnsi="Arial"/>
          <w:sz w:val="14"/>
          <w:szCs w:val="14"/>
          <w:color w:val="auto"/>
        </w:rPr>
        <w:t>of income taxes</w:t>
      </w:r>
    </w:p>
    <w:p>
      <w:pPr>
        <w:spacing w:after="0"/>
        <w:rPr>
          <w:sz w:val="20"/>
          <w:szCs w:val="20"/>
          <w:color w:val="auto"/>
        </w:rPr>
      </w:pPr>
      <w:r>
        <w:rPr>
          <w:rFonts w:ascii="Arial" w:cs="Arial" w:eastAsia="Arial" w:hAnsi="Arial"/>
          <w:sz w:val="12"/>
          <w:szCs w:val="12"/>
          <w:color w:val="auto"/>
        </w:rPr>
        <w:t>Cumulative effect of change in</w:t>
      </w:r>
    </w:p>
    <w:p>
      <w:pPr>
        <w:spacing w:after="0" w:line="10" w:lineRule="exact"/>
        <w:rPr>
          <w:sz w:val="20"/>
          <w:szCs w:val="20"/>
          <w:color w:val="auto"/>
        </w:rPr>
      </w:pPr>
    </w:p>
    <w:p>
      <w:pPr>
        <w:ind w:left="80"/>
        <w:spacing w:after="0"/>
        <w:rPr>
          <w:sz w:val="20"/>
          <w:szCs w:val="20"/>
          <w:color w:val="auto"/>
        </w:rPr>
      </w:pPr>
      <w:r>
        <w:rPr>
          <w:rFonts w:ascii="Arial" w:cs="Arial" w:eastAsia="Arial" w:hAnsi="Arial"/>
          <w:sz w:val="14"/>
          <w:szCs w:val="14"/>
          <w:color w:val="auto"/>
        </w:rPr>
        <w:t>accounting, net of tax</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jc w:val="right"/>
              <w:ind w:right="72"/>
              <w:spacing w:after="0"/>
              <w:rPr>
                <w:sz w:val="20"/>
                <w:szCs w:val="20"/>
                <w:color w:val="auto"/>
              </w:rPr>
            </w:pPr>
            <w:r>
              <w:rPr>
                <w:rFonts w:ascii="Arial" w:cs="Arial" w:eastAsia="Arial" w:hAnsi="Arial"/>
                <w:sz w:val="14"/>
                <w:szCs w:val="14"/>
                <w:color w:val="auto"/>
                <w:w w:val="88"/>
              </w:rPr>
              <w:t>$ 43,826</w:t>
            </w: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   6,400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  9,707</w:t>
            </w:r>
          </w:p>
        </w:tc>
        <w:tc>
          <w:tcPr>
            <w:tcW w:w="3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59,933</w:t>
            </w:r>
          </w:p>
        </w:tc>
      </w:tr>
      <w:tr>
        <w:trPr>
          <w:trHeight w:val="149"/>
        </w:trPr>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9,420</w:t>
            </w:r>
          </w:p>
        </w:tc>
        <w:tc>
          <w:tcPr>
            <w:tcW w:w="180" w:type="dxa"/>
            <w:vAlign w:val="bottom"/>
          </w:tcPr>
          <w:p>
            <w:pPr>
              <w:spacing w:after="0"/>
              <w:rPr>
                <w:sz w:val="12"/>
                <w:szCs w:val="12"/>
                <w:color w:val="auto"/>
              </w:rPr>
            </w:pPr>
          </w:p>
        </w:tc>
        <w:tc>
          <w:tcPr>
            <w:tcW w:w="5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9,420</w:t>
            </w:r>
          </w:p>
        </w:tc>
      </w:tr>
      <w:tr>
        <w:trPr>
          <w:trHeight w:val="149"/>
        </w:trPr>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19,684</w:t>
            </w:r>
          </w:p>
        </w:tc>
        <w:tc>
          <w:tcPr>
            <w:tcW w:w="7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19,684</w:t>
            </w:r>
          </w:p>
        </w:tc>
      </w:tr>
      <w:tr>
        <w:trPr>
          <w:trHeight w:val="149"/>
        </w:trPr>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4,783</w:t>
            </w:r>
          </w:p>
        </w:tc>
        <w:tc>
          <w:tcPr>
            <w:tcW w:w="180" w:type="dxa"/>
            <w:vAlign w:val="bottom"/>
          </w:tcPr>
          <w:p>
            <w:pPr>
              <w:spacing w:after="0"/>
              <w:rPr>
                <w:sz w:val="12"/>
                <w:szCs w:val="12"/>
                <w:color w:val="auto"/>
              </w:rPr>
            </w:pPr>
          </w:p>
        </w:tc>
        <w:tc>
          <w:tcPr>
            <w:tcW w:w="5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2,608</w:t>
            </w:r>
          </w:p>
        </w:tc>
        <w:tc>
          <w:tcPr>
            <w:tcW w:w="24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756</w:t>
            </w:r>
          </w:p>
        </w:tc>
        <w:tc>
          <w:tcPr>
            <w:tcW w:w="320" w:type="dxa"/>
            <w:vAlign w:val="bottom"/>
          </w:tcPr>
          <w:p>
            <w:pPr>
              <w:spacing w:after="0"/>
              <w:rPr>
                <w:sz w:val="12"/>
                <w:szCs w:val="12"/>
                <w:color w:val="auto"/>
              </w:rPr>
            </w:pP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8,147</w:t>
            </w:r>
          </w:p>
        </w:tc>
      </w:tr>
      <w:tr>
        <w:trPr>
          <w:trHeight w:val="149"/>
        </w:trPr>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1,835</w:t>
            </w:r>
          </w:p>
        </w:tc>
        <w:tc>
          <w:tcPr>
            <w:tcW w:w="7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39</w:t>
            </w:r>
          </w:p>
        </w:tc>
        <w:tc>
          <w:tcPr>
            <w:tcW w:w="180" w:type="dxa"/>
            <w:vAlign w:val="bottom"/>
          </w:tcPr>
          <w:p>
            <w:pPr>
              <w:spacing w:after="0"/>
              <w:rPr>
                <w:sz w:val="12"/>
                <w:szCs w:val="12"/>
                <w:color w:val="auto"/>
              </w:rPr>
            </w:pPr>
          </w:p>
        </w:tc>
        <w:tc>
          <w:tcPr>
            <w:tcW w:w="5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449</w:t>
            </w:r>
          </w:p>
        </w:tc>
        <w:tc>
          <w:tcPr>
            <w:tcW w:w="320" w:type="dxa"/>
            <w:vAlign w:val="bottom"/>
          </w:tcPr>
          <w:p>
            <w:pPr>
              <w:spacing w:after="0"/>
              <w:rPr>
                <w:sz w:val="12"/>
                <w:szCs w:val="12"/>
                <w:color w:val="auto"/>
              </w:rPr>
            </w:pP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2,323</w:t>
            </w:r>
          </w:p>
        </w:tc>
      </w:tr>
      <w:tr>
        <w:trPr>
          <w:trHeight w:val="172"/>
        </w:trPr>
        <w:tc>
          <w:tcPr>
            <w:tcW w:w="640" w:type="dxa"/>
            <w:vAlign w:val="bottom"/>
          </w:tcPr>
          <w:p>
            <w:pPr>
              <w:jc w:val="right"/>
              <w:ind w:right="72"/>
              <w:spacing w:after="0"/>
              <w:rPr>
                <w:sz w:val="20"/>
                <w:szCs w:val="20"/>
                <w:color w:val="auto"/>
              </w:rPr>
            </w:pPr>
            <w:r>
              <w:rPr>
                <w:rFonts w:ascii="Arial" w:cs="Arial" w:eastAsia="Arial" w:hAnsi="Arial"/>
                <w:sz w:val="14"/>
                <w:szCs w:val="14"/>
                <w:color w:val="auto"/>
              </w:rPr>
              <w:t>1,443</w:t>
            </w: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2,087</w:t>
            </w:r>
          </w:p>
        </w:tc>
        <w:tc>
          <w:tcPr>
            <w:tcW w:w="180" w:type="dxa"/>
            <w:vAlign w:val="bottom"/>
          </w:tcPr>
          <w:p>
            <w:pPr>
              <w:spacing w:after="0"/>
              <w:rPr>
                <w:sz w:val="14"/>
                <w:szCs w:val="14"/>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color w:val="auto"/>
              </w:rPr>
              <w:t>276</w:t>
            </w:r>
          </w:p>
        </w:tc>
        <w:tc>
          <w:tcPr>
            <w:tcW w:w="240" w:type="dxa"/>
            <w:vAlign w:val="bottom"/>
          </w:tcPr>
          <w:p>
            <w:pPr>
              <w:spacing w:after="0"/>
              <w:rPr>
                <w:sz w:val="14"/>
                <w:szCs w:val="14"/>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2,348</w:t>
            </w:r>
          </w:p>
        </w:tc>
        <w:tc>
          <w:tcPr>
            <w:tcW w:w="320" w:type="dxa"/>
            <w:vAlign w:val="bottom"/>
          </w:tcPr>
          <w:p>
            <w:pPr>
              <w:spacing w:after="0"/>
              <w:rPr>
                <w:sz w:val="14"/>
                <w:szCs w:val="14"/>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6,154</w:t>
            </w:r>
          </w:p>
        </w:tc>
      </w:tr>
      <w:tr>
        <w:trPr>
          <w:trHeight w:val="122"/>
        </w:trPr>
        <w:tc>
          <w:tcPr>
            <w:tcW w:w="6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r>
      <w:tr>
        <w:trPr>
          <w:trHeight w:val="266"/>
        </w:trPr>
        <w:tc>
          <w:tcPr>
            <w:tcW w:w="640" w:type="dxa"/>
            <w:vAlign w:val="bottom"/>
          </w:tcPr>
          <w:p>
            <w:pPr>
              <w:jc w:val="right"/>
              <w:ind w:right="72"/>
              <w:spacing w:after="0"/>
              <w:rPr>
                <w:sz w:val="20"/>
                <w:szCs w:val="20"/>
                <w:color w:val="auto"/>
              </w:rPr>
            </w:pPr>
            <w:r>
              <w:rPr>
                <w:rFonts w:ascii="Arial" w:cs="Arial" w:eastAsia="Arial" w:hAnsi="Arial"/>
                <w:sz w:val="14"/>
                <w:szCs w:val="14"/>
                <w:color w:val="auto"/>
              </w:rPr>
              <w:t>66,788</w:t>
            </w: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22,729</w:t>
            </w:r>
          </w:p>
        </w:tc>
        <w:tc>
          <w:tcPr>
            <w:tcW w:w="180" w:type="dxa"/>
            <w:vAlign w:val="bottom"/>
          </w:tcPr>
          <w:p>
            <w:pPr>
              <w:spacing w:after="0"/>
              <w:rPr>
                <w:sz w:val="23"/>
                <w:szCs w:val="23"/>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color w:val="auto"/>
              </w:rPr>
              <w:t>2,884</w:t>
            </w:r>
          </w:p>
        </w:tc>
        <w:tc>
          <w:tcPr>
            <w:tcW w:w="240" w:type="dxa"/>
            <w:vAlign w:val="bottom"/>
          </w:tcPr>
          <w:p>
            <w:pPr>
              <w:spacing w:after="0"/>
              <w:rPr>
                <w:sz w:val="23"/>
                <w:szCs w:val="23"/>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13,260</w:t>
            </w:r>
          </w:p>
        </w:tc>
        <w:tc>
          <w:tcPr>
            <w:tcW w:w="320" w:type="dxa"/>
            <w:vAlign w:val="bottom"/>
          </w:tcPr>
          <w:p>
            <w:pPr>
              <w:spacing w:after="0"/>
              <w:rPr>
                <w:sz w:val="23"/>
                <w:szCs w:val="23"/>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105,661</w:t>
            </w:r>
          </w:p>
        </w:tc>
      </w:tr>
      <w:tr>
        <w:trPr>
          <w:trHeight w:val="172"/>
        </w:trPr>
        <w:tc>
          <w:tcPr>
            <w:tcW w:w="640" w:type="dxa"/>
            <w:vAlign w:val="bottom"/>
          </w:tcPr>
          <w:p>
            <w:pPr>
              <w:jc w:val="right"/>
              <w:ind w:right="72"/>
              <w:spacing w:after="0"/>
              <w:rPr>
                <w:sz w:val="20"/>
                <w:szCs w:val="20"/>
                <w:color w:val="auto"/>
              </w:rPr>
            </w:pPr>
            <w:r>
              <w:rPr>
                <w:rFonts w:ascii="Arial" w:cs="Arial" w:eastAsia="Arial" w:hAnsi="Arial"/>
                <w:sz w:val="14"/>
                <w:szCs w:val="14"/>
                <w:color w:val="auto"/>
              </w:rPr>
              <w:t>1</w:t>
            </w: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3,062</w:t>
            </w:r>
          </w:p>
        </w:tc>
        <w:tc>
          <w:tcPr>
            <w:tcW w:w="180" w:type="dxa"/>
            <w:vAlign w:val="bottom"/>
          </w:tcPr>
          <w:p>
            <w:pPr>
              <w:spacing w:after="0"/>
              <w:rPr>
                <w:sz w:val="14"/>
                <w:szCs w:val="14"/>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color w:val="auto"/>
              </w:rPr>
              <w:t>1,238</w:t>
            </w:r>
          </w:p>
        </w:tc>
        <w:tc>
          <w:tcPr>
            <w:tcW w:w="240" w:type="dxa"/>
            <w:vAlign w:val="bottom"/>
          </w:tcPr>
          <w:p>
            <w:pPr>
              <w:spacing w:after="0"/>
              <w:rPr>
                <w:sz w:val="14"/>
                <w:szCs w:val="14"/>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710</w:t>
            </w:r>
          </w:p>
        </w:tc>
        <w:tc>
          <w:tcPr>
            <w:tcW w:w="320" w:type="dxa"/>
            <w:vAlign w:val="bottom"/>
          </w:tcPr>
          <w:p>
            <w:pPr>
              <w:spacing w:after="0"/>
              <w:rPr>
                <w:sz w:val="14"/>
                <w:szCs w:val="14"/>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(5,011)</w:t>
            </w:r>
          </w:p>
        </w:tc>
        <w:tc>
          <w:tcPr>
            <w:tcW w:w="280" w:type="dxa"/>
            <w:vAlign w:val="bottom"/>
          </w:tcPr>
          <w:p>
            <w:pPr>
              <w:spacing w:after="0"/>
              <w:rPr>
                <w:sz w:val="14"/>
                <w:szCs w:val="1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w:t>
            </w:r>
          </w:p>
        </w:tc>
      </w:tr>
      <w:tr>
        <w:trPr>
          <w:trHeight w:val="95"/>
        </w:trPr>
        <w:tc>
          <w:tcPr>
            <w:tcW w:w="6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r>
      <w:tr>
        <w:trPr>
          <w:trHeight w:val="263"/>
        </w:trPr>
        <w:tc>
          <w:tcPr>
            <w:tcW w:w="640" w:type="dxa"/>
            <w:vAlign w:val="bottom"/>
          </w:tcPr>
          <w:p>
            <w:pPr>
              <w:jc w:val="right"/>
              <w:ind w:right="72"/>
              <w:spacing w:after="0"/>
              <w:rPr>
                <w:sz w:val="20"/>
                <w:szCs w:val="20"/>
                <w:color w:val="auto"/>
              </w:rPr>
            </w:pPr>
            <w:r>
              <w:rPr>
                <w:rFonts w:ascii="Arial" w:cs="Arial" w:eastAsia="Arial" w:hAnsi="Arial"/>
                <w:sz w:val="14"/>
                <w:szCs w:val="14"/>
                <w:color w:val="auto"/>
              </w:rPr>
              <w:t>66,789</w:t>
            </w: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25,791</w:t>
            </w:r>
          </w:p>
        </w:tc>
        <w:tc>
          <w:tcPr>
            <w:tcW w:w="180" w:type="dxa"/>
            <w:vAlign w:val="bottom"/>
          </w:tcPr>
          <w:p>
            <w:pPr>
              <w:spacing w:after="0"/>
              <w:rPr>
                <w:sz w:val="22"/>
                <w:szCs w:val="22"/>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color w:val="auto"/>
              </w:rPr>
              <w:t>4,122</w:t>
            </w:r>
          </w:p>
        </w:tc>
        <w:tc>
          <w:tcPr>
            <w:tcW w:w="240" w:type="dxa"/>
            <w:vAlign w:val="bottom"/>
          </w:tcPr>
          <w:p>
            <w:pPr>
              <w:spacing w:after="0"/>
              <w:rPr>
                <w:sz w:val="22"/>
                <w:szCs w:val="22"/>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13,970</w:t>
            </w:r>
          </w:p>
        </w:tc>
        <w:tc>
          <w:tcPr>
            <w:tcW w:w="320" w:type="dxa"/>
            <w:vAlign w:val="bottom"/>
          </w:tcPr>
          <w:p>
            <w:pPr>
              <w:spacing w:after="0"/>
              <w:rPr>
                <w:sz w:val="22"/>
                <w:szCs w:val="22"/>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(5,011)</w:t>
            </w:r>
          </w:p>
        </w:tc>
        <w:tc>
          <w:tcPr>
            <w:tcW w:w="280" w:type="dxa"/>
            <w:vAlign w:val="bottom"/>
          </w:tcPr>
          <w:p>
            <w:pPr>
              <w:spacing w:after="0"/>
              <w:rPr>
                <w:sz w:val="22"/>
                <w:szCs w:val="22"/>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105,661</w:t>
            </w:r>
          </w:p>
        </w:tc>
      </w:tr>
      <w:tr>
        <w:trPr>
          <w:trHeight w:val="95"/>
        </w:trPr>
        <w:tc>
          <w:tcPr>
            <w:tcW w:w="6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r>
      <w:tr>
        <w:trPr>
          <w:trHeight w:val="857"/>
        </w:trPr>
        <w:tc>
          <w:tcPr>
            <w:tcW w:w="640" w:type="dxa"/>
            <w:vAlign w:val="bottom"/>
          </w:tcPr>
          <w:p>
            <w:pPr>
              <w:jc w:val="right"/>
              <w:ind w:right="72"/>
              <w:spacing w:after="0"/>
              <w:rPr>
                <w:sz w:val="20"/>
                <w:szCs w:val="20"/>
                <w:color w:val="auto"/>
              </w:rPr>
            </w:pPr>
            <w:r>
              <w:rPr>
                <w:rFonts w:ascii="Arial" w:cs="Arial" w:eastAsia="Arial" w:hAnsi="Arial"/>
                <w:sz w:val="14"/>
                <w:szCs w:val="14"/>
                <w:color w:val="auto"/>
              </w:rPr>
              <w:t>32,688</w:t>
            </w: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3,286</w:t>
            </w:r>
          </w:p>
        </w:tc>
        <w:tc>
          <w:tcPr>
            <w:tcW w:w="180" w:type="dxa"/>
            <w:vAlign w:val="bottom"/>
          </w:tcPr>
          <w:p>
            <w:pPr>
              <w:spacing w:after="0"/>
              <w:rPr>
                <w:sz w:val="24"/>
                <w:szCs w:val="24"/>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color w:val="auto"/>
              </w:rPr>
              <w:t>1,623</w:t>
            </w:r>
          </w:p>
        </w:tc>
        <w:tc>
          <w:tcPr>
            <w:tcW w:w="240" w:type="dxa"/>
            <w:vAlign w:val="bottom"/>
          </w:tcPr>
          <w:p>
            <w:pPr>
              <w:spacing w:after="0"/>
              <w:rPr>
                <w:sz w:val="24"/>
                <w:szCs w:val="24"/>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5,854</w:t>
            </w:r>
          </w:p>
        </w:tc>
        <w:tc>
          <w:tcPr>
            <w:tcW w:w="320" w:type="dxa"/>
            <w:vAlign w:val="bottom"/>
          </w:tcPr>
          <w:p>
            <w:pPr>
              <w:spacing w:after="0"/>
              <w:rPr>
                <w:sz w:val="24"/>
                <w:szCs w:val="24"/>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(3,682)</w:t>
            </w:r>
          </w:p>
        </w:tc>
        <w:tc>
          <w:tcPr>
            <w:tcW w:w="280" w:type="dxa"/>
            <w:vAlign w:val="bottom"/>
          </w:tcPr>
          <w:p>
            <w:pPr>
              <w:spacing w:after="0"/>
              <w:rPr>
                <w:sz w:val="24"/>
                <w:szCs w:val="2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39,769</w:t>
            </w:r>
          </w:p>
        </w:tc>
      </w:tr>
      <w:tr>
        <w:trPr>
          <w:trHeight w:val="719"/>
        </w:trPr>
        <w:tc>
          <w:tcPr>
            <w:tcW w:w="640" w:type="dxa"/>
            <w:vAlign w:val="bottom"/>
          </w:tcPr>
          <w:p>
            <w:pPr>
              <w:jc w:val="right"/>
              <w:ind w:right="72"/>
              <w:spacing w:after="0"/>
              <w:rPr>
                <w:sz w:val="20"/>
                <w:szCs w:val="20"/>
                <w:color w:val="auto"/>
              </w:rPr>
            </w:pPr>
            <w:r>
              <w:rPr>
                <w:rFonts w:ascii="Arial" w:cs="Arial" w:eastAsia="Arial" w:hAnsi="Arial"/>
                <w:sz w:val="14"/>
                <w:szCs w:val="14"/>
                <w:color w:val="auto"/>
              </w:rPr>
              <w:t>21,261</w:t>
            </w: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6,544</w:t>
            </w:r>
          </w:p>
        </w:tc>
        <w:tc>
          <w:tcPr>
            <w:tcW w:w="180" w:type="dxa"/>
            <w:vAlign w:val="bottom"/>
          </w:tcPr>
          <w:p>
            <w:pPr>
              <w:spacing w:after="0"/>
              <w:rPr>
                <w:sz w:val="24"/>
                <w:szCs w:val="24"/>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color w:val="auto"/>
              </w:rPr>
              <w:t>669</w:t>
            </w:r>
          </w:p>
        </w:tc>
        <w:tc>
          <w:tcPr>
            <w:tcW w:w="240" w:type="dxa"/>
            <w:vAlign w:val="bottom"/>
          </w:tcPr>
          <w:p>
            <w:pPr>
              <w:spacing w:after="0"/>
              <w:rPr>
                <w:sz w:val="24"/>
                <w:szCs w:val="24"/>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530</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3,458</w:t>
            </w:r>
          </w:p>
        </w:tc>
        <w:tc>
          <w:tcPr>
            <w:tcW w:w="320" w:type="dxa"/>
            <w:vAlign w:val="bottom"/>
          </w:tcPr>
          <w:p>
            <w:pPr>
              <w:spacing w:after="0"/>
              <w:rPr>
                <w:sz w:val="24"/>
                <w:szCs w:val="24"/>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(1,122)</w:t>
            </w:r>
          </w:p>
        </w:tc>
        <w:tc>
          <w:tcPr>
            <w:tcW w:w="280" w:type="dxa"/>
            <w:vAlign w:val="bottom"/>
          </w:tcPr>
          <w:p>
            <w:pPr>
              <w:spacing w:after="0"/>
              <w:rPr>
                <w:sz w:val="24"/>
                <w:szCs w:val="2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31,340</w:t>
            </w:r>
          </w:p>
        </w:tc>
      </w:tr>
      <w:tr>
        <w:trPr>
          <w:trHeight w:val="172"/>
        </w:trPr>
        <w:tc>
          <w:tcPr>
            <w:tcW w:w="640" w:type="dxa"/>
            <w:vAlign w:val="bottom"/>
          </w:tcPr>
          <w:p>
            <w:pPr>
              <w:jc w:val="right"/>
              <w:ind w:right="72"/>
              <w:spacing w:after="0"/>
              <w:rPr>
                <w:sz w:val="20"/>
                <w:szCs w:val="20"/>
                <w:color w:val="auto"/>
              </w:rPr>
            </w:pPr>
            <w:r>
              <w:rPr>
                <w:rFonts w:ascii="Arial" w:cs="Arial" w:eastAsia="Arial" w:hAnsi="Arial"/>
                <w:sz w:val="14"/>
                <w:szCs w:val="14"/>
                <w:color w:val="auto"/>
              </w:rPr>
              <w:t>10,246</w:t>
            </w: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4,279</w:t>
            </w:r>
          </w:p>
        </w:tc>
        <w:tc>
          <w:tcPr>
            <w:tcW w:w="180" w:type="dxa"/>
            <w:vAlign w:val="bottom"/>
          </w:tcPr>
          <w:p>
            <w:pPr>
              <w:spacing w:after="0"/>
              <w:rPr>
                <w:sz w:val="14"/>
                <w:szCs w:val="14"/>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color w:val="auto"/>
              </w:rPr>
              <w:t>599</w:t>
            </w:r>
          </w:p>
        </w:tc>
        <w:tc>
          <w:tcPr>
            <w:tcW w:w="240" w:type="dxa"/>
            <w:vAlign w:val="bottom"/>
          </w:tcPr>
          <w:p>
            <w:pPr>
              <w:spacing w:after="0"/>
              <w:rPr>
                <w:sz w:val="14"/>
                <w:szCs w:val="14"/>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196</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1,311</w:t>
            </w:r>
          </w:p>
        </w:tc>
        <w:tc>
          <w:tcPr>
            <w:tcW w:w="320" w:type="dxa"/>
            <w:vAlign w:val="bottom"/>
          </w:tcPr>
          <w:p>
            <w:pPr>
              <w:spacing w:after="0"/>
              <w:rPr>
                <w:sz w:val="14"/>
                <w:szCs w:val="14"/>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16,631</w:t>
            </w:r>
          </w:p>
        </w:tc>
      </w:tr>
      <w:tr>
        <w:trPr>
          <w:trHeight w:val="95"/>
        </w:trPr>
        <w:tc>
          <w:tcPr>
            <w:tcW w:w="6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r>
      <w:tr>
        <w:trPr>
          <w:trHeight w:val="263"/>
        </w:trPr>
        <w:tc>
          <w:tcPr>
            <w:tcW w:w="640" w:type="dxa"/>
            <w:vAlign w:val="bottom"/>
          </w:tcPr>
          <w:p>
            <w:pPr>
              <w:jc w:val="right"/>
              <w:ind w:right="72"/>
              <w:spacing w:after="0"/>
              <w:rPr>
                <w:sz w:val="20"/>
                <w:szCs w:val="20"/>
                <w:color w:val="auto"/>
              </w:rPr>
            </w:pPr>
            <w:r>
              <w:rPr>
                <w:rFonts w:ascii="Arial" w:cs="Arial" w:eastAsia="Arial" w:hAnsi="Arial"/>
                <w:sz w:val="14"/>
                <w:szCs w:val="14"/>
                <w:color w:val="auto"/>
              </w:rPr>
              <w:t>64,195</w:t>
            </w: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14,109</w:t>
            </w:r>
          </w:p>
        </w:tc>
        <w:tc>
          <w:tcPr>
            <w:tcW w:w="180" w:type="dxa"/>
            <w:vAlign w:val="bottom"/>
          </w:tcPr>
          <w:p>
            <w:pPr>
              <w:spacing w:after="0"/>
              <w:rPr>
                <w:sz w:val="22"/>
                <w:szCs w:val="22"/>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color w:val="auto"/>
              </w:rPr>
              <w:t>2,891</w:t>
            </w:r>
          </w:p>
        </w:tc>
        <w:tc>
          <w:tcPr>
            <w:tcW w:w="240" w:type="dxa"/>
            <w:vAlign w:val="bottom"/>
          </w:tcPr>
          <w:p>
            <w:pPr>
              <w:spacing w:after="0"/>
              <w:rPr>
                <w:sz w:val="22"/>
                <w:szCs w:val="22"/>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726</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10,623</w:t>
            </w:r>
          </w:p>
        </w:tc>
        <w:tc>
          <w:tcPr>
            <w:tcW w:w="320" w:type="dxa"/>
            <w:vAlign w:val="bottom"/>
          </w:tcPr>
          <w:p>
            <w:pPr>
              <w:spacing w:after="0"/>
              <w:rPr>
                <w:sz w:val="22"/>
                <w:szCs w:val="22"/>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(4,804)</w:t>
            </w:r>
          </w:p>
        </w:tc>
        <w:tc>
          <w:tcPr>
            <w:tcW w:w="280" w:type="dxa"/>
            <w:vAlign w:val="bottom"/>
          </w:tcPr>
          <w:p>
            <w:pPr>
              <w:spacing w:after="0"/>
              <w:rPr>
                <w:sz w:val="22"/>
                <w:szCs w:val="22"/>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87,740</w:t>
            </w:r>
          </w:p>
        </w:tc>
      </w:tr>
      <w:tr>
        <w:trPr>
          <w:trHeight w:val="95"/>
        </w:trPr>
        <w:tc>
          <w:tcPr>
            <w:tcW w:w="6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r>
      <w:tr>
        <w:trPr>
          <w:trHeight w:val="263"/>
        </w:trPr>
        <w:tc>
          <w:tcPr>
            <w:tcW w:w="640" w:type="dxa"/>
            <w:vAlign w:val="bottom"/>
          </w:tcPr>
          <w:p>
            <w:pPr>
              <w:jc w:val="right"/>
              <w:ind w:right="72"/>
              <w:spacing w:after="0"/>
              <w:rPr>
                <w:sz w:val="20"/>
                <w:szCs w:val="20"/>
                <w:color w:val="auto"/>
              </w:rPr>
            </w:pPr>
            <w:r>
              <w:rPr>
                <w:rFonts w:ascii="Arial" w:cs="Arial" w:eastAsia="Arial" w:hAnsi="Arial"/>
                <w:sz w:val="14"/>
                <w:szCs w:val="14"/>
                <w:color w:val="auto"/>
              </w:rPr>
              <w:t>2,594</w:t>
            </w: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11,682</w:t>
            </w:r>
          </w:p>
        </w:tc>
        <w:tc>
          <w:tcPr>
            <w:tcW w:w="180" w:type="dxa"/>
            <w:vAlign w:val="bottom"/>
          </w:tcPr>
          <w:p>
            <w:pPr>
              <w:spacing w:after="0"/>
              <w:rPr>
                <w:sz w:val="22"/>
                <w:szCs w:val="22"/>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color w:val="auto"/>
              </w:rPr>
              <w:t>1,231</w:t>
            </w:r>
          </w:p>
        </w:tc>
        <w:tc>
          <w:tcPr>
            <w:tcW w:w="240" w:type="dxa"/>
            <w:vAlign w:val="bottom"/>
          </w:tcPr>
          <w:p>
            <w:pPr>
              <w:spacing w:after="0"/>
              <w:rPr>
                <w:sz w:val="22"/>
                <w:szCs w:val="22"/>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(726)</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3,347</w:t>
            </w:r>
          </w:p>
        </w:tc>
        <w:tc>
          <w:tcPr>
            <w:tcW w:w="320" w:type="dxa"/>
            <w:vAlign w:val="bottom"/>
          </w:tcPr>
          <w:p>
            <w:pPr>
              <w:spacing w:after="0"/>
              <w:rPr>
                <w:sz w:val="22"/>
                <w:szCs w:val="22"/>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(207)</w:t>
            </w:r>
          </w:p>
        </w:tc>
        <w:tc>
          <w:tcPr>
            <w:tcW w:w="280" w:type="dxa"/>
            <w:vAlign w:val="bottom"/>
          </w:tcPr>
          <w:p>
            <w:pPr>
              <w:spacing w:after="0"/>
              <w:rPr>
                <w:sz w:val="22"/>
                <w:szCs w:val="22"/>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17,921</w:t>
            </w:r>
          </w:p>
        </w:tc>
      </w:tr>
      <w:tr>
        <w:trPr>
          <w:trHeight w:val="368"/>
        </w:trPr>
        <w:tc>
          <w:tcPr>
            <w:tcW w:w="640" w:type="dxa"/>
            <w:vAlign w:val="bottom"/>
          </w:tcPr>
          <w:p>
            <w:pPr>
              <w:jc w:val="right"/>
              <w:ind w:right="72"/>
              <w:spacing w:after="0"/>
              <w:rPr>
                <w:sz w:val="20"/>
                <w:szCs w:val="20"/>
                <w:color w:val="auto"/>
              </w:rPr>
            </w:pPr>
            <w:r>
              <w:rPr>
                <w:rFonts w:ascii="Arial" w:cs="Arial" w:eastAsia="Arial" w:hAnsi="Arial"/>
                <w:sz w:val="14"/>
                <w:szCs w:val="14"/>
                <w:color w:val="auto"/>
              </w:rPr>
              <w:t>2</w:t>
            </w: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93</w:t>
            </w:r>
          </w:p>
        </w:tc>
        <w:tc>
          <w:tcPr>
            <w:tcW w:w="180" w:type="dxa"/>
            <w:vAlign w:val="bottom"/>
          </w:tcPr>
          <w:p>
            <w:pPr>
              <w:spacing w:after="0"/>
              <w:rPr>
                <w:sz w:val="24"/>
                <w:szCs w:val="24"/>
                <w:color w:val="auto"/>
              </w:rPr>
            </w:pPr>
          </w:p>
        </w:tc>
        <w:tc>
          <w:tcPr>
            <w:tcW w:w="520" w:type="dxa"/>
            <w:vAlign w:val="bottom"/>
          </w:tcPr>
          <w:p>
            <w:pPr>
              <w:jc w:val="right"/>
              <w:ind w:right="12"/>
              <w:spacing w:after="0"/>
              <w:rPr>
                <w:sz w:val="20"/>
                <w:szCs w:val="20"/>
                <w:color w:val="auto"/>
              </w:rPr>
            </w:pPr>
            <w:r>
              <w:rPr>
                <w:rFonts w:ascii="Arial" w:cs="Arial" w:eastAsia="Arial" w:hAnsi="Arial"/>
                <w:sz w:val="14"/>
                <w:szCs w:val="14"/>
                <w:color w:val="auto"/>
              </w:rPr>
              <w:t>(220)</w:t>
            </w:r>
          </w:p>
        </w:tc>
        <w:tc>
          <w:tcPr>
            <w:tcW w:w="240" w:type="dxa"/>
            <w:vAlign w:val="bottom"/>
          </w:tcPr>
          <w:p>
            <w:pPr>
              <w:spacing w:after="0"/>
              <w:rPr>
                <w:sz w:val="24"/>
                <w:szCs w:val="24"/>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3,832</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14</w:t>
            </w:r>
          </w:p>
        </w:tc>
        <w:tc>
          <w:tcPr>
            <w:tcW w:w="320" w:type="dxa"/>
            <w:vAlign w:val="bottom"/>
          </w:tcPr>
          <w:p>
            <w:pPr>
              <w:spacing w:after="0"/>
              <w:rPr>
                <w:sz w:val="24"/>
                <w:szCs w:val="24"/>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(3,427)</w:t>
            </w:r>
          </w:p>
        </w:tc>
        <w:tc>
          <w:tcPr>
            <w:tcW w:w="280" w:type="dxa"/>
            <w:vAlign w:val="bottom"/>
          </w:tcPr>
          <w:p>
            <w:pPr>
              <w:spacing w:after="0"/>
              <w:rPr>
                <w:sz w:val="24"/>
                <w:szCs w:val="2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294</w:t>
            </w:r>
          </w:p>
        </w:tc>
      </w:tr>
      <w:tr>
        <w:trPr>
          <w:trHeight w:val="149"/>
        </w:trPr>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(2,920)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(443)</w:t>
            </w:r>
          </w:p>
        </w:tc>
        <w:tc>
          <w:tcPr>
            <w:tcW w:w="180" w:type="dxa"/>
            <w:vAlign w:val="bottom"/>
          </w:tcPr>
          <w:p>
            <w:pPr>
              <w:spacing w:after="0"/>
              <w:rPr>
                <w:sz w:val="12"/>
                <w:szCs w:val="12"/>
                <w:color w:val="auto"/>
              </w:rPr>
            </w:pP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(26)</w:t>
            </w:r>
          </w:p>
        </w:tc>
        <w:tc>
          <w:tcPr>
            <w:tcW w:w="24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9"/>
              </w:rPr>
              <w:t>(3,070)</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(685)</w:t>
            </w:r>
          </w:p>
        </w:tc>
        <w:tc>
          <w:tcPr>
            <w:tcW w:w="320" w:type="dxa"/>
            <w:vAlign w:val="bottom"/>
          </w:tcPr>
          <w:p>
            <w:pPr>
              <w:spacing w:after="0"/>
              <w:rPr>
                <w:sz w:val="12"/>
                <w:szCs w:val="12"/>
                <w:color w:val="auto"/>
              </w:rPr>
            </w:pP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3,634</w:t>
            </w:r>
          </w:p>
        </w:tc>
        <w:tc>
          <w:tcPr>
            <w:tcW w:w="280" w:type="dxa"/>
            <w:vAlign w:val="bottom"/>
          </w:tcPr>
          <w:p>
            <w:pPr>
              <w:spacing w:after="0"/>
              <w:rPr>
                <w:sz w:val="12"/>
                <w:szCs w:val="12"/>
                <w:color w:val="auto"/>
              </w:rPr>
            </w:pP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(3,510)</w:t>
            </w:r>
          </w:p>
        </w:tc>
      </w:tr>
      <w:tr>
        <w:trPr>
          <w:trHeight w:val="172"/>
        </w:trPr>
        <w:tc>
          <w:tcPr>
            <w:tcW w:w="640" w:type="dxa"/>
            <w:vAlign w:val="bottom"/>
          </w:tcPr>
          <w:p>
            <w:pPr>
              <w:jc w:val="right"/>
              <w:ind w:right="72"/>
              <w:spacing w:after="0"/>
              <w:rPr>
                <w:sz w:val="20"/>
                <w:szCs w:val="20"/>
                <w:color w:val="auto"/>
              </w:rPr>
            </w:pPr>
            <w:r>
              <w:rPr>
                <w:rFonts w:ascii="Arial" w:cs="Arial" w:eastAsia="Arial" w:hAnsi="Arial"/>
                <w:sz w:val="14"/>
                <w:szCs w:val="14"/>
                <w:color w:val="auto"/>
              </w:rPr>
              <w:t>504</w:t>
            </w: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(4,268)</w:t>
            </w:r>
          </w:p>
        </w:tc>
        <w:tc>
          <w:tcPr>
            <w:tcW w:w="180" w:type="dxa"/>
            <w:vAlign w:val="bottom"/>
          </w:tcPr>
          <w:p>
            <w:pPr>
              <w:spacing w:after="0"/>
              <w:rPr>
                <w:sz w:val="14"/>
                <w:szCs w:val="14"/>
                <w:color w:val="auto"/>
              </w:rPr>
            </w:pPr>
          </w:p>
        </w:tc>
        <w:tc>
          <w:tcPr>
            <w:tcW w:w="520" w:type="dxa"/>
            <w:vAlign w:val="bottom"/>
          </w:tcPr>
          <w:p>
            <w:pPr>
              <w:jc w:val="right"/>
              <w:ind w:right="12"/>
              <w:spacing w:after="0"/>
              <w:rPr>
                <w:sz w:val="20"/>
                <w:szCs w:val="20"/>
                <w:color w:val="auto"/>
              </w:rPr>
            </w:pPr>
            <w:r>
              <w:rPr>
                <w:rFonts w:ascii="Arial" w:cs="Arial" w:eastAsia="Arial" w:hAnsi="Arial"/>
                <w:sz w:val="14"/>
                <w:szCs w:val="14"/>
                <w:color w:val="auto"/>
              </w:rPr>
              <w:t>(332)</w:t>
            </w:r>
          </w:p>
        </w:tc>
        <w:tc>
          <w:tcPr>
            <w:tcW w:w="240" w:type="dxa"/>
            <w:vAlign w:val="bottom"/>
          </w:tcPr>
          <w:p>
            <w:pPr>
              <w:spacing w:after="0"/>
              <w:rPr>
                <w:sz w:val="14"/>
                <w:szCs w:val="14"/>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(29)</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(1,041)</w:t>
            </w:r>
          </w:p>
        </w:tc>
        <w:tc>
          <w:tcPr>
            <w:tcW w:w="320" w:type="dxa"/>
            <w:vAlign w:val="bottom"/>
          </w:tcPr>
          <w:p>
            <w:pPr>
              <w:spacing w:after="0"/>
              <w:rPr>
                <w:sz w:val="14"/>
                <w:szCs w:val="14"/>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(5,166)</w:t>
            </w:r>
          </w:p>
        </w:tc>
      </w:tr>
      <w:tr>
        <w:trPr>
          <w:trHeight w:val="95"/>
        </w:trPr>
        <w:tc>
          <w:tcPr>
            <w:tcW w:w="6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r>
      <w:tr>
        <w:trPr>
          <w:trHeight w:val="412"/>
        </w:trPr>
        <w:tc>
          <w:tcPr>
            <w:tcW w:w="6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12</w:t>
            </w:r>
          </w:p>
        </w:tc>
        <w:tc>
          <w:tcPr>
            <w:tcW w:w="180" w:type="dxa"/>
            <w:vAlign w:val="bottom"/>
          </w:tcPr>
          <w:p>
            <w:pPr>
              <w:spacing w:after="0"/>
              <w:rPr>
                <w:sz w:val="24"/>
                <w:szCs w:val="24"/>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color w:val="auto"/>
                <w:w w:val="88"/>
              </w:rPr>
              <w:t>22,389</w:t>
            </w:r>
          </w:p>
        </w:tc>
        <w:tc>
          <w:tcPr>
            <w:tcW w:w="240" w:type="dxa"/>
            <w:vAlign w:val="bottom"/>
          </w:tcPr>
          <w:p>
            <w:pPr>
              <w:spacing w:after="0"/>
              <w:rPr>
                <w:sz w:val="24"/>
                <w:szCs w:val="24"/>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(12)</w:t>
            </w:r>
          </w:p>
        </w:tc>
        <w:tc>
          <w:tcPr>
            <w:tcW w:w="280" w:type="dxa"/>
            <w:vAlign w:val="bottom"/>
          </w:tcPr>
          <w:p>
            <w:pPr>
              <w:spacing w:after="0"/>
              <w:rPr>
                <w:sz w:val="24"/>
                <w:szCs w:val="2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22,389</w:t>
            </w:r>
          </w:p>
        </w:tc>
      </w:tr>
      <w:tr>
        <w:trPr>
          <w:trHeight w:val="297"/>
        </w:trPr>
        <w:tc>
          <w:tcPr>
            <w:tcW w:w="6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520" w:type="dxa"/>
            <w:vAlign w:val="bottom"/>
          </w:tcPr>
          <w:p>
            <w:pPr>
              <w:jc w:val="right"/>
              <w:ind w:right="12"/>
              <w:spacing w:after="0"/>
              <w:rPr>
                <w:sz w:val="20"/>
                <w:szCs w:val="20"/>
                <w:color w:val="auto"/>
              </w:rPr>
            </w:pPr>
            <w:r>
              <w:rPr>
                <w:rFonts w:ascii="Arial" w:cs="Arial" w:eastAsia="Arial" w:hAnsi="Arial"/>
                <w:sz w:val="14"/>
                <w:szCs w:val="14"/>
                <w:color w:val="auto"/>
              </w:rPr>
              <w:t>(76)</w:t>
            </w:r>
          </w:p>
        </w:tc>
        <w:tc>
          <w:tcPr>
            <w:tcW w:w="240" w:type="dxa"/>
            <w:vAlign w:val="bottom"/>
          </w:tcPr>
          <w:p>
            <w:pPr>
              <w:spacing w:after="0"/>
              <w:rPr>
                <w:sz w:val="24"/>
                <w:szCs w:val="24"/>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-3900805</wp:posOffset>
            </wp:positionV>
            <wp:extent cx="5145405" cy="9461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145405" cy="94615"/>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-3712210</wp:posOffset>
            </wp:positionV>
            <wp:extent cx="5145405" cy="9461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5145405" cy="94615"/>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-3523615</wp:posOffset>
            </wp:positionV>
            <wp:extent cx="5145405" cy="9461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145405" cy="94615"/>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-3335020</wp:posOffset>
            </wp:positionV>
            <wp:extent cx="5145405" cy="9461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5145405" cy="94615"/>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-2966085</wp:posOffset>
            </wp:positionV>
            <wp:extent cx="5145405" cy="9461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145405" cy="94615"/>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-2486025</wp:posOffset>
            </wp:positionV>
            <wp:extent cx="5145405" cy="9461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145405" cy="94615"/>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-2014220</wp:posOffset>
            </wp:positionV>
            <wp:extent cx="5145405" cy="47180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5145405" cy="471805"/>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-1302385</wp:posOffset>
            </wp:positionV>
            <wp:extent cx="5145405" cy="9461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5145405" cy="94615"/>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-813435</wp:posOffset>
            </wp:positionV>
            <wp:extent cx="5145405" cy="9461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5145405" cy="94615"/>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-624840</wp:posOffset>
            </wp:positionV>
            <wp:extent cx="5145405" cy="9461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145405" cy="94615"/>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-196215</wp:posOffset>
            </wp:positionV>
            <wp:extent cx="5145405" cy="18859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5145405" cy="18859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60325</wp:posOffset>
            </wp:positionV>
            <wp:extent cx="353314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20" w:space="720"/>
            <w:col w:w="7679"/>
          </w:cols>
          <w:pgMar w:left="240" w:top="590" w:right="1440" w:bottom="1440" w:gutter="0" w:footer="0" w:header="0"/>
          <w:type w:val="continuous"/>
        </w:sectPr>
      </w:pP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ind w:right="52"/>
              <w:spacing w:after="0"/>
              <w:rPr>
                <w:sz w:val="20"/>
                <w:szCs w:val="20"/>
                <w:color w:val="auto"/>
              </w:rPr>
            </w:pPr>
            <w:r>
              <w:rPr>
                <w:rFonts w:ascii="Arial" w:cs="Arial" w:eastAsia="Arial" w:hAnsi="Arial"/>
                <w:sz w:val="14"/>
                <w:szCs w:val="14"/>
                <w:color w:val="auto"/>
              </w:rPr>
              <w:t>180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32"/>
              <w:spacing w:after="0"/>
              <w:rPr>
                <w:sz w:val="20"/>
                <w:szCs w:val="20"/>
                <w:color w:val="auto"/>
              </w:rPr>
            </w:pPr>
            <w:r>
              <w:rPr>
                <w:rFonts w:ascii="Arial" w:cs="Arial" w:eastAsia="Arial" w:hAnsi="Arial"/>
                <w:sz w:val="14"/>
                <w:szCs w:val="14"/>
                <w:color w:val="auto"/>
              </w:rPr>
              <w:t>7,076</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$ 22,966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52"/>
              <w:spacing w:after="0"/>
              <w:rPr>
                <w:sz w:val="20"/>
                <w:szCs w:val="20"/>
                <w:color w:val="auto"/>
              </w:rPr>
            </w:pPr>
            <w:r>
              <w:rPr>
                <w:rFonts w:ascii="Arial" w:cs="Arial" w:eastAsia="Arial" w:hAnsi="Arial"/>
                <w:sz w:val="14"/>
                <w:szCs w:val="14"/>
                <w:color w:val="auto"/>
              </w:rPr>
              <w:t>1,635</w:t>
            </w:r>
          </w:p>
        </w:tc>
        <w:tc>
          <w:tcPr>
            <w:tcW w:w="2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(12)</w:t>
            </w:r>
          </w:p>
        </w:tc>
        <w:tc>
          <w:tcPr>
            <w:tcW w:w="2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31,852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Total Assets</w:t>
            </w:r>
          </w:p>
        </w:tc>
        <w:tc>
          <w:tcPr>
            <w:tcW w:w="1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w w:val="88"/>
              </w:rPr>
              <w:t>68,773</w:t>
            </w:r>
          </w:p>
        </w:tc>
        <w:tc>
          <w:tcPr>
            <w:tcW w:w="2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w w:val="97"/>
              </w:rPr>
              <w:t>57,533</w:t>
            </w:r>
          </w:p>
        </w:tc>
        <w:tc>
          <w:tcPr>
            <w:tcW w:w="70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$ 18,552</w:t>
            </w:r>
          </w:p>
        </w:tc>
        <w:tc>
          <w:tcPr>
            <w:tcW w:w="2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w w:val="86"/>
              </w:rPr>
              <w:t>141,658</w:t>
            </w:r>
          </w:p>
        </w:tc>
        <w:tc>
          <w:tcPr>
            <w:tcW w:w="1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w w:val="88"/>
              </w:rPr>
              <w:t>19,692</w:t>
            </w:r>
          </w:p>
        </w:tc>
        <w:tc>
          <w:tcPr>
            <w:tcW w:w="280" w:type="dxa"/>
            <w:vAlign w:val="bottom"/>
            <w:shd w:val="clear" w:color="auto" w:fill="EAF9E8"/>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EAF9E8"/>
          </w:tcPr>
          <w:p>
            <w:pPr>
              <w:jc w:val="right"/>
              <w:ind w:right="52"/>
              <w:spacing w:after="0" w:line="149" w:lineRule="exact"/>
              <w:rPr>
                <w:sz w:val="20"/>
                <w:szCs w:val="20"/>
                <w:color w:val="auto"/>
              </w:rPr>
            </w:pPr>
            <w:r>
              <w:rPr>
                <w:rFonts w:ascii="Arial" w:cs="Arial" w:eastAsia="Arial" w:hAnsi="Arial"/>
                <w:sz w:val="14"/>
                <w:szCs w:val="14"/>
                <w:color w:val="auto"/>
                <w:w w:val="96"/>
              </w:rPr>
              <w:t>(120,688)</w:t>
            </w:r>
          </w:p>
        </w:tc>
        <w:tc>
          <w:tcPr>
            <w:tcW w:w="280" w:type="dxa"/>
            <w:vAlign w:val="bottom"/>
            <w:shd w:val="clear" w:color="auto" w:fill="EAF9E8"/>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EAF9E8"/>
          </w:tcPr>
          <w:p>
            <w:pPr>
              <w:jc w:val="right"/>
              <w:ind w:right="92"/>
              <w:spacing w:after="0" w:line="149" w:lineRule="exact"/>
              <w:rPr>
                <w:sz w:val="20"/>
                <w:szCs w:val="20"/>
                <w:color w:val="auto"/>
              </w:rPr>
            </w:pPr>
            <w:r>
              <w:rPr>
                <w:rFonts w:ascii="Arial" w:cs="Arial" w:eastAsia="Arial" w:hAnsi="Arial"/>
                <w:sz w:val="14"/>
                <w:szCs w:val="14"/>
                <w:color w:val="auto"/>
              </w:rPr>
              <w:t>185,520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-14605</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1615440</wp:posOffset>
            </wp:positionH>
            <wp:positionV relativeFrom="paragraph">
              <wp:posOffset>-14605</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90" w:right="1440"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Note 17. Quarterly Results (unaudited)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selected quarterly results for the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Second</w:t>
            </w:r>
          </w:p>
        </w:tc>
        <w:tc>
          <w:tcPr>
            <w:tcW w:w="220" w:type="dxa"/>
            <w:vAlign w:val="bottom"/>
          </w:tcPr>
          <w:p>
            <w:pPr>
              <w:spacing w:after="0"/>
              <w:rPr>
                <w:sz w:val="14"/>
                <w:szCs w:val="14"/>
                <w:color w:val="auto"/>
              </w:rPr>
            </w:pPr>
          </w:p>
        </w:tc>
        <w:tc>
          <w:tcPr>
            <w:tcW w:w="740" w:type="dxa"/>
            <w:vAlign w:val="bottom"/>
          </w:tcPr>
          <w:p>
            <w:pPr>
              <w:jc w:val="right"/>
              <w:ind w:right="38"/>
              <w:spacing w:after="0"/>
              <w:rPr>
                <w:sz w:val="20"/>
                <w:szCs w:val="20"/>
                <w:color w:val="auto"/>
              </w:rPr>
            </w:pPr>
            <w:r>
              <w:rPr>
                <w:rFonts w:ascii="Arial" w:cs="Arial" w:eastAsia="Arial" w:hAnsi="Arial"/>
                <w:sz w:val="14"/>
                <w:szCs w:val="14"/>
                <w:b w:val="1"/>
                <w:bCs w:val="1"/>
                <w:color w:val="auto"/>
              </w:rPr>
              <w:t>Third</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For the year ended December 31, 2005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4"/>
              </w:rPr>
              <w:t>(Restated)</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4"/>
              </w:rPr>
              <w:t>(Restated)</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3"/>
              </w:rPr>
              <w:t>(Restated)</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Fourth</w:t>
            </w:r>
          </w:p>
        </w:tc>
        <w:tc>
          <w:tcPr>
            <w:tcW w:w="2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EAF9E8"/>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34,395</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35,457</w:t>
            </w:r>
          </w:p>
        </w:tc>
        <w:tc>
          <w:tcPr>
            <w:tcW w:w="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37,314</w:t>
            </w:r>
          </w:p>
        </w:tc>
        <w:tc>
          <w:tcPr>
            <w:tcW w:w="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39,225</w:t>
            </w:r>
          </w:p>
        </w:tc>
        <w:tc>
          <w:tcPr>
            <w:tcW w:w="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AF9E8"/>
          </w:tcPr>
          <w:p>
            <w:pPr>
              <w:jc w:val="right"/>
              <w:ind w:right="17"/>
              <w:spacing w:after="0"/>
              <w:rPr>
                <w:sz w:val="20"/>
                <w:szCs w:val="20"/>
                <w:color w:val="auto"/>
              </w:rPr>
            </w:pPr>
            <w:r>
              <w:rPr>
                <w:rFonts w:ascii="Arial" w:cs="Arial" w:eastAsia="Arial" w:hAnsi="Arial"/>
                <w:sz w:val="18"/>
                <w:szCs w:val="18"/>
                <w:color w:val="auto"/>
                <w:w w:val="98"/>
              </w:rPr>
              <w:t>146,391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4,505</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4,471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5,656</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4,744</w:t>
            </w:r>
          </w:p>
        </w:tc>
        <w:tc>
          <w:tcPr>
            <w:tcW w:w="240" w:type="dxa"/>
            <w:vAlign w:val="bottom"/>
          </w:tcPr>
          <w:p>
            <w:pPr>
              <w:spacing w:after="0"/>
              <w:rPr>
                <w:sz w:val="18"/>
                <w:szCs w:val="18"/>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19,376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EAF9E8"/>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EAF9E8"/>
          </w:tcPr>
          <w:p>
            <w:pPr>
              <w:spacing w:after="0"/>
              <w:rPr>
                <w:sz w:val="18"/>
                <w:szCs w:val="18"/>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2,341</w:t>
            </w:r>
          </w:p>
        </w:tc>
        <w:tc>
          <w:tcPr>
            <w:tcW w:w="180" w:type="dxa"/>
            <w:vAlign w:val="bottom"/>
            <w:shd w:val="clear" w:color="auto" w:fill="EAF9E8"/>
          </w:tcPr>
          <w:p>
            <w:pPr>
              <w:spacing w:after="0"/>
              <w:rPr>
                <w:sz w:val="18"/>
                <w:szCs w:val="18"/>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2,454</w:t>
            </w:r>
          </w:p>
        </w:tc>
        <w:tc>
          <w:tcPr>
            <w:tcW w:w="220" w:type="dxa"/>
            <w:vAlign w:val="bottom"/>
            <w:shd w:val="clear" w:color="auto" w:fill="EAF9E8"/>
          </w:tcPr>
          <w:p>
            <w:pPr>
              <w:spacing w:after="0"/>
              <w:rPr>
                <w:sz w:val="18"/>
                <w:szCs w:val="18"/>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3,101</w:t>
            </w:r>
          </w:p>
        </w:tc>
        <w:tc>
          <w:tcPr>
            <w:tcW w:w="240" w:type="dxa"/>
            <w:vAlign w:val="bottom"/>
            <w:shd w:val="clear" w:color="auto" w:fill="EAF9E8"/>
          </w:tcPr>
          <w:p>
            <w:pPr>
              <w:spacing w:after="0"/>
              <w:rPr>
                <w:sz w:val="18"/>
                <w:szCs w:val="18"/>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2,839</w:t>
            </w:r>
          </w:p>
        </w:tc>
        <w:tc>
          <w:tcPr>
            <w:tcW w:w="240" w:type="dxa"/>
            <w:vAlign w:val="bottom"/>
            <w:shd w:val="clear" w:color="auto" w:fill="EAF9E8"/>
          </w:tcPr>
          <w:p>
            <w:pPr>
              <w:spacing w:after="0"/>
              <w:rPr>
                <w:sz w:val="18"/>
                <w:szCs w:val="18"/>
                <w:color w:val="auto"/>
              </w:rPr>
            </w:pPr>
          </w:p>
        </w:tc>
        <w:tc>
          <w:tcPr>
            <w:tcW w:w="760" w:type="dxa"/>
            <w:vAlign w:val="bottom"/>
            <w:shd w:val="clear" w:color="auto" w:fill="EAF9E8"/>
          </w:tcPr>
          <w:p>
            <w:pPr>
              <w:jc w:val="right"/>
              <w:ind w:right="17"/>
              <w:spacing w:after="0"/>
              <w:rPr>
                <w:sz w:val="20"/>
                <w:szCs w:val="20"/>
                <w:color w:val="auto"/>
              </w:rPr>
            </w:pPr>
            <w:r>
              <w:rPr>
                <w:rFonts w:ascii="Arial" w:cs="Arial" w:eastAsia="Arial" w:hAnsi="Arial"/>
                <w:sz w:val="18"/>
                <w:szCs w:val="18"/>
                <w:color w:val="auto"/>
              </w:rPr>
              <w:t>10,735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3540" w:type="dxa"/>
            <w:vAlign w:val="bottom"/>
            <w:gridSpan w:val="2"/>
          </w:tcPr>
          <w:p>
            <w:pPr>
              <w:spacing w:after="0"/>
              <w:rPr>
                <w:sz w:val="20"/>
                <w:szCs w:val="20"/>
                <w:color w:val="auto"/>
              </w:rPr>
            </w:pPr>
            <w:r>
              <w:rPr>
                <w:rFonts w:ascii="Arial" w:cs="Arial" w:eastAsia="Arial" w:hAnsi="Arial"/>
                <w:sz w:val="18"/>
                <w:szCs w:val="18"/>
                <w:color w:val="auto"/>
              </w:rPr>
              <w:t>Net income per share – 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20" w:type="dxa"/>
            <w:vAlign w:val="bottom"/>
            <w:shd w:val="clear" w:color="auto" w:fill="EAF9E8"/>
          </w:tcPr>
          <w:p>
            <w:pPr>
              <w:spacing w:after="0"/>
              <w:rPr>
                <w:sz w:val="20"/>
                <w:szCs w:val="20"/>
                <w:color w:val="auto"/>
              </w:rPr>
            </w:pPr>
            <w:r>
              <w:rPr>
                <w:rFonts w:ascii="Arial" w:cs="Arial" w:eastAsia="Arial" w:hAnsi="Arial"/>
                <w:sz w:val="18"/>
                <w:szCs w:val="18"/>
                <w:color w:val="auto"/>
              </w:rPr>
              <w:t>Net income per share - diluted</w:t>
            </w:r>
          </w:p>
        </w:tc>
        <w:tc>
          <w:tcPr>
            <w:tcW w:w="100" w:type="dxa"/>
            <w:vAlign w:val="bottom"/>
            <w:shd w:val="clear" w:color="auto" w:fill="EAF9E8"/>
          </w:tcPr>
          <w:p>
            <w:pPr>
              <w:spacing w:after="0"/>
              <w:rPr>
                <w:sz w:val="18"/>
                <w:szCs w:val="18"/>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0.30</w:t>
            </w:r>
          </w:p>
        </w:tc>
        <w:tc>
          <w:tcPr>
            <w:tcW w:w="180" w:type="dxa"/>
            <w:vAlign w:val="bottom"/>
            <w:shd w:val="clear" w:color="auto" w:fill="EAF9E8"/>
          </w:tcPr>
          <w:p>
            <w:pPr>
              <w:spacing w:after="0"/>
              <w:rPr>
                <w:sz w:val="18"/>
                <w:szCs w:val="18"/>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0.32</w:t>
            </w:r>
          </w:p>
        </w:tc>
        <w:tc>
          <w:tcPr>
            <w:tcW w:w="220" w:type="dxa"/>
            <w:vAlign w:val="bottom"/>
            <w:shd w:val="clear" w:color="auto" w:fill="EAF9E8"/>
          </w:tcPr>
          <w:p>
            <w:pPr>
              <w:spacing w:after="0"/>
              <w:rPr>
                <w:sz w:val="18"/>
                <w:szCs w:val="18"/>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0.40</w:t>
            </w:r>
          </w:p>
        </w:tc>
        <w:tc>
          <w:tcPr>
            <w:tcW w:w="240" w:type="dxa"/>
            <w:vAlign w:val="bottom"/>
            <w:shd w:val="clear" w:color="auto" w:fill="EAF9E8"/>
          </w:tcPr>
          <w:p>
            <w:pPr>
              <w:spacing w:after="0"/>
              <w:rPr>
                <w:sz w:val="18"/>
                <w:szCs w:val="18"/>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0.37</w:t>
            </w:r>
          </w:p>
        </w:tc>
        <w:tc>
          <w:tcPr>
            <w:tcW w:w="240" w:type="dxa"/>
            <w:vAlign w:val="bottom"/>
            <w:shd w:val="clear" w:color="auto" w:fill="EAF9E8"/>
          </w:tcPr>
          <w:p>
            <w:pPr>
              <w:spacing w:after="0"/>
              <w:rPr>
                <w:sz w:val="18"/>
                <w:szCs w:val="18"/>
                <w:color w:val="auto"/>
              </w:rPr>
            </w:pPr>
          </w:p>
        </w:tc>
        <w:tc>
          <w:tcPr>
            <w:tcW w:w="760" w:type="dxa"/>
            <w:vAlign w:val="bottom"/>
            <w:shd w:val="clear" w:color="auto" w:fill="EAF9E8"/>
          </w:tcPr>
          <w:p>
            <w:pPr>
              <w:jc w:val="right"/>
              <w:ind w:right="17"/>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Second</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Third</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Fourth</w:t>
            </w:r>
          </w:p>
        </w:tc>
        <w:tc>
          <w:tcPr>
            <w:tcW w:w="24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For the year ended December 31, 2004</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4"/>
              </w:rPr>
              <w:t>(Restated)</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4"/>
              </w:rPr>
              <w:t>(Restated)</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3"/>
              </w:rPr>
              <w:t>(Restated)</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3"/>
              </w:rPr>
              <w:t>(Restated)</w:t>
            </w:r>
          </w:p>
        </w:tc>
        <w:tc>
          <w:tcPr>
            <w:tcW w:w="2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3"/>
              </w:rPr>
              <w:t>(Restated)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EAF9E8"/>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27,724</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29,857</w:t>
            </w:r>
          </w:p>
        </w:tc>
        <w:tc>
          <w:tcPr>
            <w:tcW w:w="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31,108</w:t>
            </w:r>
          </w:p>
        </w:tc>
        <w:tc>
          <w:tcPr>
            <w:tcW w:w="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32,305</w:t>
            </w:r>
          </w:p>
        </w:tc>
        <w:tc>
          <w:tcPr>
            <w:tcW w:w="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AF9E8"/>
          </w:tcPr>
          <w:p>
            <w:pPr>
              <w:jc w:val="right"/>
              <w:ind w:right="17"/>
              <w:spacing w:after="0"/>
              <w:rPr>
                <w:sz w:val="20"/>
                <w:szCs w:val="20"/>
                <w:color w:val="auto"/>
              </w:rPr>
            </w:pPr>
            <w:r>
              <w:rPr>
                <w:rFonts w:ascii="Arial" w:cs="Arial" w:eastAsia="Arial" w:hAnsi="Arial"/>
                <w:sz w:val="18"/>
                <w:szCs w:val="18"/>
                <w:color w:val="auto"/>
                <w:w w:val="98"/>
              </w:rPr>
              <w:t>120,994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4,110</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4,877</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5,668</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3,356</w:t>
            </w:r>
          </w:p>
        </w:tc>
        <w:tc>
          <w:tcPr>
            <w:tcW w:w="240" w:type="dxa"/>
            <w:vAlign w:val="bottom"/>
          </w:tcPr>
          <w:p>
            <w:pPr>
              <w:spacing w:after="0"/>
              <w:rPr>
                <w:sz w:val="18"/>
                <w:szCs w:val="18"/>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18,011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EAF9E8"/>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EAF9E8"/>
          </w:tcPr>
          <w:p>
            <w:pPr>
              <w:spacing w:after="0"/>
              <w:rPr>
                <w:sz w:val="18"/>
                <w:szCs w:val="18"/>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2,253</w:t>
            </w:r>
          </w:p>
        </w:tc>
        <w:tc>
          <w:tcPr>
            <w:tcW w:w="180" w:type="dxa"/>
            <w:vAlign w:val="bottom"/>
            <w:shd w:val="clear" w:color="auto" w:fill="EAF9E8"/>
          </w:tcPr>
          <w:p>
            <w:pPr>
              <w:spacing w:after="0"/>
              <w:rPr>
                <w:sz w:val="18"/>
                <w:szCs w:val="18"/>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2,823</w:t>
            </w:r>
          </w:p>
        </w:tc>
        <w:tc>
          <w:tcPr>
            <w:tcW w:w="220" w:type="dxa"/>
            <w:vAlign w:val="bottom"/>
            <w:shd w:val="clear" w:color="auto" w:fill="EAF9E8"/>
          </w:tcPr>
          <w:p>
            <w:pPr>
              <w:spacing w:after="0"/>
              <w:rPr>
                <w:sz w:val="18"/>
                <w:szCs w:val="18"/>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3,058</w:t>
            </w:r>
          </w:p>
        </w:tc>
        <w:tc>
          <w:tcPr>
            <w:tcW w:w="240" w:type="dxa"/>
            <w:vAlign w:val="bottom"/>
            <w:shd w:val="clear" w:color="auto" w:fill="EAF9E8"/>
          </w:tcPr>
          <w:p>
            <w:pPr>
              <w:spacing w:after="0"/>
              <w:rPr>
                <w:sz w:val="18"/>
                <w:szCs w:val="18"/>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1,904</w:t>
            </w:r>
          </w:p>
        </w:tc>
        <w:tc>
          <w:tcPr>
            <w:tcW w:w="240" w:type="dxa"/>
            <w:vAlign w:val="bottom"/>
            <w:shd w:val="clear" w:color="auto" w:fill="EAF9E8"/>
          </w:tcPr>
          <w:p>
            <w:pPr>
              <w:spacing w:after="0"/>
              <w:rPr>
                <w:sz w:val="18"/>
                <w:szCs w:val="18"/>
                <w:color w:val="auto"/>
              </w:rPr>
            </w:pPr>
          </w:p>
        </w:tc>
        <w:tc>
          <w:tcPr>
            <w:tcW w:w="760" w:type="dxa"/>
            <w:vAlign w:val="bottom"/>
            <w:shd w:val="clear" w:color="auto" w:fill="EAF9E8"/>
          </w:tcPr>
          <w:p>
            <w:pPr>
              <w:jc w:val="right"/>
              <w:ind w:right="17"/>
              <w:spacing w:after="0"/>
              <w:rPr>
                <w:sz w:val="20"/>
                <w:szCs w:val="20"/>
                <w:color w:val="auto"/>
              </w:rPr>
            </w:pPr>
            <w:r>
              <w:rPr>
                <w:rFonts w:ascii="Arial" w:cs="Arial" w:eastAsia="Arial" w:hAnsi="Arial"/>
                <w:sz w:val="18"/>
                <w:szCs w:val="18"/>
                <w:color w:val="auto"/>
              </w:rPr>
              <w:t>10,038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3540" w:type="dxa"/>
            <w:vAlign w:val="bottom"/>
            <w:gridSpan w:val="2"/>
          </w:tcPr>
          <w:p>
            <w:pPr>
              <w:spacing w:after="0"/>
              <w:rPr>
                <w:sz w:val="20"/>
                <w:szCs w:val="20"/>
                <w:color w:val="auto"/>
              </w:rPr>
            </w:pPr>
            <w:r>
              <w:rPr>
                <w:rFonts w:ascii="Arial" w:cs="Arial" w:eastAsia="Arial" w:hAnsi="Arial"/>
                <w:sz w:val="18"/>
                <w:szCs w:val="18"/>
                <w:color w:val="auto"/>
              </w:rPr>
              <w:t>Net income per share – 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20" w:type="dxa"/>
            <w:vAlign w:val="bottom"/>
            <w:shd w:val="clear" w:color="auto" w:fill="EAF9E8"/>
          </w:tcPr>
          <w:p>
            <w:pPr>
              <w:spacing w:after="0"/>
              <w:rPr>
                <w:sz w:val="20"/>
                <w:szCs w:val="20"/>
                <w:color w:val="auto"/>
              </w:rPr>
            </w:pPr>
            <w:r>
              <w:rPr>
                <w:rFonts w:ascii="Arial" w:cs="Arial" w:eastAsia="Arial" w:hAnsi="Arial"/>
                <w:sz w:val="18"/>
                <w:szCs w:val="18"/>
                <w:color w:val="auto"/>
              </w:rPr>
              <w:t>Net income per share - diluted</w:t>
            </w:r>
          </w:p>
        </w:tc>
        <w:tc>
          <w:tcPr>
            <w:tcW w:w="100" w:type="dxa"/>
            <w:vAlign w:val="bottom"/>
            <w:shd w:val="clear" w:color="auto" w:fill="EAF9E8"/>
          </w:tcPr>
          <w:p>
            <w:pPr>
              <w:spacing w:after="0"/>
              <w:rPr>
                <w:sz w:val="18"/>
                <w:szCs w:val="18"/>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0.29</w:t>
            </w:r>
          </w:p>
        </w:tc>
        <w:tc>
          <w:tcPr>
            <w:tcW w:w="180" w:type="dxa"/>
            <w:vAlign w:val="bottom"/>
            <w:shd w:val="clear" w:color="auto" w:fill="EAF9E8"/>
          </w:tcPr>
          <w:p>
            <w:pPr>
              <w:spacing w:after="0"/>
              <w:rPr>
                <w:sz w:val="18"/>
                <w:szCs w:val="18"/>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0.37</w:t>
            </w:r>
          </w:p>
        </w:tc>
        <w:tc>
          <w:tcPr>
            <w:tcW w:w="220" w:type="dxa"/>
            <w:vAlign w:val="bottom"/>
            <w:shd w:val="clear" w:color="auto" w:fill="EAF9E8"/>
          </w:tcPr>
          <w:p>
            <w:pPr>
              <w:spacing w:after="0"/>
              <w:rPr>
                <w:sz w:val="18"/>
                <w:szCs w:val="18"/>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0.40</w:t>
            </w:r>
          </w:p>
        </w:tc>
        <w:tc>
          <w:tcPr>
            <w:tcW w:w="240" w:type="dxa"/>
            <w:vAlign w:val="bottom"/>
            <w:shd w:val="clear" w:color="auto" w:fill="EAF9E8"/>
          </w:tcPr>
          <w:p>
            <w:pPr>
              <w:spacing w:after="0"/>
              <w:rPr>
                <w:sz w:val="18"/>
                <w:szCs w:val="18"/>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0.25</w:t>
            </w:r>
          </w:p>
        </w:tc>
        <w:tc>
          <w:tcPr>
            <w:tcW w:w="240" w:type="dxa"/>
            <w:vAlign w:val="bottom"/>
            <w:shd w:val="clear" w:color="auto" w:fill="EAF9E8"/>
          </w:tcPr>
          <w:p>
            <w:pPr>
              <w:spacing w:after="0"/>
              <w:rPr>
                <w:sz w:val="18"/>
                <w:szCs w:val="18"/>
                <w:color w:val="auto"/>
              </w:rPr>
            </w:pPr>
          </w:p>
        </w:tc>
        <w:tc>
          <w:tcPr>
            <w:tcW w:w="760" w:type="dxa"/>
            <w:vAlign w:val="bottom"/>
            <w:shd w:val="clear" w:color="auto" w:fill="EAF9E8"/>
          </w:tcPr>
          <w:p>
            <w:pPr>
              <w:jc w:val="right"/>
              <w:ind w:right="17"/>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18"/>
              <w:spacing w:after="0"/>
              <w:rPr>
                <w:sz w:val="20"/>
                <w:szCs w:val="20"/>
                <w:color w:val="auto"/>
              </w:rPr>
            </w:pPr>
            <w:r>
              <w:rPr>
                <w:rFonts w:ascii="Arial" w:cs="Arial" w:eastAsia="Arial" w:hAnsi="Arial"/>
                <w:sz w:val="18"/>
                <w:szCs w:val="18"/>
                <w:color w:val="auto"/>
              </w:rPr>
              <w:t>F-38</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20" w:type="dxa"/>
            <w:vAlign w:val="bottom"/>
            <w:shd w:val="clear" w:color="auto" w:fill="808080"/>
          </w:tcPr>
          <w:p>
            <w:pPr>
              <w:spacing w:after="0"/>
              <w:rPr>
                <w:sz w:val="6"/>
                <w:szCs w:val="6"/>
                <w:color w:val="auto"/>
              </w:rPr>
            </w:pPr>
          </w:p>
        </w:tc>
        <w:tc>
          <w:tcPr>
            <w:tcW w:w="3520" w:type="dxa"/>
            <w:vAlign w:val="bottom"/>
            <w:shd w:val="clear" w:color="auto" w:fill="808080"/>
          </w:tcPr>
          <w:p>
            <w:pPr>
              <w:spacing w:after="0"/>
              <w:rPr>
                <w:sz w:val="6"/>
                <w:szCs w:val="6"/>
                <w:color w:val="auto"/>
              </w:rPr>
            </w:pPr>
          </w:p>
        </w:tc>
        <w:tc>
          <w:tcPr>
            <w:tcW w:w="100" w:type="dxa"/>
            <w:vAlign w:val="bottom"/>
            <w:shd w:val="clear" w:color="auto" w:fill="808080"/>
          </w:tcPr>
          <w:p>
            <w:pPr>
              <w:spacing w:after="0"/>
              <w:rPr>
                <w:sz w:val="6"/>
                <w:szCs w:val="6"/>
                <w:color w:val="auto"/>
              </w:rPr>
            </w:pPr>
          </w:p>
        </w:tc>
        <w:tc>
          <w:tcPr>
            <w:tcW w:w="680" w:type="dxa"/>
            <w:vAlign w:val="bottom"/>
            <w:shd w:val="clear" w:color="auto" w:fill="808080"/>
          </w:tcPr>
          <w:p>
            <w:pPr>
              <w:spacing w:after="0"/>
              <w:rPr>
                <w:sz w:val="6"/>
                <w:szCs w:val="6"/>
                <w:color w:val="auto"/>
              </w:rPr>
            </w:pPr>
          </w:p>
        </w:tc>
        <w:tc>
          <w:tcPr>
            <w:tcW w:w="180" w:type="dxa"/>
            <w:vAlign w:val="bottom"/>
            <w:shd w:val="clear" w:color="auto" w:fill="808080"/>
          </w:tcPr>
          <w:p>
            <w:pPr>
              <w:spacing w:after="0"/>
              <w:rPr>
                <w:sz w:val="6"/>
                <w:szCs w:val="6"/>
                <w:color w:val="auto"/>
              </w:rPr>
            </w:pPr>
          </w:p>
        </w:tc>
        <w:tc>
          <w:tcPr>
            <w:tcW w:w="680" w:type="dxa"/>
            <w:vAlign w:val="bottom"/>
            <w:shd w:val="clear" w:color="auto" w:fill="808080"/>
          </w:tcPr>
          <w:p>
            <w:pPr>
              <w:spacing w:after="0"/>
              <w:rPr>
                <w:sz w:val="6"/>
                <w:szCs w:val="6"/>
                <w:color w:val="auto"/>
              </w:rPr>
            </w:pPr>
          </w:p>
        </w:tc>
        <w:tc>
          <w:tcPr>
            <w:tcW w:w="220" w:type="dxa"/>
            <w:vAlign w:val="bottom"/>
            <w:shd w:val="clear" w:color="auto" w:fill="808080"/>
          </w:tcPr>
          <w:p>
            <w:pPr>
              <w:spacing w:after="0"/>
              <w:rPr>
                <w:sz w:val="6"/>
                <w:szCs w:val="6"/>
                <w:color w:val="auto"/>
              </w:rPr>
            </w:pPr>
          </w:p>
        </w:tc>
        <w:tc>
          <w:tcPr>
            <w:tcW w:w="740" w:type="dxa"/>
            <w:vAlign w:val="bottom"/>
            <w:shd w:val="clear" w:color="auto" w:fill="808080"/>
          </w:tcPr>
          <w:p>
            <w:pPr>
              <w:spacing w:after="0"/>
              <w:rPr>
                <w:sz w:val="6"/>
                <w:szCs w:val="6"/>
                <w:color w:val="auto"/>
              </w:rPr>
            </w:pPr>
          </w:p>
        </w:tc>
        <w:tc>
          <w:tcPr>
            <w:tcW w:w="240" w:type="dxa"/>
            <w:vAlign w:val="bottom"/>
            <w:shd w:val="clear" w:color="auto" w:fill="808080"/>
          </w:tcPr>
          <w:p>
            <w:pPr>
              <w:spacing w:after="0"/>
              <w:rPr>
                <w:sz w:val="6"/>
                <w:szCs w:val="6"/>
                <w:color w:val="auto"/>
              </w:rPr>
            </w:pPr>
          </w:p>
        </w:tc>
        <w:tc>
          <w:tcPr>
            <w:tcW w:w="740" w:type="dxa"/>
            <w:vAlign w:val="bottom"/>
            <w:shd w:val="clear" w:color="auto" w:fill="808080"/>
          </w:tcPr>
          <w:p>
            <w:pPr>
              <w:spacing w:after="0"/>
              <w:rPr>
                <w:sz w:val="6"/>
                <w:szCs w:val="6"/>
                <w:color w:val="auto"/>
              </w:rPr>
            </w:pPr>
          </w:p>
        </w:tc>
        <w:tc>
          <w:tcPr>
            <w:tcW w:w="240" w:type="dxa"/>
            <w:vAlign w:val="bottom"/>
            <w:shd w:val="clear" w:color="auto" w:fill="808080"/>
          </w:tcPr>
          <w:p>
            <w:pPr>
              <w:spacing w:after="0"/>
              <w:rPr>
                <w:sz w:val="6"/>
                <w:szCs w:val="6"/>
                <w:color w:val="auto"/>
              </w:rPr>
            </w:pPr>
          </w:p>
        </w:tc>
        <w:tc>
          <w:tcPr>
            <w:tcW w:w="76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584" w:right="1440" w:bottom="1440" w:gutter="0" w:footer="0" w:header="0"/>
        </w:sectPr>
      </w:pPr>
    </w:p>
    <w:bookmarkStart w:id="112" w:name="page113"/>
    <w:bookmarkEnd w:id="112"/>
    <w:p>
      <w:pPr>
        <w:ind w:right="2259"/>
        <w:spacing w:after="0" w:line="306" w:lineRule="auto"/>
        <w:rPr>
          <w:sz w:val="20"/>
          <w:szCs w:val="20"/>
          <w:color w:val="auto"/>
        </w:rPr>
      </w:pPr>
      <w:r>
        <w:rPr>
          <w:rFonts w:ascii="Arial" w:cs="Arial" w:eastAsia="Arial" w:hAnsi="Arial"/>
          <w:sz w:val="16"/>
          <w:szCs w:val="16"/>
          <w:color w:val="auto"/>
        </w:rPr>
        <w:t>Certain amounts have been restated to correct errors relating to the Company’s accounting for operating leases as more fully discussed in Note 2. The reclassification and restatement adjustments to 2005 quarterly amounts previously reported in the Company’s Form 10-Q’s are summarized below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516255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74"/>
              <w:spacing w:after="0"/>
              <w:rPr>
                <w:sz w:val="20"/>
                <w:szCs w:val="20"/>
                <w:color w:val="auto"/>
              </w:rPr>
            </w:pPr>
            <w:r>
              <w:rPr>
                <w:rFonts w:ascii="Arial" w:cs="Arial" w:eastAsia="Arial" w:hAnsi="Arial"/>
                <w:sz w:val="14"/>
                <w:szCs w:val="14"/>
                <w:b w:val="1"/>
                <w:bCs w:val="1"/>
                <w:color w:val="auto"/>
                <w:w w:val="90"/>
              </w:rPr>
              <w:t>Restatement</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ind w:right="33"/>
              <w:spacing w:after="0"/>
              <w:rPr>
                <w:sz w:val="20"/>
                <w:szCs w:val="20"/>
                <w:color w:val="auto"/>
              </w:rPr>
            </w:pPr>
            <w:r>
              <w:rPr>
                <w:rFonts w:ascii="Arial" w:cs="Arial" w:eastAsia="Arial" w:hAnsi="Arial"/>
                <w:sz w:val="14"/>
                <w:szCs w:val="14"/>
                <w:b w:val="1"/>
                <w:bCs w:val="1"/>
                <w:color w:val="auto"/>
              </w:rPr>
              <w:t>(Reported)</w:t>
            </w: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w w:val="94"/>
              </w:rPr>
              <w:t>Reclassifications</w:t>
            </w:r>
          </w:p>
        </w:tc>
        <w:tc>
          <w:tcPr>
            <w:tcW w:w="220" w:type="dxa"/>
            <w:vAlign w:val="bottom"/>
          </w:tcPr>
          <w:p>
            <w:pPr>
              <w:spacing w:after="0"/>
              <w:rPr>
                <w:sz w:val="15"/>
                <w:szCs w:val="15"/>
                <w:color w:val="auto"/>
              </w:rPr>
            </w:pPr>
          </w:p>
        </w:tc>
        <w:tc>
          <w:tcPr>
            <w:tcW w:w="940" w:type="dxa"/>
            <w:vAlign w:val="bottom"/>
          </w:tcPr>
          <w:p>
            <w:pPr>
              <w:jc w:val="right"/>
              <w:ind w:right="74"/>
              <w:spacing w:after="0"/>
              <w:rPr>
                <w:sz w:val="20"/>
                <w:szCs w:val="20"/>
                <w:color w:val="auto"/>
              </w:rPr>
            </w:pPr>
            <w:r>
              <w:rPr>
                <w:rFonts w:ascii="Arial" w:cs="Arial" w:eastAsia="Arial" w:hAnsi="Arial"/>
                <w:sz w:val="14"/>
                <w:szCs w:val="14"/>
                <w:b w:val="1"/>
                <w:bCs w:val="1"/>
                <w:color w:val="auto"/>
                <w:w w:val="89"/>
              </w:rPr>
              <w:t>Adjustments</w:t>
            </w: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(Restated)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3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EAF9E8"/>
          </w:tcPr>
          <w:p>
            <w:pPr>
              <w:spacing w:after="0"/>
              <w:rPr>
                <w:sz w:val="20"/>
                <w:szCs w:val="20"/>
                <w:color w:val="auto"/>
              </w:rPr>
            </w:pPr>
            <w:r>
              <w:rPr>
                <w:rFonts w:ascii="Arial" w:cs="Arial" w:eastAsia="Arial" w:hAnsi="Arial"/>
                <w:sz w:val="18"/>
                <w:szCs w:val="18"/>
                <w:color w:val="auto"/>
              </w:rPr>
              <w:t>Three Months Ended March 31, 2005:</w:t>
            </w:r>
          </w:p>
        </w:tc>
        <w:tc>
          <w:tcPr>
            <w:tcW w:w="50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rPr>
              <w:t>Operating revenues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34,400</w:t>
            </w:r>
          </w:p>
        </w:tc>
        <w:tc>
          <w:tcPr>
            <w:tcW w:w="36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28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Cost of goods and services</w:t>
            </w:r>
          </w:p>
        </w:tc>
        <w:tc>
          <w:tcPr>
            <w:tcW w:w="50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33"/>
              <w:spacing w:after="0"/>
              <w:rPr>
                <w:sz w:val="20"/>
                <w:szCs w:val="20"/>
                <w:color w:val="auto"/>
              </w:rPr>
            </w:pPr>
            <w:r>
              <w:rPr>
                <w:rFonts w:ascii="Arial" w:cs="Arial" w:eastAsia="Arial" w:hAnsi="Arial"/>
                <w:sz w:val="18"/>
                <w:szCs w:val="18"/>
                <w:color w:val="auto"/>
              </w:rPr>
              <w:t>5,478</w:t>
            </w:r>
          </w:p>
        </w:tc>
        <w:tc>
          <w:tcPr>
            <w:tcW w:w="36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rPr>
              <w:t>8,692</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87</w:t>
            </w:r>
          </w:p>
        </w:tc>
        <w:tc>
          <w:tcPr>
            <w:tcW w:w="28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rPr>
              <w:t>Network operating costs</w:t>
            </w:r>
          </w:p>
        </w:tc>
        <w:tc>
          <w:tcPr>
            <w:tcW w:w="50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9,807</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(9,807)</w:t>
            </w:r>
          </w:p>
        </w:tc>
        <w:tc>
          <w:tcPr>
            <w:tcW w:w="220" w:type="dxa"/>
            <w:vAlign w:val="bottom"/>
          </w:tcPr>
          <w:p>
            <w:pPr>
              <w:spacing w:after="0"/>
              <w:rPr>
                <w:sz w:val="18"/>
                <w:szCs w:val="18"/>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Operating income</w:t>
            </w:r>
          </w:p>
        </w:tc>
        <w:tc>
          <w:tcPr>
            <w:tcW w:w="50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33"/>
              <w:spacing w:after="0"/>
              <w:rPr>
                <w:sz w:val="20"/>
                <w:szCs w:val="20"/>
                <w:color w:val="auto"/>
              </w:rPr>
            </w:pPr>
            <w:r>
              <w:rPr>
                <w:rFonts w:ascii="Arial" w:cs="Arial" w:eastAsia="Arial" w:hAnsi="Arial"/>
                <w:sz w:val="18"/>
                <w:szCs w:val="18"/>
                <w:color w:val="auto"/>
              </w:rPr>
              <w:t>4,617</w:t>
            </w:r>
          </w:p>
        </w:tc>
        <w:tc>
          <w:tcPr>
            <w:tcW w:w="36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(92)</w:t>
            </w:r>
          </w:p>
        </w:tc>
        <w:tc>
          <w:tcPr>
            <w:tcW w:w="28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rPr>
              <w:t>Income tax provision</w:t>
            </w:r>
          </w:p>
        </w:tc>
        <w:tc>
          <w:tcPr>
            <w:tcW w:w="50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1,393</w:t>
            </w:r>
          </w:p>
        </w:tc>
        <w:tc>
          <w:tcPr>
            <w:tcW w:w="36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Net income</w:t>
            </w:r>
          </w:p>
        </w:tc>
        <w:tc>
          <w:tcPr>
            <w:tcW w:w="50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33"/>
              <w:spacing w:after="0"/>
              <w:rPr>
                <w:sz w:val="20"/>
                <w:szCs w:val="20"/>
                <w:color w:val="auto"/>
              </w:rPr>
            </w:pPr>
            <w:r>
              <w:rPr>
                <w:rFonts w:ascii="Arial" w:cs="Arial" w:eastAsia="Arial" w:hAnsi="Arial"/>
                <w:sz w:val="18"/>
                <w:szCs w:val="18"/>
                <w:color w:val="auto"/>
              </w:rPr>
              <w:t>2,395</w:t>
            </w:r>
          </w:p>
        </w:tc>
        <w:tc>
          <w:tcPr>
            <w:tcW w:w="36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(54)</w:t>
            </w:r>
          </w:p>
        </w:tc>
        <w:tc>
          <w:tcPr>
            <w:tcW w:w="28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rPr>
              <w:t>Net income per share, basic</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0.31</w:t>
            </w:r>
          </w:p>
        </w:tc>
        <w:tc>
          <w:tcPr>
            <w:tcW w:w="36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Net income per share, diluted</w:t>
            </w:r>
          </w:p>
        </w:tc>
        <w:tc>
          <w:tcPr>
            <w:tcW w:w="50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33"/>
              <w:spacing w:after="0"/>
              <w:rPr>
                <w:sz w:val="20"/>
                <w:szCs w:val="20"/>
                <w:color w:val="auto"/>
              </w:rPr>
            </w:pPr>
            <w:r>
              <w:rPr>
                <w:rFonts w:ascii="Arial" w:cs="Arial" w:eastAsia="Arial" w:hAnsi="Arial"/>
                <w:sz w:val="18"/>
                <w:szCs w:val="18"/>
                <w:color w:val="auto"/>
              </w:rPr>
              <w:t>0.31</w:t>
            </w:r>
          </w:p>
        </w:tc>
        <w:tc>
          <w:tcPr>
            <w:tcW w:w="36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300" w:type="dxa"/>
            <w:vAlign w:val="bottom"/>
            <w:gridSpan w:val="2"/>
          </w:tcPr>
          <w:p>
            <w:pPr>
              <w:spacing w:after="0"/>
              <w:rPr>
                <w:sz w:val="20"/>
                <w:szCs w:val="20"/>
                <w:color w:val="auto"/>
              </w:rPr>
            </w:pPr>
            <w:r>
              <w:rPr>
                <w:rFonts w:ascii="Arial" w:cs="Arial" w:eastAsia="Arial" w:hAnsi="Arial"/>
                <w:sz w:val="18"/>
                <w:szCs w:val="18"/>
                <w:color w:val="auto"/>
              </w:rPr>
              <w:t>Three Months Ended June 30, 2005:</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Operating revenues</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AF9E8"/>
          </w:tcPr>
          <w:p>
            <w:pPr>
              <w:jc w:val="right"/>
              <w:ind w:right="33"/>
              <w:spacing w:after="0"/>
              <w:rPr>
                <w:sz w:val="20"/>
                <w:szCs w:val="20"/>
                <w:color w:val="auto"/>
              </w:rPr>
            </w:pPr>
            <w:r>
              <w:rPr>
                <w:rFonts w:ascii="Arial" w:cs="Arial" w:eastAsia="Arial" w:hAnsi="Arial"/>
                <w:sz w:val="18"/>
                <w:szCs w:val="18"/>
                <w:color w:val="auto"/>
              </w:rPr>
              <w:t>35,464</w:t>
            </w:r>
          </w:p>
        </w:tc>
        <w:tc>
          <w:tcPr>
            <w:tcW w:w="360" w:type="dxa"/>
            <w:vAlign w:val="bottom"/>
            <w:shd w:val="clear" w:color="auto" w:fill="EAF9E8"/>
          </w:tcPr>
          <w:p>
            <w:pPr>
              <w:ind w:left="12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(7)</w:t>
            </w:r>
          </w:p>
        </w:tc>
        <w:tc>
          <w:tcPr>
            <w:tcW w:w="280" w:type="dxa"/>
            <w:vAlign w:val="bottom"/>
            <w:shd w:val="clear" w:color="auto" w:fill="EAF9E8"/>
          </w:tcPr>
          <w:p>
            <w:pPr>
              <w:jc w:val="right"/>
              <w:ind w:right="12"/>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35,457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rPr>
              <w:t>Cost of goods and services</w:t>
            </w:r>
          </w:p>
        </w:tc>
        <w:tc>
          <w:tcPr>
            <w:tcW w:w="50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5,674</w:t>
            </w:r>
          </w:p>
        </w:tc>
        <w:tc>
          <w:tcPr>
            <w:tcW w:w="36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9,189</w:t>
            </w:r>
          </w:p>
        </w:tc>
        <w:tc>
          <w:tcPr>
            <w:tcW w:w="220" w:type="dxa"/>
            <w:vAlign w:val="bottom"/>
          </w:tcPr>
          <w:p>
            <w:pPr>
              <w:spacing w:after="0"/>
              <w:rPr>
                <w:sz w:val="18"/>
                <w:szCs w:val="18"/>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Network operating costs</w:t>
            </w:r>
          </w:p>
        </w:tc>
        <w:tc>
          <w:tcPr>
            <w:tcW w:w="50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33"/>
              <w:spacing w:after="0"/>
              <w:rPr>
                <w:sz w:val="20"/>
                <w:szCs w:val="20"/>
                <w:color w:val="auto"/>
              </w:rPr>
            </w:pPr>
            <w:r>
              <w:rPr>
                <w:rFonts w:ascii="Arial" w:cs="Arial" w:eastAsia="Arial" w:hAnsi="Arial"/>
                <w:sz w:val="18"/>
                <w:szCs w:val="18"/>
                <w:color w:val="auto"/>
              </w:rPr>
              <w:t>10,209</w:t>
            </w:r>
          </w:p>
        </w:tc>
        <w:tc>
          <w:tcPr>
            <w:tcW w:w="36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(10,209)</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w:t>
            </w:r>
          </w:p>
        </w:tc>
        <w:tc>
          <w:tcPr>
            <w:tcW w:w="28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50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4,659</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Income tax provision</w:t>
            </w:r>
          </w:p>
        </w:tc>
        <w:tc>
          <w:tcPr>
            <w:tcW w:w="50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33"/>
              <w:spacing w:after="0"/>
              <w:rPr>
                <w:sz w:val="20"/>
                <w:szCs w:val="20"/>
                <w:color w:val="auto"/>
              </w:rPr>
            </w:pPr>
            <w:r>
              <w:rPr>
                <w:rFonts w:ascii="Arial" w:cs="Arial" w:eastAsia="Arial" w:hAnsi="Arial"/>
                <w:sz w:val="18"/>
                <w:szCs w:val="18"/>
                <w:color w:val="auto"/>
              </w:rPr>
              <w:t>1,497</w:t>
            </w:r>
          </w:p>
        </w:tc>
        <w:tc>
          <w:tcPr>
            <w:tcW w:w="36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(40)</w:t>
            </w:r>
          </w:p>
        </w:tc>
        <w:tc>
          <w:tcPr>
            <w:tcW w:w="28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50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2,512</w:t>
            </w:r>
          </w:p>
        </w:tc>
        <w:tc>
          <w:tcPr>
            <w:tcW w:w="36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Net income per share, basic</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AF9E8"/>
          </w:tcPr>
          <w:p>
            <w:pPr>
              <w:jc w:val="right"/>
              <w:ind w:right="33"/>
              <w:spacing w:after="0"/>
              <w:rPr>
                <w:sz w:val="20"/>
                <w:szCs w:val="20"/>
                <w:color w:val="auto"/>
              </w:rPr>
            </w:pPr>
            <w:r>
              <w:rPr>
                <w:rFonts w:ascii="Arial" w:cs="Arial" w:eastAsia="Arial" w:hAnsi="Arial"/>
                <w:sz w:val="18"/>
                <w:szCs w:val="18"/>
                <w:color w:val="auto"/>
              </w:rPr>
              <w:t>0.33</w:t>
            </w:r>
          </w:p>
        </w:tc>
        <w:tc>
          <w:tcPr>
            <w:tcW w:w="360" w:type="dxa"/>
            <w:vAlign w:val="bottom"/>
            <w:shd w:val="clear" w:color="auto" w:fill="EAF9E8"/>
          </w:tcPr>
          <w:p>
            <w:pPr>
              <w:ind w:left="12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EAF9E8"/>
          </w:tcPr>
          <w:p>
            <w:pPr>
              <w:jc w:val="right"/>
              <w:ind w:right="12"/>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rPr>
              <w:t>Net income per share, diluted</w:t>
            </w:r>
          </w:p>
        </w:tc>
        <w:tc>
          <w:tcPr>
            <w:tcW w:w="50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0.33</w:t>
            </w:r>
          </w:p>
        </w:tc>
        <w:tc>
          <w:tcPr>
            <w:tcW w:w="360" w:type="dxa"/>
            <w:vAlign w:val="bottom"/>
          </w:tcPr>
          <w:p>
            <w:pPr>
              <w:spacing w:after="0"/>
              <w:rPr>
                <w:sz w:val="19"/>
                <w:szCs w:val="19"/>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(0.01)</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EAF9E8"/>
          </w:tcPr>
          <w:p>
            <w:pPr>
              <w:spacing w:after="0"/>
              <w:rPr>
                <w:sz w:val="20"/>
                <w:szCs w:val="20"/>
                <w:color w:val="auto"/>
              </w:rPr>
            </w:pPr>
            <w:r>
              <w:rPr>
                <w:rFonts w:ascii="Arial" w:cs="Arial" w:eastAsia="Arial" w:hAnsi="Arial"/>
                <w:sz w:val="18"/>
                <w:szCs w:val="18"/>
                <w:color w:val="auto"/>
                <w:w w:val="95"/>
              </w:rPr>
              <w:t>Three Months Ended September 30, 2005:</w:t>
            </w:r>
          </w:p>
        </w:tc>
        <w:tc>
          <w:tcPr>
            <w:tcW w:w="50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rPr>
              <w:t>Operating revenues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37,320</w:t>
            </w:r>
          </w:p>
        </w:tc>
        <w:tc>
          <w:tcPr>
            <w:tcW w:w="36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28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Cost of goods and services</w:t>
            </w:r>
          </w:p>
        </w:tc>
        <w:tc>
          <w:tcPr>
            <w:tcW w:w="50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33"/>
              <w:spacing w:after="0"/>
              <w:rPr>
                <w:sz w:val="20"/>
                <w:szCs w:val="20"/>
                <w:color w:val="auto"/>
              </w:rPr>
            </w:pPr>
            <w:r>
              <w:rPr>
                <w:rFonts w:ascii="Arial" w:cs="Arial" w:eastAsia="Arial" w:hAnsi="Arial"/>
                <w:sz w:val="18"/>
                <w:szCs w:val="18"/>
                <w:color w:val="auto"/>
              </w:rPr>
              <w:t>14,533</w:t>
            </w:r>
          </w:p>
        </w:tc>
        <w:tc>
          <w:tcPr>
            <w:tcW w:w="36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rPr>
              <w:t>823</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jc w:val="right"/>
              <w:ind w:right="74"/>
              <w:spacing w:after="0"/>
              <w:rPr>
                <w:sz w:val="20"/>
                <w:szCs w:val="20"/>
                <w:color w:val="auto"/>
              </w:rPr>
            </w:pPr>
            <w:r>
              <w:rPr>
                <w:rFonts w:ascii="Arial" w:cs="Arial" w:eastAsia="Arial" w:hAnsi="Arial"/>
                <w:sz w:val="18"/>
                <w:szCs w:val="18"/>
                <w:color w:val="auto"/>
              </w:rPr>
              <w:t>90</w:t>
            </w:r>
          </w:p>
        </w:tc>
        <w:tc>
          <w:tcPr>
            <w:tcW w:w="28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50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5,752</w:t>
            </w:r>
          </w:p>
        </w:tc>
        <w:tc>
          <w:tcPr>
            <w:tcW w:w="36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Income tax provision</w:t>
            </w:r>
          </w:p>
        </w:tc>
        <w:tc>
          <w:tcPr>
            <w:tcW w:w="50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33"/>
              <w:spacing w:after="0"/>
              <w:rPr>
                <w:sz w:val="20"/>
                <w:szCs w:val="20"/>
                <w:color w:val="auto"/>
              </w:rPr>
            </w:pPr>
            <w:r>
              <w:rPr>
                <w:rFonts w:ascii="Arial" w:cs="Arial" w:eastAsia="Arial" w:hAnsi="Arial"/>
                <w:sz w:val="18"/>
                <w:szCs w:val="18"/>
                <w:color w:val="auto"/>
              </w:rPr>
              <w:t>2,083</w:t>
            </w:r>
          </w:p>
        </w:tc>
        <w:tc>
          <w:tcPr>
            <w:tcW w:w="36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(39)</w:t>
            </w:r>
          </w:p>
        </w:tc>
        <w:tc>
          <w:tcPr>
            <w:tcW w:w="28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50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3,158</w:t>
            </w:r>
          </w:p>
        </w:tc>
        <w:tc>
          <w:tcPr>
            <w:tcW w:w="36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Net income per share, basic</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AF9E8"/>
          </w:tcPr>
          <w:p>
            <w:pPr>
              <w:jc w:val="right"/>
              <w:ind w:right="33"/>
              <w:spacing w:after="0"/>
              <w:rPr>
                <w:sz w:val="20"/>
                <w:szCs w:val="20"/>
                <w:color w:val="auto"/>
              </w:rPr>
            </w:pPr>
            <w:r>
              <w:rPr>
                <w:rFonts w:ascii="Arial" w:cs="Arial" w:eastAsia="Arial" w:hAnsi="Arial"/>
                <w:sz w:val="18"/>
                <w:szCs w:val="18"/>
                <w:color w:val="auto"/>
              </w:rPr>
              <w:t>0.41</w:t>
            </w:r>
          </w:p>
        </w:tc>
        <w:tc>
          <w:tcPr>
            <w:tcW w:w="360" w:type="dxa"/>
            <w:vAlign w:val="bottom"/>
            <w:shd w:val="clear" w:color="auto" w:fill="EAF9E8"/>
          </w:tcPr>
          <w:p>
            <w:pPr>
              <w:ind w:left="12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EAF9E8"/>
          </w:tcPr>
          <w:p>
            <w:pPr>
              <w:jc w:val="right"/>
              <w:ind w:right="14"/>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EAF9E8"/>
          </w:tcPr>
          <w:p>
            <w:pPr>
              <w:jc w:val="right"/>
              <w:ind w:right="12"/>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rPr>
              <w:t>Net income per share, diluted</w:t>
            </w:r>
          </w:p>
        </w:tc>
        <w:tc>
          <w:tcPr>
            <w:tcW w:w="50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0.41</w:t>
            </w:r>
          </w:p>
        </w:tc>
        <w:tc>
          <w:tcPr>
            <w:tcW w:w="360" w:type="dxa"/>
            <w:vAlign w:val="bottom"/>
          </w:tcPr>
          <w:p>
            <w:pPr>
              <w:spacing w:after="0"/>
              <w:rPr>
                <w:sz w:val="19"/>
                <w:szCs w:val="19"/>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(0.01)</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ind w:right="353"/>
              <w:spacing w:after="0"/>
              <w:rPr>
                <w:sz w:val="20"/>
                <w:szCs w:val="20"/>
                <w:color w:val="auto"/>
              </w:rPr>
            </w:pPr>
            <w:r>
              <w:rPr>
                <w:rFonts w:ascii="Arial" w:cs="Arial" w:eastAsia="Arial" w:hAnsi="Arial"/>
                <w:sz w:val="18"/>
                <w:szCs w:val="18"/>
                <w:color w:val="auto"/>
              </w:rPr>
              <w:t>F-39</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20" w:type="dxa"/>
            <w:vAlign w:val="bottom"/>
            <w:shd w:val="clear" w:color="auto" w:fill="808080"/>
          </w:tcPr>
          <w:p>
            <w:pPr>
              <w:spacing w:after="0"/>
              <w:rPr>
                <w:sz w:val="6"/>
                <w:szCs w:val="6"/>
                <w:color w:val="auto"/>
              </w:rPr>
            </w:pPr>
          </w:p>
        </w:tc>
        <w:tc>
          <w:tcPr>
            <w:tcW w:w="3280" w:type="dxa"/>
            <w:vAlign w:val="bottom"/>
            <w:shd w:val="clear" w:color="auto" w:fill="808080"/>
          </w:tcPr>
          <w:p>
            <w:pPr>
              <w:spacing w:after="0"/>
              <w:rPr>
                <w:sz w:val="6"/>
                <w:szCs w:val="6"/>
                <w:color w:val="auto"/>
              </w:rPr>
            </w:pPr>
          </w:p>
        </w:tc>
        <w:tc>
          <w:tcPr>
            <w:tcW w:w="500" w:type="dxa"/>
            <w:vAlign w:val="bottom"/>
            <w:shd w:val="clear" w:color="auto" w:fill="808080"/>
          </w:tcPr>
          <w:p>
            <w:pPr>
              <w:spacing w:after="0"/>
              <w:rPr>
                <w:sz w:val="6"/>
                <w:szCs w:val="6"/>
                <w:color w:val="auto"/>
              </w:rPr>
            </w:pPr>
          </w:p>
        </w:tc>
        <w:tc>
          <w:tcPr>
            <w:tcW w:w="860" w:type="dxa"/>
            <w:vAlign w:val="bottom"/>
            <w:shd w:val="clear" w:color="auto" w:fill="808080"/>
          </w:tcPr>
          <w:p>
            <w:pPr>
              <w:spacing w:after="0"/>
              <w:rPr>
                <w:sz w:val="6"/>
                <w:szCs w:val="6"/>
                <w:color w:val="auto"/>
              </w:rPr>
            </w:pPr>
          </w:p>
        </w:tc>
        <w:tc>
          <w:tcPr>
            <w:tcW w:w="360" w:type="dxa"/>
            <w:vAlign w:val="bottom"/>
            <w:shd w:val="clear" w:color="auto" w:fill="808080"/>
          </w:tcPr>
          <w:p>
            <w:pPr>
              <w:spacing w:after="0"/>
              <w:rPr>
                <w:sz w:val="6"/>
                <w:szCs w:val="6"/>
                <w:color w:val="auto"/>
              </w:rPr>
            </w:pPr>
          </w:p>
        </w:tc>
        <w:tc>
          <w:tcPr>
            <w:tcW w:w="860" w:type="dxa"/>
            <w:vAlign w:val="bottom"/>
            <w:shd w:val="clear" w:color="auto" w:fill="808080"/>
          </w:tcPr>
          <w:p>
            <w:pPr>
              <w:spacing w:after="0"/>
              <w:rPr>
                <w:sz w:val="6"/>
                <w:szCs w:val="6"/>
                <w:color w:val="auto"/>
              </w:rPr>
            </w:pPr>
          </w:p>
        </w:tc>
        <w:tc>
          <w:tcPr>
            <w:tcW w:w="220" w:type="dxa"/>
            <w:vAlign w:val="bottom"/>
            <w:shd w:val="clear" w:color="auto" w:fill="808080"/>
          </w:tcPr>
          <w:p>
            <w:pPr>
              <w:spacing w:after="0"/>
              <w:rPr>
                <w:sz w:val="6"/>
                <w:szCs w:val="6"/>
                <w:color w:val="auto"/>
              </w:rPr>
            </w:pPr>
          </w:p>
        </w:tc>
        <w:tc>
          <w:tcPr>
            <w:tcW w:w="940" w:type="dxa"/>
            <w:vAlign w:val="bottom"/>
            <w:shd w:val="clear" w:color="auto" w:fill="808080"/>
          </w:tcPr>
          <w:p>
            <w:pPr>
              <w:spacing w:after="0"/>
              <w:rPr>
                <w:sz w:val="6"/>
                <w:szCs w:val="6"/>
                <w:color w:val="auto"/>
              </w:rPr>
            </w:pPr>
          </w:p>
        </w:tc>
        <w:tc>
          <w:tcPr>
            <w:tcW w:w="280" w:type="dxa"/>
            <w:vAlign w:val="bottom"/>
            <w:shd w:val="clear" w:color="auto" w:fill="808080"/>
          </w:tcPr>
          <w:p>
            <w:pPr>
              <w:spacing w:after="0"/>
              <w:rPr>
                <w:sz w:val="6"/>
                <w:szCs w:val="6"/>
                <w:color w:val="auto"/>
              </w:rPr>
            </w:pPr>
          </w:p>
        </w:tc>
        <w:tc>
          <w:tcPr>
            <w:tcW w:w="80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590" w:right="1440" w:bottom="1440" w:gutter="0" w:footer="0" w:header="0"/>
        </w:sectPr>
      </w:pPr>
    </w:p>
    <w:bookmarkStart w:id="113" w:name="page114"/>
    <w:bookmarkEnd w:id="113"/>
    <w:p>
      <w:pPr>
        <w:ind w:right="2219"/>
        <w:spacing w:after="0" w:line="268" w:lineRule="auto"/>
        <w:rPr>
          <w:sz w:val="20"/>
          <w:szCs w:val="20"/>
          <w:color w:val="auto"/>
        </w:rPr>
      </w:pPr>
      <w:r>
        <w:rPr>
          <w:rFonts w:ascii="Arial" w:cs="Arial" w:eastAsia="Arial" w:hAnsi="Arial"/>
          <w:sz w:val="18"/>
          <w:szCs w:val="18"/>
          <w:color w:val="auto"/>
        </w:rPr>
        <w:t>The reclassification and restatement adjustments to 2004 quarterly amounts previously reported in the Company’s Form 10-Q’s are summarized below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516255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73"/>
              <w:spacing w:after="0"/>
              <w:rPr>
                <w:sz w:val="20"/>
                <w:szCs w:val="20"/>
                <w:color w:val="auto"/>
              </w:rPr>
            </w:pPr>
            <w:r>
              <w:rPr>
                <w:rFonts w:ascii="Arial" w:cs="Arial" w:eastAsia="Arial" w:hAnsi="Arial"/>
                <w:sz w:val="14"/>
                <w:szCs w:val="14"/>
                <w:b w:val="1"/>
                <w:bCs w:val="1"/>
                <w:color w:val="auto"/>
                <w:w w:val="90"/>
              </w:rPr>
              <w:t>Restatement</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ind w:right="33"/>
              <w:spacing w:after="0"/>
              <w:rPr>
                <w:sz w:val="20"/>
                <w:szCs w:val="20"/>
                <w:color w:val="auto"/>
              </w:rPr>
            </w:pPr>
            <w:r>
              <w:rPr>
                <w:rFonts w:ascii="Arial" w:cs="Arial" w:eastAsia="Arial" w:hAnsi="Arial"/>
                <w:sz w:val="14"/>
                <w:szCs w:val="14"/>
                <w:b w:val="1"/>
                <w:bCs w:val="1"/>
                <w:color w:val="auto"/>
              </w:rPr>
              <w:t>(Reported)</w:t>
            </w: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w w:val="94"/>
              </w:rPr>
              <w:t>Reclassifications</w:t>
            </w:r>
          </w:p>
        </w:tc>
        <w:tc>
          <w:tcPr>
            <w:tcW w:w="220" w:type="dxa"/>
            <w:vAlign w:val="bottom"/>
          </w:tcPr>
          <w:p>
            <w:pPr>
              <w:spacing w:after="0"/>
              <w:rPr>
                <w:sz w:val="15"/>
                <w:szCs w:val="15"/>
                <w:color w:val="auto"/>
              </w:rPr>
            </w:pPr>
          </w:p>
        </w:tc>
        <w:tc>
          <w:tcPr>
            <w:tcW w:w="940" w:type="dxa"/>
            <w:vAlign w:val="bottom"/>
          </w:tcPr>
          <w:p>
            <w:pPr>
              <w:jc w:val="right"/>
              <w:ind w:right="73"/>
              <w:spacing w:after="0"/>
              <w:rPr>
                <w:sz w:val="20"/>
                <w:szCs w:val="20"/>
                <w:color w:val="auto"/>
              </w:rPr>
            </w:pPr>
            <w:r>
              <w:rPr>
                <w:rFonts w:ascii="Arial" w:cs="Arial" w:eastAsia="Arial" w:hAnsi="Arial"/>
                <w:sz w:val="14"/>
                <w:szCs w:val="14"/>
                <w:b w:val="1"/>
                <w:bCs w:val="1"/>
                <w:color w:val="auto"/>
                <w:w w:val="89"/>
              </w:rPr>
              <w:t>Adjustments</w:t>
            </w: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3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EAF9E8"/>
          </w:tcPr>
          <w:p>
            <w:pPr>
              <w:spacing w:after="0"/>
              <w:rPr>
                <w:sz w:val="20"/>
                <w:szCs w:val="20"/>
                <w:color w:val="auto"/>
              </w:rPr>
            </w:pPr>
            <w:r>
              <w:rPr>
                <w:rFonts w:ascii="Arial" w:cs="Arial" w:eastAsia="Arial" w:hAnsi="Arial"/>
                <w:sz w:val="18"/>
                <w:szCs w:val="18"/>
                <w:color w:val="auto"/>
              </w:rPr>
              <w:t>Three Months Ended March 31, 2004:</w:t>
            </w:r>
          </w:p>
        </w:tc>
        <w:tc>
          <w:tcPr>
            <w:tcW w:w="50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rPr>
              <w:t>Operating revenues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27,719</w:t>
            </w:r>
          </w:p>
        </w:tc>
        <w:tc>
          <w:tcPr>
            <w:tcW w:w="42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5</w:t>
            </w:r>
          </w:p>
        </w:tc>
        <w:tc>
          <w:tcPr>
            <w:tcW w:w="28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Cost of goods and services</w:t>
            </w:r>
          </w:p>
        </w:tc>
        <w:tc>
          <w:tcPr>
            <w:tcW w:w="50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33"/>
              <w:spacing w:after="0"/>
              <w:rPr>
                <w:sz w:val="20"/>
                <w:szCs w:val="20"/>
                <w:color w:val="auto"/>
              </w:rPr>
            </w:pPr>
            <w:r>
              <w:rPr>
                <w:rFonts w:ascii="Arial" w:cs="Arial" w:eastAsia="Arial" w:hAnsi="Arial"/>
                <w:sz w:val="18"/>
                <w:szCs w:val="18"/>
                <w:color w:val="auto"/>
              </w:rPr>
              <w:t>3,726</w:t>
            </w:r>
          </w:p>
        </w:tc>
        <w:tc>
          <w:tcPr>
            <w:tcW w:w="42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rPr>
              <w:t>6,286</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jc w:val="right"/>
              <w:ind w:right="73"/>
              <w:spacing w:after="0"/>
              <w:rPr>
                <w:sz w:val="20"/>
                <w:szCs w:val="20"/>
                <w:color w:val="auto"/>
              </w:rPr>
            </w:pPr>
            <w:r>
              <w:rPr>
                <w:rFonts w:ascii="Arial" w:cs="Arial" w:eastAsia="Arial" w:hAnsi="Arial"/>
                <w:sz w:val="18"/>
                <w:szCs w:val="18"/>
                <w:color w:val="auto"/>
              </w:rPr>
              <w:t>101</w:t>
            </w:r>
          </w:p>
        </w:tc>
        <w:tc>
          <w:tcPr>
            <w:tcW w:w="28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rPr>
              <w:t>Network operating costs</w:t>
            </w:r>
          </w:p>
        </w:tc>
        <w:tc>
          <w:tcPr>
            <w:tcW w:w="50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8,311</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(8,311)</w:t>
            </w:r>
          </w:p>
        </w:tc>
        <w:tc>
          <w:tcPr>
            <w:tcW w:w="22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Operating income</w:t>
            </w:r>
          </w:p>
        </w:tc>
        <w:tc>
          <w:tcPr>
            <w:tcW w:w="50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33"/>
              <w:spacing w:after="0"/>
              <w:rPr>
                <w:sz w:val="20"/>
                <w:szCs w:val="20"/>
                <w:color w:val="auto"/>
              </w:rPr>
            </w:pPr>
            <w:r>
              <w:rPr>
                <w:rFonts w:ascii="Arial" w:cs="Arial" w:eastAsia="Arial" w:hAnsi="Arial"/>
                <w:sz w:val="18"/>
                <w:szCs w:val="18"/>
                <w:color w:val="auto"/>
              </w:rPr>
              <w:t>4,284</w:t>
            </w:r>
          </w:p>
        </w:tc>
        <w:tc>
          <w:tcPr>
            <w:tcW w:w="4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(96)</w:t>
            </w:r>
          </w:p>
        </w:tc>
        <w:tc>
          <w:tcPr>
            <w:tcW w:w="28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rPr>
              <w:t>Income tax provision</w:t>
            </w:r>
          </w:p>
        </w:tc>
        <w:tc>
          <w:tcPr>
            <w:tcW w:w="50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1,380</w:t>
            </w:r>
          </w:p>
        </w:tc>
        <w:tc>
          <w:tcPr>
            <w:tcW w:w="42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Net income</w:t>
            </w:r>
          </w:p>
        </w:tc>
        <w:tc>
          <w:tcPr>
            <w:tcW w:w="50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33"/>
              <w:spacing w:after="0"/>
              <w:rPr>
                <w:sz w:val="20"/>
                <w:szCs w:val="20"/>
                <w:color w:val="auto"/>
              </w:rPr>
            </w:pPr>
            <w:r>
              <w:rPr>
                <w:rFonts w:ascii="Arial" w:cs="Arial" w:eastAsia="Arial" w:hAnsi="Arial"/>
                <w:sz w:val="18"/>
                <w:szCs w:val="18"/>
                <w:color w:val="auto"/>
              </w:rPr>
              <w:t>2,313</w:t>
            </w:r>
          </w:p>
        </w:tc>
        <w:tc>
          <w:tcPr>
            <w:tcW w:w="42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(60)</w:t>
            </w:r>
          </w:p>
        </w:tc>
        <w:tc>
          <w:tcPr>
            <w:tcW w:w="28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rPr>
              <w:t>Net income per share, basic</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0.30</w:t>
            </w:r>
          </w:p>
        </w:tc>
        <w:tc>
          <w:tcPr>
            <w:tcW w:w="42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Net income per share, diluted</w:t>
            </w:r>
          </w:p>
        </w:tc>
        <w:tc>
          <w:tcPr>
            <w:tcW w:w="50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33"/>
              <w:spacing w:after="0"/>
              <w:rPr>
                <w:sz w:val="20"/>
                <w:szCs w:val="20"/>
                <w:color w:val="auto"/>
              </w:rPr>
            </w:pPr>
            <w:r>
              <w:rPr>
                <w:rFonts w:ascii="Arial" w:cs="Arial" w:eastAsia="Arial" w:hAnsi="Arial"/>
                <w:sz w:val="18"/>
                <w:szCs w:val="18"/>
                <w:color w:val="auto"/>
              </w:rPr>
              <w:t>0.30</w:t>
            </w:r>
          </w:p>
        </w:tc>
        <w:tc>
          <w:tcPr>
            <w:tcW w:w="42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364"/>
        </w:trPr>
        <w:tc>
          <w:tcPr>
            <w:tcW w:w="3300" w:type="dxa"/>
            <w:vAlign w:val="bottom"/>
            <w:gridSpan w:val="2"/>
          </w:tcPr>
          <w:p>
            <w:pPr>
              <w:spacing w:after="0"/>
              <w:rPr>
                <w:sz w:val="20"/>
                <w:szCs w:val="20"/>
                <w:color w:val="auto"/>
              </w:rPr>
            </w:pPr>
            <w:r>
              <w:rPr>
                <w:rFonts w:ascii="Arial" w:cs="Arial" w:eastAsia="Arial" w:hAnsi="Arial"/>
                <w:sz w:val="18"/>
                <w:szCs w:val="18"/>
                <w:color w:val="auto"/>
              </w:rPr>
              <w:t>Three Months Ended June 30, 2004:</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Operating revenues</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AF9E8"/>
          </w:tcPr>
          <w:p>
            <w:pPr>
              <w:jc w:val="right"/>
              <w:ind w:right="33"/>
              <w:spacing w:after="0"/>
              <w:rPr>
                <w:sz w:val="20"/>
                <w:szCs w:val="20"/>
                <w:color w:val="auto"/>
              </w:rPr>
            </w:pPr>
            <w:r>
              <w:rPr>
                <w:rFonts w:ascii="Arial" w:cs="Arial" w:eastAsia="Arial" w:hAnsi="Arial"/>
                <w:sz w:val="18"/>
                <w:szCs w:val="18"/>
                <w:color w:val="auto"/>
              </w:rPr>
              <w:t>29,852</w:t>
            </w:r>
          </w:p>
        </w:tc>
        <w:tc>
          <w:tcPr>
            <w:tcW w:w="420" w:type="dxa"/>
            <w:vAlign w:val="bottom"/>
            <w:shd w:val="clear" w:color="auto" w:fill="EAF9E8"/>
          </w:tcPr>
          <w:p>
            <w:pPr>
              <w:ind w:left="1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EAF9E8"/>
          </w:tcPr>
          <w:p>
            <w:pPr>
              <w:jc w:val="right"/>
              <w:ind w:right="73"/>
              <w:spacing w:after="0"/>
              <w:rPr>
                <w:sz w:val="20"/>
                <w:szCs w:val="20"/>
                <w:color w:val="auto"/>
              </w:rPr>
            </w:pPr>
            <w:r>
              <w:rPr>
                <w:rFonts w:ascii="Arial" w:cs="Arial" w:eastAsia="Arial" w:hAnsi="Arial"/>
                <w:sz w:val="18"/>
                <w:szCs w:val="18"/>
                <w:color w:val="auto"/>
              </w:rPr>
              <w:t>5</w:t>
            </w:r>
          </w:p>
        </w:tc>
        <w:tc>
          <w:tcPr>
            <w:tcW w:w="280" w:type="dxa"/>
            <w:vAlign w:val="bottom"/>
            <w:shd w:val="clear" w:color="auto" w:fill="EAF9E8"/>
          </w:tcPr>
          <w:p>
            <w:pPr>
              <w:jc w:val="right"/>
              <w:ind w:right="12"/>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rPr>
              <w:t>Cost of goods and services</w:t>
            </w:r>
          </w:p>
        </w:tc>
        <w:tc>
          <w:tcPr>
            <w:tcW w:w="50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3,886</w:t>
            </w:r>
          </w:p>
        </w:tc>
        <w:tc>
          <w:tcPr>
            <w:tcW w:w="42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6,820</w:t>
            </w:r>
          </w:p>
        </w:tc>
        <w:tc>
          <w:tcPr>
            <w:tcW w:w="22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Network operating costs</w:t>
            </w:r>
          </w:p>
        </w:tc>
        <w:tc>
          <w:tcPr>
            <w:tcW w:w="50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33"/>
              <w:spacing w:after="0"/>
              <w:rPr>
                <w:sz w:val="20"/>
                <w:szCs w:val="20"/>
                <w:color w:val="auto"/>
              </w:rPr>
            </w:pPr>
            <w:r>
              <w:rPr>
                <w:rFonts w:ascii="Arial" w:cs="Arial" w:eastAsia="Arial" w:hAnsi="Arial"/>
                <w:sz w:val="18"/>
                <w:szCs w:val="18"/>
                <w:color w:val="auto"/>
              </w:rPr>
              <w:t>9,156</w:t>
            </w:r>
          </w:p>
        </w:tc>
        <w:tc>
          <w:tcPr>
            <w:tcW w:w="4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(9,156)</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50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5,026</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Income tax provision</w:t>
            </w:r>
          </w:p>
        </w:tc>
        <w:tc>
          <w:tcPr>
            <w:tcW w:w="50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33"/>
              <w:spacing w:after="0"/>
              <w:rPr>
                <w:sz w:val="20"/>
                <w:szCs w:val="20"/>
                <w:color w:val="auto"/>
              </w:rPr>
            </w:pPr>
            <w:r>
              <w:rPr>
                <w:rFonts w:ascii="Arial" w:cs="Arial" w:eastAsia="Arial" w:hAnsi="Arial"/>
                <w:sz w:val="18"/>
                <w:szCs w:val="18"/>
                <w:color w:val="auto"/>
              </w:rPr>
              <w:t>1,709</w:t>
            </w:r>
          </w:p>
        </w:tc>
        <w:tc>
          <w:tcPr>
            <w:tcW w:w="4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(37)</w:t>
            </w:r>
          </w:p>
        </w:tc>
        <w:tc>
          <w:tcPr>
            <w:tcW w:w="28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50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2,880</w:t>
            </w:r>
          </w:p>
        </w:tc>
        <w:tc>
          <w:tcPr>
            <w:tcW w:w="42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Net income per share, basic</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AF9E8"/>
          </w:tcPr>
          <w:p>
            <w:pPr>
              <w:jc w:val="right"/>
              <w:ind w:right="33"/>
              <w:spacing w:after="0"/>
              <w:rPr>
                <w:sz w:val="20"/>
                <w:szCs w:val="20"/>
                <w:color w:val="auto"/>
              </w:rPr>
            </w:pPr>
            <w:r>
              <w:rPr>
                <w:rFonts w:ascii="Arial" w:cs="Arial" w:eastAsia="Arial" w:hAnsi="Arial"/>
                <w:sz w:val="18"/>
                <w:szCs w:val="18"/>
                <w:color w:val="auto"/>
              </w:rPr>
              <w:t>0.38</w:t>
            </w:r>
          </w:p>
        </w:tc>
        <w:tc>
          <w:tcPr>
            <w:tcW w:w="420" w:type="dxa"/>
            <w:vAlign w:val="bottom"/>
            <w:shd w:val="clear" w:color="auto" w:fill="EAF9E8"/>
          </w:tcPr>
          <w:p>
            <w:pPr>
              <w:ind w:left="1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EAF9E8"/>
          </w:tcPr>
          <w:p>
            <w:pPr>
              <w:jc w:val="right"/>
              <w:ind w:right="12"/>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rPr>
              <w:t>Net income per share, diluted</w:t>
            </w:r>
          </w:p>
        </w:tc>
        <w:tc>
          <w:tcPr>
            <w:tcW w:w="50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0.38</w:t>
            </w:r>
          </w:p>
        </w:tc>
        <w:tc>
          <w:tcPr>
            <w:tcW w:w="420" w:type="dxa"/>
            <w:vAlign w:val="bottom"/>
          </w:tcPr>
          <w:p>
            <w:pPr>
              <w:spacing w:after="0"/>
              <w:rPr>
                <w:sz w:val="19"/>
                <w:szCs w:val="19"/>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(0.01)</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EAF9E8"/>
          </w:tcPr>
          <w:p>
            <w:pPr>
              <w:spacing w:after="0"/>
              <w:rPr>
                <w:sz w:val="20"/>
                <w:szCs w:val="20"/>
                <w:color w:val="auto"/>
              </w:rPr>
            </w:pPr>
            <w:r>
              <w:rPr>
                <w:rFonts w:ascii="Arial" w:cs="Arial" w:eastAsia="Arial" w:hAnsi="Arial"/>
                <w:sz w:val="18"/>
                <w:szCs w:val="18"/>
                <w:color w:val="auto"/>
                <w:w w:val="95"/>
              </w:rPr>
              <w:t>Three Months Ended September 30, 2004:</w:t>
            </w:r>
          </w:p>
        </w:tc>
        <w:tc>
          <w:tcPr>
            <w:tcW w:w="50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rPr>
              <w:t>Operating revenues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31,103</w:t>
            </w:r>
          </w:p>
        </w:tc>
        <w:tc>
          <w:tcPr>
            <w:tcW w:w="42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5</w:t>
            </w:r>
          </w:p>
        </w:tc>
        <w:tc>
          <w:tcPr>
            <w:tcW w:w="28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Cost of goods and services</w:t>
            </w:r>
          </w:p>
        </w:tc>
        <w:tc>
          <w:tcPr>
            <w:tcW w:w="50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33"/>
              <w:spacing w:after="0"/>
              <w:rPr>
                <w:sz w:val="20"/>
                <w:szCs w:val="20"/>
                <w:color w:val="auto"/>
              </w:rPr>
            </w:pPr>
            <w:r>
              <w:rPr>
                <w:rFonts w:ascii="Arial" w:cs="Arial" w:eastAsia="Arial" w:hAnsi="Arial"/>
                <w:sz w:val="18"/>
                <w:szCs w:val="18"/>
                <w:color w:val="auto"/>
              </w:rPr>
              <w:t>2,091</w:t>
            </w:r>
          </w:p>
        </w:tc>
        <w:tc>
          <w:tcPr>
            <w:tcW w:w="42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rPr>
              <w:t>9,886</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jc w:val="right"/>
              <w:ind w:right="73"/>
              <w:spacing w:after="0"/>
              <w:rPr>
                <w:sz w:val="20"/>
                <w:szCs w:val="20"/>
                <w:color w:val="auto"/>
              </w:rPr>
            </w:pPr>
            <w:r>
              <w:rPr>
                <w:rFonts w:ascii="Arial" w:cs="Arial" w:eastAsia="Arial" w:hAnsi="Arial"/>
                <w:sz w:val="18"/>
                <w:szCs w:val="18"/>
                <w:color w:val="auto"/>
              </w:rPr>
              <w:t>94</w:t>
            </w:r>
          </w:p>
        </w:tc>
        <w:tc>
          <w:tcPr>
            <w:tcW w:w="28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rPr>
              <w:t>Network operating costs</w:t>
            </w:r>
          </w:p>
        </w:tc>
        <w:tc>
          <w:tcPr>
            <w:tcW w:w="50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9,182</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(9,182)</w:t>
            </w:r>
          </w:p>
        </w:tc>
        <w:tc>
          <w:tcPr>
            <w:tcW w:w="22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Operating income</w:t>
            </w:r>
          </w:p>
        </w:tc>
        <w:tc>
          <w:tcPr>
            <w:tcW w:w="50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33"/>
              <w:spacing w:after="0"/>
              <w:rPr>
                <w:sz w:val="20"/>
                <w:szCs w:val="20"/>
                <w:color w:val="auto"/>
              </w:rPr>
            </w:pPr>
            <w:r>
              <w:rPr>
                <w:rFonts w:ascii="Arial" w:cs="Arial" w:eastAsia="Arial" w:hAnsi="Arial"/>
                <w:sz w:val="18"/>
                <w:szCs w:val="18"/>
                <w:color w:val="auto"/>
              </w:rPr>
              <w:t>6,471</w:t>
            </w:r>
          </w:p>
        </w:tc>
        <w:tc>
          <w:tcPr>
            <w:tcW w:w="4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(714)</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(89)</w:t>
            </w:r>
          </w:p>
        </w:tc>
        <w:tc>
          <w:tcPr>
            <w:tcW w:w="28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rPr>
              <w:t>Income tax provision</w:t>
            </w:r>
          </w:p>
        </w:tc>
        <w:tc>
          <w:tcPr>
            <w:tcW w:w="50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1,844</w:t>
            </w:r>
          </w:p>
        </w:tc>
        <w:tc>
          <w:tcPr>
            <w:tcW w:w="42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Net income</w:t>
            </w:r>
          </w:p>
        </w:tc>
        <w:tc>
          <w:tcPr>
            <w:tcW w:w="50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33"/>
              <w:spacing w:after="0"/>
              <w:rPr>
                <w:sz w:val="20"/>
                <w:szCs w:val="20"/>
                <w:color w:val="auto"/>
              </w:rPr>
            </w:pPr>
            <w:r>
              <w:rPr>
                <w:rFonts w:ascii="Arial" w:cs="Arial" w:eastAsia="Arial" w:hAnsi="Arial"/>
                <w:sz w:val="18"/>
                <w:szCs w:val="18"/>
                <w:color w:val="auto"/>
              </w:rPr>
              <w:t>3,111</w:t>
            </w:r>
          </w:p>
        </w:tc>
        <w:tc>
          <w:tcPr>
            <w:tcW w:w="42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(53)</w:t>
            </w:r>
          </w:p>
        </w:tc>
        <w:tc>
          <w:tcPr>
            <w:tcW w:w="28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rPr>
              <w:t>Net income per share, basic</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0.41</w:t>
            </w:r>
          </w:p>
        </w:tc>
        <w:tc>
          <w:tcPr>
            <w:tcW w:w="42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(0.01)</w:t>
            </w:r>
          </w:p>
        </w:tc>
        <w:tc>
          <w:tcPr>
            <w:tcW w:w="28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Net income per share, diluted</w:t>
            </w:r>
          </w:p>
        </w:tc>
        <w:tc>
          <w:tcPr>
            <w:tcW w:w="50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33"/>
              <w:spacing w:after="0"/>
              <w:rPr>
                <w:sz w:val="20"/>
                <w:szCs w:val="20"/>
                <w:color w:val="auto"/>
              </w:rPr>
            </w:pPr>
            <w:r>
              <w:rPr>
                <w:rFonts w:ascii="Arial" w:cs="Arial" w:eastAsia="Arial" w:hAnsi="Arial"/>
                <w:sz w:val="18"/>
                <w:szCs w:val="18"/>
                <w:color w:val="auto"/>
              </w:rPr>
              <w:t>0.41</w:t>
            </w:r>
          </w:p>
        </w:tc>
        <w:tc>
          <w:tcPr>
            <w:tcW w:w="420" w:type="dxa"/>
            <w:vAlign w:val="bottom"/>
            <w:shd w:val="clear" w:color="auto" w:fill="EAF9E8"/>
          </w:tcPr>
          <w:p>
            <w:pPr>
              <w:spacing w:after="0"/>
              <w:rPr>
                <w:sz w:val="18"/>
                <w:szCs w:val="18"/>
                <w:color w:val="auto"/>
              </w:rPr>
            </w:pPr>
          </w:p>
        </w:tc>
        <w:tc>
          <w:tcPr>
            <w:tcW w:w="80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364"/>
        </w:trPr>
        <w:tc>
          <w:tcPr>
            <w:tcW w:w="3300" w:type="dxa"/>
            <w:vAlign w:val="bottom"/>
            <w:gridSpan w:val="2"/>
          </w:tcPr>
          <w:p>
            <w:pPr>
              <w:spacing w:after="0"/>
              <w:rPr>
                <w:sz w:val="20"/>
                <w:szCs w:val="20"/>
                <w:color w:val="auto"/>
              </w:rPr>
            </w:pPr>
            <w:r>
              <w:rPr>
                <w:rFonts w:ascii="Arial" w:cs="Arial" w:eastAsia="Arial" w:hAnsi="Arial"/>
                <w:sz w:val="18"/>
                <w:szCs w:val="18"/>
                <w:color w:val="auto"/>
                <w:w w:val="97"/>
              </w:rPr>
              <w:t>Three Months Ended December 31, 2004:</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Operating revenues</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AF9E8"/>
          </w:tcPr>
          <w:p>
            <w:pPr>
              <w:jc w:val="right"/>
              <w:ind w:right="33"/>
              <w:spacing w:after="0"/>
              <w:rPr>
                <w:sz w:val="20"/>
                <w:szCs w:val="20"/>
                <w:color w:val="auto"/>
              </w:rPr>
            </w:pPr>
            <w:r>
              <w:rPr>
                <w:rFonts w:ascii="Arial" w:cs="Arial" w:eastAsia="Arial" w:hAnsi="Arial"/>
                <w:sz w:val="18"/>
                <w:szCs w:val="18"/>
                <w:color w:val="auto"/>
              </w:rPr>
              <w:t>32,300</w:t>
            </w:r>
          </w:p>
        </w:tc>
        <w:tc>
          <w:tcPr>
            <w:tcW w:w="420" w:type="dxa"/>
            <w:vAlign w:val="bottom"/>
            <w:shd w:val="clear" w:color="auto" w:fill="EAF9E8"/>
          </w:tcPr>
          <w:p>
            <w:pPr>
              <w:ind w:left="1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EAF9E8"/>
          </w:tcPr>
          <w:p>
            <w:pPr>
              <w:jc w:val="right"/>
              <w:ind w:right="73"/>
              <w:spacing w:after="0"/>
              <w:rPr>
                <w:sz w:val="20"/>
                <w:szCs w:val="20"/>
                <w:color w:val="auto"/>
              </w:rPr>
            </w:pPr>
            <w:r>
              <w:rPr>
                <w:rFonts w:ascii="Arial" w:cs="Arial" w:eastAsia="Arial" w:hAnsi="Arial"/>
                <w:sz w:val="18"/>
                <w:szCs w:val="18"/>
                <w:color w:val="auto"/>
              </w:rPr>
              <w:t>5</w:t>
            </w:r>
          </w:p>
        </w:tc>
        <w:tc>
          <w:tcPr>
            <w:tcW w:w="280" w:type="dxa"/>
            <w:vAlign w:val="bottom"/>
            <w:shd w:val="clear" w:color="auto" w:fill="EAF9E8"/>
          </w:tcPr>
          <w:p>
            <w:pPr>
              <w:jc w:val="right"/>
              <w:ind w:right="12"/>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rPr>
              <w:t>Cost of goods and services</w:t>
            </w:r>
          </w:p>
        </w:tc>
        <w:tc>
          <w:tcPr>
            <w:tcW w:w="50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6,090</w:t>
            </w:r>
          </w:p>
        </w:tc>
        <w:tc>
          <w:tcPr>
            <w:tcW w:w="42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6,680</w:t>
            </w:r>
          </w:p>
        </w:tc>
        <w:tc>
          <w:tcPr>
            <w:tcW w:w="220" w:type="dxa"/>
            <w:vAlign w:val="bottom"/>
          </w:tcPr>
          <w:p>
            <w:pPr>
              <w:spacing w:after="0"/>
              <w:rPr>
                <w:sz w:val="18"/>
                <w:szCs w:val="18"/>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Network operating costs</w:t>
            </w:r>
          </w:p>
        </w:tc>
        <w:tc>
          <w:tcPr>
            <w:tcW w:w="50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33"/>
              <w:spacing w:after="0"/>
              <w:rPr>
                <w:sz w:val="20"/>
                <w:szCs w:val="20"/>
                <w:color w:val="auto"/>
              </w:rPr>
            </w:pPr>
            <w:r>
              <w:rPr>
                <w:rFonts w:ascii="Arial" w:cs="Arial" w:eastAsia="Arial" w:hAnsi="Arial"/>
                <w:sz w:val="18"/>
                <w:szCs w:val="18"/>
                <w:color w:val="auto"/>
              </w:rPr>
              <w:t>9,571</w:t>
            </w:r>
          </w:p>
        </w:tc>
        <w:tc>
          <w:tcPr>
            <w:tcW w:w="4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(9,571)</w:t>
            </w: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50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3,844</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(405)</w:t>
            </w:r>
          </w:p>
        </w:tc>
        <w:tc>
          <w:tcPr>
            <w:tcW w:w="220" w:type="dxa"/>
            <w:vAlign w:val="bottom"/>
          </w:tcPr>
          <w:p>
            <w:pPr>
              <w:spacing w:after="0"/>
              <w:rPr>
                <w:sz w:val="18"/>
                <w:szCs w:val="18"/>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Income tax provision</w:t>
            </w:r>
          </w:p>
        </w:tc>
        <w:tc>
          <w:tcPr>
            <w:tcW w:w="500" w:type="dxa"/>
            <w:vAlign w:val="bottom"/>
            <w:shd w:val="clear" w:color="auto" w:fill="EAF9E8"/>
          </w:tcPr>
          <w:p>
            <w:pPr>
              <w:spacing w:after="0"/>
              <w:rPr>
                <w:sz w:val="18"/>
                <w:szCs w:val="18"/>
                <w:color w:val="auto"/>
              </w:rPr>
            </w:pPr>
          </w:p>
        </w:tc>
        <w:tc>
          <w:tcPr>
            <w:tcW w:w="860" w:type="dxa"/>
            <w:vAlign w:val="bottom"/>
            <w:shd w:val="clear" w:color="auto" w:fill="EAF9E8"/>
          </w:tcPr>
          <w:p>
            <w:pPr>
              <w:jc w:val="right"/>
              <w:ind w:right="33"/>
              <w:spacing w:after="0"/>
              <w:rPr>
                <w:sz w:val="20"/>
                <w:szCs w:val="20"/>
                <w:color w:val="auto"/>
              </w:rPr>
            </w:pPr>
            <w:r>
              <w:rPr>
                <w:rFonts w:ascii="Arial" w:cs="Arial" w:eastAsia="Arial" w:hAnsi="Arial"/>
                <w:sz w:val="18"/>
                <w:szCs w:val="18"/>
                <w:color w:val="auto"/>
              </w:rPr>
              <w:t>1,145</w:t>
            </w:r>
          </w:p>
        </w:tc>
        <w:tc>
          <w:tcPr>
            <w:tcW w:w="4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jc w:val="right"/>
              <w:ind w:right="13"/>
              <w:spacing w:after="0"/>
              <w:rPr>
                <w:sz w:val="20"/>
                <w:szCs w:val="20"/>
                <w:color w:val="auto"/>
              </w:rPr>
            </w:pPr>
            <w:r>
              <w:rPr>
                <w:rFonts w:ascii="Arial" w:cs="Arial" w:eastAsia="Arial" w:hAnsi="Arial"/>
                <w:sz w:val="18"/>
                <w:szCs w:val="18"/>
                <w:color w:val="auto"/>
              </w:rPr>
              <w:t>(49)</w:t>
            </w:r>
          </w:p>
        </w:tc>
        <w:tc>
          <w:tcPr>
            <w:tcW w:w="28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50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1,939</w:t>
            </w:r>
          </w:p>
        </w:tc>
        <w:tc>
          <w:tcPr>
            <w:tcW w:w="42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Net income per share, basic</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AF9E8"/>
          </w:tcPr>
          <w:p>
            <w:pPr>
              <w:jc w:val="right"/>
              <w:ind w:right="33"/>
              <w:spacing w:after="0"/>
              <w:rPr>
                <w:sz w:val="20"/>
                <w:szCs w:val="20"/>
                <w:color w:val="auto"/>
              </w:rPr>
            </w:pPr>
            <w:r>
              <w:rPr>
                <w:rFonts w:ascii="Arial" w:cs="Arial" w:eastAsia="Arial" w:hAnsi="Arial"/>
                <w:sz w:val="18"/>
                <w:szCs w:val="18"/>
                <w:color w:val="auto"/>
              </w:rPr>
              <w:t>0.25</w:t>
            </w:r>
          </w:p>
        </w:tc>
        <w:tc>
          <w:tcPr>
            <w:tcW w:w="420" w:type="dxa"/>
            <w:vAlign w:val="bottom"/>
            <w:shd w:val="clear" w:color="auto" w:fill="EAF9E8"/>
          </w:tcPr>
          <w:p>
            <w:pPr>
              <w:ind w:left="1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EAF9E8"/>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EAF9E8"/>
          </w:tcPr>
          <w:p>
            <w:pPr>
              <w:jc w:val="right"/>
              <w:ind w:right="12"/>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rPr>
              <w:t>Net income per share, diluted</w:t>
            </w:r>
          </w:p>
        </w:tc>
        <w:tc>
          <w:tcPr>
            <w:tcW w:w="50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0.25</w:t>
            </w:r>
          </w:p>
        </w:tc>
        <w:tc>
          <w:tcPr>
            <w:tcW w:w="420" w:type="dxa"/>
            <w:vAlign w:val="bottom"/>
          </w:tcPr>
          <w:p>
            <w:pPr>
              <w:spacing w:after="0"/>
              <w:rPr>
                <w:sz w:val="19"/>
                <w:szCs w:val="19"/>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Verizon Settlement</w:t>
      </w:r>
    </w:p>
    <w:p>
      <w:pPr>
        <w:spacing w:after="0" w:line="231" w:lineRule="exact"/>
        <w:rPr>
          <w:sz w:val="20"/>
          <w:szCs w:val="20"/>
          <w:color w:val="auto"/>
        </w:rPr>
      </w:pPr>
    </w:p>
    <w:p>
      <w:pPr>
        <w:ind w:right="2119"/>
        <w:spacing w:after="0" w:line="256" w:lineRule="auto"/>
        <w:rPr>
          <w:sz w:val="20"/>
          <w:szCs w:val="20"/>
          <w:color w:val="auto"/>
        </w:rPr>
      </w:pPr>
      <w:r>
        <w:rPr>
          <w:rFonts w:ascii="Arial" w:cs="Arial" w:eastAsia="Arial" w:hAnsi="Arial"/>
          <w:sz w:val="18"/>
          <w:szCs w:val="18"/>
          <w:color w:val="auto"/>
        </w:rPr>
        <w:t>In September 2005, the Company settled a claim against Verizon, with respect to overcharges for completing local calls from Shenandoah PCS customers to Verizon customers, for $750,000, which was received by the Company in September 2005. In connection with the settlement, the Company recorded a third quarter reduction in PCS costs of goods and services of $750,000.</w:t>
      </w:r>
    </w:p>
    <w:p>
      <w:pPr>
        <w:spacing w:after="0" w:line="19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90" w:right="1440"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b w:val="1"/>
          <w:bCs w:val="1"/>
          <w:u w:val="single" w:color="auto"/>
          <w:color w:val="auto"/>
        </w:rPr>
        <w:t>Exhibits Index</w:t>
      </w:r>
    </w:p>
    <w:p>
      <w:pPr>
        <w:sectPr>
          <w:pgSz w:w="11900" w:h="16838" w:orient="portrait"/>
          <w:cols w:equalWidth="0" w:num="1">
            <w:col w:w="10219"/>
          </w:cols>
          <w:pgMar w:left="240" w:top="584" w:right="1440" w:bottom="1440" w:gutter="0" w:footer="0" w:header="0"/>
        </w:sect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37719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-1904365</wp:posOffset>
            </wp:positionH>
            <wp:positionV relativeFrom="paragraph">
              <wp:posOffset>83185</wp:posOffset>
            </wp:positionV>
            <wp:extent cx="454533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4545330" cy="8890"/>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3260" w:space="720"/>
            <w:col w:w="6239"/>
          </w:cols>
          <w:pgMar w:left="240" w:top="584" w:right="1440" w:bottom="1440" w:gutter="0" w:footer="0" w:header="0"/>
          <w:type w:val="continuous"/>
        </w:sectPr>
      </w:pP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ind w:left="80"/>
              <w:spacing w:after="0"/>
              <w:rPr>
                <w:sz w:val="20"/>
                <w:szCs w:val="20"/>
                <w:color w:val="auto"/>
              </w:rPr>
            </w:pPr>
            <w:r>
              <w:rPr>
                <w:rFonts w:ascii="Arial" w:cs="Arial" w:eastAsia="Arial" w:hAnsi="Arial"/>
                <w:sz w:val="18"/>
                <w:szCs w:val="18"/>
                <w:color w:val="auto"/>
              </w:rPr>
              <w:t>3.1</w:t>
            </w:r>
          </w:p>
        </w:tc>
        <w:tc>
          <w:tcPr>
            <w:tcW w:w="7460" w:type="dxa"/>
            <w:vAlign w:val="bottom"/>
          </w:tcPr>
          <w:p>
            <w:pPr>
              <w:ind w:left="300"/>
              <w:spacing w:after="0"/>
              <w:rPr>
                <w:sz w:val="20"/>
                <w:szCs w:val="20"/>
                <w:color w:val="auto"/>
              </w:rPr>
            </w:pPr>
            <w:r>
              <w:rPr>
                <w:rFonts w:ascii="Arial" w:cs="Arial" w:eastAsia="Arial" w:hAnsi="Arial"/>
                <w:sz w:val="18"/>
                <w:szCs w:val="18"/>
                <w:color w:val="auto"/>
                <w:w w:val="89"/>
              </w:rPr>
              <w:t>Amended and Restated Articles of Incorporation of Shenandoah Telecommunications Company filed</w:t>
            </w:r>
          </w:p>
        </w:tc>
      </w:tr>
      <w:tr>
        <w:trPr>
          <w:trHeight w:val="222"/>
        </w:trPr>
        <w:tc>
          <w:tcPr>
            <w:tcW w:w="680" w:type="dxa"/>
            <w:vAlign w:val="bottom"/>
          </w:tcPr>
          <w:p>
            <w:pPr>
              <w:spacing w:after="0"/>
              <w:rPr>
                <w:sz w:val="19"/>
                <w:szCs w:val="19"/>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rPr>
              <w:t>as Exhibit 4.2 to the Company’s Registration Statement on Form S-8 (No. 333-21733).</w:t>
            </w:r>
          </w:p>
        </w:tc>
      </w:tr>
      <w:tr>
        <w:trPr>
          <w:trHeight w:val="358"/>
        </w:trPr>
        <w:tc>
          <w:tcPr>
            <w:tcW w:w="680" w:type="dxa"/>
            <w:vAlign w:val="bottom"/>
          </w:tcPr>
          <w:p>
            <w:pPr>
              <w:ind w:left="80"/>
              <w:spacing w:after="0"/>
              <w:rPr>
                <w:sz w:val="20"/>
                <w:szCs w:val="20"/>
                <w:color w:val="auto"/>
              </w:rPr>
            </w:pPr>
            <w:r>
              <w:rPr>
                <w:rFonts w:ascii="Arial" w:cs="Arial" w:eastAsia="Arial" w:hAnsi="Arial"/>
                <w:sz w:val="18"/>
                <w:szCs w:val="18"/>
                <w:color w:val="auto"/>
              </w:rPr>
              <w:t>3.2</w:t>
            </w:r>
          </w:p>
        </w:tc>
        <w:tc>
          <w:tcPr>
            <w:tcW w:w="7460" w:type="dxa"/>
            <w:vAlign w:val="bottom"/>
          </w:tcPr>
          <w:p>
            <w:pPr>
              <w:ind w:left="300"/>
              <w:spacing w:after="0"/>
              <w:rPr>
                <w:sz w:val="20"/>
                <w:szCs w:val="20"/>
                <w:color w:val="auto"/>
              </w:rPr>
            </w:pPr>
            <w:r>
              <w:rPr>
                <w:rFonts w:ascii="Arial" w:cs="Arial" w:eastAsia="Arial" w:hAnsi="Arial"/>
                <w:sz w:val="18"/>
                <w:szCs w:val="18"/>
                <w:color w:val="auto"/>
                <w:w w:val="97"/>
              </w:rPr>
              <w:t>Shenandoah Telecommunications Company Bylaws, as amended, filed as Exhibit 3.2 to the</w:t>
            </w:r>
          </w:p>
        </w:tc>
      </w:tr>
      <w:tr>
        <w:trPr>
          <w:trHeight w:val="222"/>
        </w:trPr>
        <w:tc>
          <w:tcPr>
            <w:tcW w:w="680" w:type="dxa"/>
            <w:vAlign w:val="bottom"/>
          </w:tcPr>
          <w:p>
            <w:pPr>
              <w:spacing w:after="0"/>
              <w:rPr>
                <w:sz w:val="19"/>
                <w:szCs w:val="19"/>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rPr>
              <w:t>Company’s Report on Form 10-K for the year ended December 31, 2003.</w:t>
            </w:r>
          </w:p>
        </w:tc>
      </w:tr>
      <w:tr>
        <w:trPr>
          <w:trHeight w:val="358"/>
        </w:trPr>
        <w:tc>
          <w:tcPr>
            <w:tcW w:w="680" w:type="dxa"/>
            <w:vAlign w:val="bottom"/>
          </w:tcPr>
          <w:p>
            <w:pPr>
              <w:ind w:left="80"/>
              <w:spacing w:after="0"/>
              <w:rPr>
                <w:sz w:val="20"/>
                <w:szCs w:val="20"/>
                <w:color w:val="auto"/>
              </w:rPr>
            </w:pPr>
            <w:r>
              <w:rPr>
                <w:rFonts w:ascii="Arial" w:cs="Arial" w:eastAsia="Arial" w:hAnsi="Arial"/>
                <w:sz w:val="18"/>
                <w:szCs w:val="18"/>
                <w:color w:val="auto"/>
              </w:rPr>
              <w:t>4.1</w:t>
            </w:r>
          </w:p>
        </w:tc>
        <w:tc>
          <w:tcPr>
            <w:tcW w:w="7460" w:type="dxa"/>
            <w:vAlign w:val="bottom"/>
          </w:tcPr>
          <w:p>
            <w:pPr>
              <w:ind w:left="300"/>
              <w:spacing w:after="0"/>
              <w:rPr>
                <w:sz w:val="20"/>
                <w:szCs w:val="20"/>
                <w:color w:val="auto"/>
              </w:rPr>
            </w:pPr>
            <w:r>
              <w:rPr>
                <w:rFonts w:ascii="Arial" w:cs="Arial" w:eastAsia="Arial" w:hAnsi="Arial"/>
                <w:sz w:val="18"/>
                <w:szCs w:val="18"/>
                <w:color w:val="auto"/>
                <w:w w:val="91"/>
              </w:rPr>
              <w:t>Rights Agreement, dated as of February 8, 1998 between the Company and Crestar Bank filed as</w:t>
            </w:r>
          </w:p>
        </w:tc>
      </w:tr>
      <w:tr>
        <w:trPr>
          <w:trHeight w:val="222"/>
        </w:trPr>
        <w:tc>
          <w:tcPr>
            <w:tcW w:w="680" w:type="dxa"/>
            <w:vAlign w:val="bottom"/>
          </w:tcPr>
          <w:p>
            <w:pPr>
              <w:spacing w:after="0"/>
              <w:rPr>
                <w:sz w:val="19"/>
                <w:szCs w:val="19"/>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rPr>
              <w:t>Exhibit 1 to the Company’s Current Report on Form 8-K, dated February 9, 1998).</w:t>
            </w:r>
          </w:p>
        </w:tc>
      </w:tr>
      <w:tr>
        <w:trPr>
          <w:trHeight w:val="358"/>
        </w:trPr>
        <w:tc>
          <w:tcPr>
            <w:tcW w:w="680" w:type="dxa"/>
            <w:vAlign w:val="bottom"/>
          </w:tcPr>
          <w:p>
            <w:pPr>
              <w:ind w:left="80"/>
              <w:spacing w:after="0"/>
              <w:rPr>
                <w:sz w:val="20"/>
                <w:szCs w:val="20"/>
                <w:color w:val="auto"/>
              </w:rPr>
            </w:pPr>
            <w:r>
              <w:rPr>
                <w:rFonts w:ascii="Arial" w:cs="Arial" w:eastAsia="Arial" w:hAnsi="Arial"/>
                <w:sz w:val="18"/>
                <w:szCs w:val="18"/>
                <w:color w:val="auto"/>
              </w:rPr>
              <w:t>4.2</w:t>
            </w:r>
          </w:p>
        </w:tc>
        <w:tc>
          <w:tcPr>
            <w:tcW w:w="7460" w:type="dxa"/>
            <w:vAlign w:val="bottom"/>
          </w:tcPr>
          <w:p>
            <w:pPr>
              <w:ind w:left="300"/>
              <w:spacing w:after="0"/>
              <w:rPr>
                <w:sz w:val="20"/>
                <w:szCs w:val="20"/>
                <w:color w:val="auto"/>
              </w:rPr>
            </w:pPr>
            <w:r>
              <w:rPr>
                <w:rFonts w:ascii="Arial" w:cs="Arial" w:eastAsia="Arial" w:hAnsi="Arial"/>
                <w:sz w:val="18"/>
                <w:szCs w:val="18"/>
                <w:color w:val="auto"/>
                <w:w w:val="90"/>
              </w:rPr>
              <w:t>Shenandoah Telecommunications Company Dividend Reinvestment Plan filed as Exhibit 4.1 to the</w:t>
            </w:r>
          </w:p>
        </w:tc>
      </w:tr>
      <w:tr>
        <w:trPr>
          <w:trHeight w:val="216"/>
        </w:trPr>
        <w:tc>
          <w:tcPr>
            <w:tcW w:w="680" w:type="dxa"/>
            <w:vAlign w:val="bottom"/>
          </w:tcPr>
          <w:p>
            <w:pPr>
              <w:spacing w:after="0"/>
              <w:rPr>
                <w:sz w:val="18"/>
                <w:szCs w:val="18"/>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w w:val="96"/>
              </w:rPr>
              <w:t>Company’s Registration Statement on Form S-3 (No. 333-74297) and incorporated herein by</w:t>
            </w:r>
          </w:p>
        </w:tc>
      </w:tr>
      <w:tr>
        <w:trPr>
          <w:trHeight w:val="222"/>
        </w:trPr>
        <w:tc>
          <w:tcPr>
            <w:tcW w:w="680" w:type="dxa"/>
            <w:vAlign w:val="bottom"/>
          </w:tcPr>
          <w:p>
            <w:pPr>
              <w:spacing w:after="0"/>
              <w:rPr>
                <w:sz w:val="19"/>
                <w:szCs w:val="19"/>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rPr>
              <w:t>reference.</w:t>
            </w:r>
          </w:p>
        </w:tc>
      </w:tr>
      <w:tr>
        <w:trPr>
          <w:trHeight w:val="358"/>
        </w:trPr>
        <w:tc>
          <w:tcPr>
            <w:tcW w:w="680" w:type="dxa"/>
            <w:vAlign w:val="bottom"/>
          </w:tcPr>
          <w:p>
            <w:pPr>
              <w:ind w:left="80"/>
              <w:spacing w:after="0"/>
              <w:rPr>
                <w:sz w:val="20"/>
                <w:szCs w:val="20"/>
                <w:color w:val="auto"/>
              </w:rPr>
            </w:pPr>
            <w:r>
              <w:rPr>
                <w:rFonts w:ascii="Arial" w:cs="Arial" w:eastAsia="Arial" w:hAnsi="Arial"/>
                <w:sz w:val="18"/>
                <w:szCs w:val="18"/>
                <w:color w:val="auto"/>
              </w:rPr>
              <w:t>4.3</w:t>
            </w:r>
          </w:p>
        </w:tc>
        <w:tc>
          <w:tcPr>
            <w:tcW w:w="7460" w:type="dxa"/>
            <w:vAlign w:val="bottom"/>
          </w:tcPr>
          <w:p>
            <w:pPr>
              <w:ind w:left="300"/>
              <w:spacing w:after="0"/>
              <w:rPr>
                <w:sz w:val="20"/>
                <w:szCs w:val="20"/>
                <w:color w:val="auto"/>
              </w:rPr>
            </w:pPr>
            <w:r>
              <w:rPr>
                <w:rFonts w:ascii="Arial" w:cs="Arial" w:eastAsia="Arial" w:hAnsi="Arial"/>
                <w:sz w:val="18"/>
                <w:szCs w:val="18"/>
                <w:color w:val="auto"/>
                <w:w w:val="94"/>
              </w:rPr>
              <w:t>Specimen representing the Common Stock, no par value, of Shenandoah Telecommunications</w:t>
            </w:r>
          </w:p>
        </w:tc>
      </w:tr>
      <w:tr>
        <w:trPr>
          <w:trHeight w:val="216"/>
        </w:trPr>
        <w:tc>
          <w:tcPr>
            <w:tcW w:w="680" w:type="dxa"/>
            <w:vAlign w:val="bottom"/>
          </w:tcPr>
          <w:p>
            <w:pPr>
              <w:spacing w:after="0"/>
              <w:rPr>
                <w:sz w:val="18"/>
                <w:szCs w:val="18"/>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w w:val="90"/>
              </w:rPr>
              <w:t>Company filed as Exhibit 4.3 to the Company’s Report on Form 10-K for the year ended December</w:t>
            </w:r>
          </w:p>
        </w:tc>
      </w:tr>
      <w:tr>
        <w:trPr>
          <w:trHeight w:val="222"/>
        </w:trPr>
        <w:tc>
          <w:tcPr>
            <w:tcW w:w="680" w:type="dxa"/>
            <w:vAlign w:val="bottom"/>
          </w:tcPr>
          <w:p>
            <w:pPr>
              <w:spacing w:after="0"/>
              <w:rPr>
                <w:sz w:val="19"/>
                <w:szCs w:val="19"/>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rPr>
              <w:t>31, 2004.</w:t>
            </w:r>
          </w:p>
        </w:tc>
      </w:tr>
      <w:tr>
        <w:trPr>
          <w:trHeight w:val="358"/>
        </w:trPr>
        <w:tc>
          <w:tcPr>
            <w:tcW w:w="680" w:type="dxa"/>
            <w:vAlign w:val="bottom"/>
          </w:tcPr>
          <w:p>
            <w:pPr>
              <w:ind w:left="80"/>
              <w:spacing w:after="0"/>
              <w:rPr>
                <w:sz w:val="20"/>
                <w:szCs w:val="20"/>
                <w:color w:val="auto"/>
              </w:rPr>
            </w:pPr>
            <w:r>
              <w:rPr>
                <w:rFonts w:ascii="Arial" w:cs="Arial" w:eastAsia="Arial" w:hAnsi="Arial"/>
                <w:sz w:val="18"/>
                <w:szCs w:val="18"/>
                <w:color w:val="auto"/>
              </w:rPr>
              <w:t>10.1</w:t>
            </w:r>
          </w:p>
        </w:tc>
        <w:tc>
          <w:tcPr>
            <w:tcW w:w="7460" w:type="dxa"/>
            <w:vAlign w:val="bottom"/>
          </w:tcPr>
          <w:p>
            <w:pPr>
              <w:ind w:left="300"/>
              <w:spacing w:after="0"/>
              <w:rPr>
                <w:sz w:val="20"/>
                <w:szCs w:val="20"/>
                <w:color w:val="auto"/>
              </w:rPr>
            </w:pPr>
            <w:r>
              <w:rPr>
                <w:rFonts w:ascii="Arial" w:cs="Arial" w:eastAsia="Arial" w:hAnsi="Arial"/>
                <w:sz w:val="18"/>
                <w:szCs w:val="18"/>
                <w:color w:val="auto"/>
                <w:w w:val="98"/>
              </w:rPr>
              <w:t>Shenandoah Telecommunications Company Stock Incentive Plan filed as Exhibit 4.1 to the</w:t>
            </w:r>
          </w:p>
        </w:tc>
      </w:tr>
      <w:tr>
        <w:trPr>
          <w:trHeight w:val="216"/>
        </w:trPr>
        <w:tc>
          <w:tcPr>
            <w:tcW w:w="680" w:type="dxa"/>
            <w:vAlign w:val="bottom"/>
          </w:tcPr>
          <w:p>
            <w:pPr>
              <w:spacing w:after="0"/>
              <w:rPr>
                <w:sz w:val="18"/>
                <w:szCs w:val="18"/>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w w:val="96"/>
              </w:rPr>
              <w:t>Company’s Registration Statement on Form S-8 (No. 333-21733) and incorporated herein by</w:t>
            </w:r>
          </w:p>
        </w:tc>
      </w:tr>
      <w:tr>
        <w:trPr>
          <w:trHeight w:val="222"/>
        </w:trPr>
        <w:tc>
          <w:tcPr>
            <w:tcW w:w="680" w:type="dxa"/>
            <w:vAlign w:val="bottom"/>
          </w:tcPr>
          <w:p>
            <w:pPr>
              <w:spacing w:after="0"/>
              <w:rPr>
                <w:sz w:val="19"/>
                <w:szCs w:val="19"/>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rPr>
              <w:t>reference.</w:t>
            </w:r>
          </w:p>
        </w:tc>
      </w:tr>
      <w:tr>
        <w:trPr>
          <w:trHeight w:val="358"/>
        </w:trPr>
        <w:tc>
          <w:tcPr>
            <w:tcW w:w="680" w:type="dxa"/>
            <w:vAlign w:val="bottom"/>
          </w:tcPr>
          <w:p>
            <w:pPr>
              <w:ind w:left="80"/>
              <w:spacing w:after="0"/>
              <w:rPr>
                <w:sz w:val="20"/>
                <w:szCs w:val="20"/>
                <w:color w:val="auto"/>
              </w:rPr>
            </w:pPr>
            <w:r>
              <w:rPr>
                <w:rFonts w:ascii="Arial" w:cs="Arial" w:eastAsia="Arial" w:hAnsi="Arial"/>
                <w:sz w:val="18"/>
                <w:szCs w:val="18"/>
                <w:color w:val="auto"/>
              </w:rPr>
              <w:t>10.2</w:t>
            </w:r>
          </w:p>
        </w:tc>
        <w:tc>
          <w:tcPr>
            <w:tcW w:w="7460" w:type="dxa"/>
            <w:vAlign w:val="bottom"/>
          </w:tcPr>
          <w:p>
            <w:pPr>
              <w:ind w:left="300"/>
              <w:spacing w:after="0"/>
              <w:rPr>
                <w:sz w:val="20"/>
                <w:szCs w:val="20"/>
                <w:color w:val="auto"/>
              </w:rPr>
            </w:pPr>
            <w:r>
              <w:rPr>
                <w:rFonts w:ascii="Arial" w:cs="Arial" w:eastAsia="Arial" w:hAnsi="Arial"/>
                <w:sz w:val="18"/>
                <w:szCs w:val="18"/>
                <w:color w:val="auto"/>
                <w:w w:val="90"/>
              </w:rPr>
              <w:t>Shenandoah Telecommunications Company Dividend Reinvestment Plan filed as Exhibit 4.4 to the</w:t>
            </w:r>
          </w:p>
        </w:tc>
      </w:tr>
      <w:tr>
        <w:trPr>
          <w:trHeight w:val="216"/>
        </w:trPr>
        <w:tc>
          <w:tcPr>
            <w:tcW w:w="680" w:type="dxa"/>
            <w:vAlign w:val="bottom"/>
          </w:tcPr>
          <w:p>
            <w:pPr>
              <w:spacing w:after="0"/>
              <w:rPr>
                <w:sz w:val="18"/>
                <w:szCs w:val="18"/>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w w:val="95"/>
              </w:rPr>
              <w:t>Company’s Registration Statement on Form S-3D (No. 333-74297) and incorporated herein by</w:t>
            </w:r>
          </w:p>
        </w:tc>
      </w:tr>
      <w:tr>
        <w:trPr>
          <w:trHeight w:val="222"/>
        </w:trPr>
        <w:tc>
          <w:tcPr>
            <w:tcW w:w="680" w:type="dxa"/>
            <w:vAlign w:val="bottom"/>
          </w:tcPr>
          <w:p>
            <w:pPr>
              <w:spacing w:after="0"/>
              <w:rPr>
                <w:sz w:val="19"/>
                <w:szCs w:val="19"/>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rPr>
              <w:t>reference.</w:t>
            </w:r>
          </w:p>
        </w:tc>
      </w:tr>
      <w:tr>
        <w:trPr>
          <w:trHeight w:val="358"/>
        </w:trPr>
        <w:tc>
          <w:tcPr>
            <w:tcW w:w="680" w:type="dxa"/>
            <w:vAlign w:val="bottom"/>
          </w:tcPr>
          <w:p>
            <w:pPr>
              <w:ind w:left="80"/>
              <w:spacing w:after="0"/>
              <w:rPr>
                <w:sz w:val="20"/>
                <w:szCs w:val="20"/>
                <w:color w:val="auto"/>
              </w:rPr>
            </w:pPr>
            <w:r>
              <w:rPr>
                <w:rFonts w:ascii="Arial" w:cs="Arial" w:eastAsia="Arial" w:hAnsi="Arial"/>
                <w:sz w:val="18"/>
                <w:szCs w:val="18"/>
                <w:color w:val="auto"/>
              </w:rPr>
              <w:t>10.3</w:t>
            </w:r>
          </w:p>
        </w:tc>
        <w:tc>
          <w:tcPr>
            <w:tcW w:w="7460" w:type="dxa"/>
            <w:vAlign w:val="bottom"/>
          </w:tcPr>
          <w:p>
            <w:pPr>
              <w:ind w:left="300"/>
              <w:spacing w:after="0"/>
              <w:rPr>
                <w:sz w:val="20"/>
                <w:szCs w:val="20"/>
                <w:color w:val="auto"/>
              </w:rPr>
            </w:pPr>
            <w:r>
              <w:rPr>
                <w:rFonts w:ascii="Arial" w:cs="Arial" w:eastAsia="Arial" w:hAnsi="Arial"/>
                <w:sz w:val="18"/>
                <w:szCs w:val="18"/>
                <w:color w:val="auto"/>
                <w:w w:val="94"/>
              </w:rPr>
              <w:t>Settlement Agreement and Mutual Release dated as of January 30, 2004 by and among Sprint</w:t>
            </w:r>
          </w:p>
        </w:tc>
      </w:tr>
      <w:tr>
        <w:trPr>
          <w:trHeight w:val="216"/>
        </w:trPr>
        <w:tc>
          <w:tcPr>
            <w:tcW w:w="680" w:type="dxa"/>
            <w:vAlign w:val="bottom"/>
          </w:tcPr>
          <w:p>
            <w:pPr>
              <w:spacing w:after="0"/>
              <w:rPr>
                <w:sz w:val="18"/>
                <w:szCs w:val="18"/>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w w:val="90"/>
              </w:rPr>
              <w:t>Spectrum L.P., Sprint Communications Company L.P., WirelessCo, L.P., APC PCS, LLC, PhillieCo,</w:t>
            </w:r>
          </w:p>
        </w:tc>
      </w:tr>
      <w:tr>
        <w:trPr>
          <w:trHeight w:val="216"/>
        </w:trPr>
        <w:tc>
          <w:tcPr>
            <w:tcW w:w="680" w:type="dxa"/>
            <w:vAlign w:val="bottom"/>
          </w:tcPr>
          <w:p>
            <w:pPr>
              <w:spacing w:after="0"/>
              <w:rPr>
                <w:sz w:val="18"/>
                <w:szCs w:val="18"/>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w w:val="91"/>
              </w:rPr>
              <w:t>L.P. and Shenandoah Personal Communications Company and Shenandoah Telecommunications</w:t>
            </w:r>
          </w:p>
        </w:tc>
      </w:tr>
      <w:tr>
        <w:trPr>
          <w:trHeight w:val="216"/>
        </w:trPr>
        <w:tc>
          <w:tcPr>
            <w:tcW w:w="680" w:type="dxa"/>
            <w:vAlign w:val="bottom"/>
          </w:tcPr>
          <w:p>
            <w:pPr>
              <w:spacing w:after="0"/>
              <w:rPr>
                <w:sz w:val="18"/>
                <w:szCs w:val="18"/>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w w:val="90"/>
              </w:rPr>
              <w:t>Company, dated January 30, 2004; filed as Exhibit 10.3 to the Company’s Report on Form 10-K for</w:t>
            </w:r>
          </w:p>
        </w:tc>
      </w:tr>
      <w:tr>
        <w:trPr>
          <w:trHeight w:val="222"/>
        </w:trPr>
        <w:tc>
          <w:tcPr>
            <w:tcW w:w="680" w:type="dxa"/>
            <w:vAlign w:val="bottom"/>
          </w:tcPr>
          <w:p>
            <w:pPr>
              <w:spacing w:after="0"/>
              <w:rPr>
                <w:sz w:val="19"/>
                <w:szCs w:val="19"/>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rPr>
              <w:t>the year ended December 31, 2003.</w:t>
            </w:r>
          </w:p>
        </w:tc>
      </w:tr>
      <w:tr>
        <w:trPr>
          <w:trHeight w:val="358"/>
        </w:trPr>
        <w:tc>
          <w:tcPr>
            <w:tcW w:w="680" w:type="dxa"/>
            <w:vAlign w:val="bottom"/>
          </w:tcPr>
          <w:p>
            <w:pPr>
              <w:ind w:left="80"/>
              <w:spacing w:after="0"/>
              <w:rPr>
                <w:sz w:val="20"/>
                <w:szCs w:val="20"/>
                <w:color w:val="auto"/>
              </w:rPr>
            </w:pPr>
            <w:r>
              <w:rPr>
                <w:rFonts w:ascii="Arial" w:cs="Arial" w:eastAsia="Arial" w:hAnsi="Arial"/>
                <w:sz w:val="18"/>
                <w:szCs w:val="18"/>
                <w:color w:val="auto"/>
              </w:rPr>
              <w:t>10.4</w:t>
            </w:r>
          </w:p>
        </w:tc>
        <w:tc>
          <w:tcPr>
            <w:tcW w:w="7460" w:type="dxa"/>
            <w:vAlign w:val="bottom"/>
          </w:tcPr>
          <w:p>
            <w:pPr>
              <w:ind w:left="300"/>
              <w:spacing w:after="0"/>
              <w:rPr>
                <w:sz w:val="20"/>
                <w:szCs w:val="20"/>
                <w:color w:val="auto"/>
              </w:rPr>
            </w:pPr>
            <w:r>
              <w:rPr>
                <w:rFonts w:ascii="Arial" w:cs="Arial" w:eastAsia="Arial" w:hAnsi="Arial"/>
                <w:sz w:val="18"/>
                <w:szCs w:val="18"/>
                <w:color w:val="auto"/>
                <w:w w:val="90"/>
              </w:rPr>
              <w:t>Sprint PCS Management Agreement dated as of November 5, 1999 by and among Sprint Spectrum</w:t>
            </w:r>
          </w:p>
        </w:tc>
      </w:tr>
      <w:tr>
        <w:trPr>
          <w:trHeight w:val="216"/>
        </w:trPr>
        <w:tc>
          <w:tcPr>
            <w:tcW w:w="680" w:type="dxa"/>
            <w:vAlign w:val="bottom"/>
          </w:tcPr>
          <w:p>
            <w:pPr>
              <w:spacing w:after="0"/>
              <w:rPr>
                <w:sz w:val="18"/>
                <w:szCs w:val="18"/>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w w:val="89"/>
              </w:rPr>
              <w:t>L.P., WirelessCo, L.P., APC PCS, LLC, PhillieCo, L.P., and Shenandoah Personal Communications</w:t>
            </w:r>
          </w:p>
        </w:tc>
      </w:tr>
      <w:tr>
        <w:trPr>
          <w:trHeight w:val="216"/>
        </w:trPr>
        <w:tc>
          <w:tcPr>
            <w:tcW w:w="680" w:type="dxa"/>
            <w:vAlign w:val="bottom"/>
          </w:tcPr>
          <w:p>
            <w:pPr>
              <w:spacing w:after="0"/>
              <w:rPr>
                <w:sz w:val="18"/>
                <w:szCs w:val="18"/>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w w:val="89"/>
              </w:rPr>
              <w:t>Company filed as Exhibit 10.4 to the Company’s Report on Form 10-K for the year ended December</w:t>
            </w:r>
          </w:p>
        </w:tc>
      </w:tr>
      <w:tr>
        <w:trPr>
          <w:trHeight w:val="222"/>
        </w:trPr>
        <w:tc>
          <w:tcPr>
            <w:tcW w:w="680" w:type="dxa"/>
            <w:vAlign w:val="bottom"/>
          </w:tcPr>
          <w:p>
            <w:pPr>
              <w:spacing w:after="0"/>
              <w:rPr>
                <w:sz w:val="19"/>
                <w:szCs w:val="19"/>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rPr>
              <w:t>31, 2003.</w:t>
            </w:r>
          </w:p>
        </w:tc>
      </w:tr>
      <w:tr>
        <w:trPr>
          <w:trHeight w:val="358"/>
        </w:trPr>
        <w:tc>
          <w:tcPr>
            <w:tcW w:w="680" w:type="dxa"/>
            <w:vAlign w:val="bottom"/>
          </w:tcPr>
          <w:p>
            <w:pPr>
              <w:ind w:left="80"/>
              <w:spacing w:after="0"/>
              <w:rPr>
                <w:sz w:val="20"/>
                <w:szCs w:val="20"/>
                <w:color w:val="auto"/>
              </w:rPr>
            </w:pPr>
            <w:r>
              <w:rPr>
                <w:rFonts w:ascii="Arial" w:cs="Arial" w:eastAsia="Arial" w:hAnsi="Arial"/>
                <w:sz w:val="18"/>
                <w:szCs w:val="18"/>
                <w:color w:val="auto"/>
              </w:rPr>
              <w:t>10.5</w:t>
            </w:r>
          </w:p>
        </w:tc>
        <w:tc>
          <w:tcPr>
            <w:tcW w:w="7460" w:type="dxa"/>
            <w:vAlign w:val="bottom"/>
          </w:tcPr>
          <w:p>
            <w:pPr>
              <w:ind w:left="300"/>
              <w:spacing w:after="0"/>
              <w:rPr>
                <w:sz w:val="20"/>
                <w:szCs w:val="20"/>
                <w:color w:val="auto"/>
              </w:rPr>
            </w:pPr>
            <w:r>
              <w:rPr>
                <w:rFonts w:ascii="Arial" w:cs="Arial" w:eastAsia="Arial" w:hAnsi="Arial"/>
                <w:sz w:val="18"/>
                <w:szCs w:val="18"/>
                <w:color w:val="auto"/>
                <w:w w:val="88"/>
              </w:rPr>
              <w:t>Sprint PCS Services Agreement dated as of November 5, 1999 by and between Sprint Spectrum L.P.</w:t>
            </w:r>
          </w:p>
        </w:tc>
      </w:tr>
      <w:tr>
        <w:trPr>
          <w:trHeight w:val="216"/>
        </w:trPr>
        <w:tc>
          <w:tcPr>
            <w:tcW w:w="680" w:type="dxa"/>
            <w:vAlign w:val="bottom"/>
          </w:tcPr>
          <w:p>
            <w:pPr>
              <w:spacing w:after="0"/>
              <w:rPr>
                <w:sz w:val="18"/>
                <w:szCs w:val="18"/>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w w:val="89"/>
              </w:rPr>
              <w:t>and Shenandoah Personal Communications Company filed as Exhibit 10.5 to the Company’s Report</w:t>
            </w:r>
          </w:p>
        </w:tc>
      </w:tr>
      <w:tr>
        <w:trPr>
          <w:trHeight w:val="222"/>
        </w:trPr>
        <w:tc>
          <w:tcPr>
            <w:tcW w:w="680" w:type="dxa"/>
            <w:vAlign w:val="bottom"/>
          </w:tcPr>
          <w:p>
            <w:pPr>
              <w:spacing w:after="0"/>
              <w:rPr>
                <w:sz w:val="19"/>
                <w:szCs w:val="19"/>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rPr>
              <w:t>on Form 10-K for the year ended December 31, 2003.</w:t>
            </w:r>
          </w:p>
        </w:tc>
      </w:tr>
      <w:tr>
        <w:trPr>
          <w:trHeight w:val="358"/>
        </w:trPr>
        <w:tc>
          <w:tcPr>
            <w:tcW w:w="680" w:type="dxa"/>
            <w:vAlign w:val="bottom"/>
          </w:tcPr>
          <w:p>
            <w:pPr>
              <w:ind w:left="80"/>
              <w:spacing w:after="0"/>
              <w:rPr>
                <w:sz w:val="20"/>
                <w:szCs w:val="20"/>
                <w:color w:val="auto"/>
              </w:rPr>
            </w:pPr>
            <w:r>
              <w:rPr>
                <w:rFonts w:ascii="Arial" w:cs="Arial" w:eastAsia="Arial" w:hAnsi="Arial"/>
                <w:sz w:val="18"/>
                <w:szCs w:val="18"/>
                <w:color w:val="auto"/>
              </w:rPr>
              <w:t>10.6</w:t>
            </w:r>
          </w:p>
        </w:tc>
        <w:tc>
          <w:tcPr>
            <w:tcW w:w="7460" w:type="dxa"/>
            <w:vAlign w:val="bottom"/>
          </w:tcPr>
          <w:p>
            <w:pPr>
              <w:ind w:left="300"/>
              <w:spacing w:after="0"/>
              <w:rPr>
                <w:sz w:val="20"/>
                <w:szCs w:val="20"/>
                <w:color w:val="auto"/>
              </w:rPr>
            </w:pPr>
            <w:r>
              <w:rPr>
                <w:rFonts w:ascii="Arial" w:cs="Arial" w:eastAsia="Arial" w:hAnsi="Arial"/>
                <w:sz w:val="18"/>
                <w:szCs w:val="18"/>
                <w:color w:val="auto"/>
                <w:w w:val="95"/>
              </w:rPr>
              <w:t>Sprint Trademark and Service Mark License Agreement dated as of November 5, 1999 by and</w:t>
            </w:r>
          </w:p>
        </w:tc>
      </w:tr>
      <w:tr>
        <w:trPr>
          <w:trHeight w:val="216"/>
        </w:trPr>
        <w:tc>
          <w:tcPr>
            <w:tcW w:w="680" w:type="dxa"/>
            <w:vAlign w:val="bottom"/>
          </w:tcPr>
          <w:p>
            <w:pPr>
              <w:spacing w:after="0"/>
              <w:rPr>
                <w:sz w:val="18"/>
                <w:szCs w:val="18"/>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w w:val="96"/>
              </w:rPr>
              <w:t>between Sprint Communications Company, L.P. and Shenandoah Personal Communications</w:t>
            </w:r>
          </w:p>
        </w:tc>
      </w:tr>
      <w:tr>
        <w:trPr>
          <w:trHeight w:val="216"/>
        </w:trPr>
        <w:tc>
          <w:tcPr>
            <w:tcW w:w="680" w:type="dxa"/>
            <w:vAlign w:val="bottom"/>
          </w:tcPr>
          <w:p>
            <w:pPr>
              <w:spacing w:after="0"/>
              <w:rPr>
                <w:sz w:val="18"/>
                <w:szCs w:val="18"/>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w w:val="89"/>
              </w:rPr>
              <w:t>Company filed as Exhibit 10.6 to the Company’s Report on Form 10-K for the year ended December</w:t>
            </w:r>
          </w:p>
        </w:tc>
      </w:tr>
      <w:tr>
        <w:trPr>
          <w:trHeight w:val="222"/>
        </w:trPr>
        <w:tc>
          <w:tcPr>
            <w:tcW w:w="680" w:type="dxa"/>
            <w:vAlign w:val="bottom"/>
          </w:tcPr>
          <w:p>
            <w:pPr>
              <w:spacing w:after="0"/>
              <w:rPr>
                <w:sz w:val="19"/>
                <w:szCs w:val="19"/>
                <w:color w:val="auto"/>
              </w:rPr>
            </w:pPr>
          </w:p>
        </w:tc>
        <w:tc>
          <w:tcPr>
            <w:tcW w:w="7460" w:type="dxa"/>
            <w:vAlign w:val="bottom"/>
          </w:tcPr>
          <w:p>
            <w:pPr>
              <w:ind w:left="300"/>
              <w:spacing w:after="0"/>
              <w:rPr>
                <w:sz w:val="20"/>
                <w:szCs w:val="20"/>
                <w:color w:val="auto"/>
              </w:rPr>
            </w:pPr>
            <w:r>
              <w:rPr>
                <w:rFonts w:ascii="Arial" w:cs="Arial" w:eastAsia="Arial" w:hAnsi="Arial"/>
                <w:sz w:val="18"/>
                <w:szCs w:val="18"/>
                <w:color w:val="auto"/>
              </w:rPr>
              <w:t>31, 2003.</w:t>
            </w:r>
          </w:p>
        </w:tc>
      </w:tr>
      <w:tr>
        <w:trPr>
          <w:trHeight w:val="215"/>
        </w:trPr>
        <w:tc>
          <w:tcPr>
            <w:tcW w:w="680" w:type="dxa"/>
            <w:vAlign w:val="bottom"/>
          </w:tcPr>
          <w:p>
            <w:pPr>
              <w:spacing w:after="0"/>
              <w:rPr>
                <w:sz w:val="18"/>
                <w:szCs w:val="18"/>
                <w:color w:val="auto"/>
              </w:rPr>
            </w:pPr>
          </w:p>
        </w:tc>
        <w:tc>
          <w:tcPr>
            <w:tcW w:w="7460" w:type="dxa"/>
            <w:vAlign w:val="bottom"/>
          </w:tcPr>
          <w:p>
            <w:pPr>
              <w:spacing w:after="0"/>
              <w:rPr>
                <w:sz w:val="18"/>
                <w:szCs w:val="18"/>
                <w:color w:val="auto"/>
              </w:rPr>
            </w:pPr>
          </w:p>
        </w:tc>
      </w:tr>
      <w:tr>
        <w:trPr>
          <w:trHeight w:val="74"/>
        </w:trPr>
        <w:tc>
          <w:tcPr>
            <w:tcW w:w="680" w:type="dxa"/>
            <w:vAlign w:val="bottom"/>
            <w:shd w:val="clear" w:color="auto" w:fill="808080"/>
          </w:tcPr>
          <w:p>
            <w:pPr>
              <w:spacing w:after="0"/>
              <w:rPr>
                <w:sz w:val="6"/>
                <w:szCs w:val="6"/>
                <w:color w:val="auto"/>
              </w:rPr>
            </w:pPr>
          </w:p>
        </w:tc>
        <w:tc>
          <w:tcPr>
            <w:tcW w:w="7460" w:type="dxa"/>
            <w:vAlign w:val="bottom"/>
            <w:shd w:val="clear" w:color="auto" w:fill="808080"/>
          </w:tcPr>
          <w:p>
            <w:pPr>
              <w:spacing w:after="0"/>
              <w:rPr>
                <w:sz w:val="6"/>
                <w:szCs w:val="6"/>
                <w:color w:val="auto"/>
              </w:rPr>
            </w:pPr>
          </w:p>
        </w:tc>
      </w:tr>
    </w:tbl>
    <w:p>
      <w:pPr>
        <w:sectPr>
          <w:pgSz w:w="11900" w:h="16838" w:orient="portrait"/>
          <w:cols w:equalWidth="0" w:num="1">
            <w:col w:w="10219"/>
          </w:cols>
          <w:pgMar w:left="240" w:top="584" w:right="1440" w:bottom="1440" w:gutter="0" w:footer="0" w:header="0"/>
          <w:type w:val="continuous"/>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ind w:left="80"/>
              <w:spacing w:after="0"/>
              <w:rPr>
                <w:sz w:val="20"/>
                <w:szCs w:val="20"/>
                <w:color w:val="auto"/>
              </w:rPr>
            </w:pPr>
            <w:r>
              <w:rPr>
                <w:rFonts w:ascii="Arial" w:cs="Arial" w:eastAsia="Arial" w:hAnsi="Arial"/>
                <w:sz w:val="18"/>
                <w:szCs w:val="18"/>
                <w:color w:val="auto"/>
              </w:rPr>
              <w:t>10.7</w:t>
            </w:r>
          </w:p>
        </w:tc>
        <w:tc>
          <w:tcPr>
            <w:tcW w:w="7400" w:type="dxa"/>
            <w:vAlign w:val="bottom"/>
          </w:tcPr>
          <w:p>
            <w:pPr>
              <w:ind w:left="240"/>
              <w:spacing w:after="0"/>
              <w:rPr>
                <w:sz w:val="20"/>
                <w:szCs w:val="20"/>
                <w:color w:val="auto"/>
              </w:rPr>
            </w:pPr>
            <w:r>
              <w:rPr>
                <w:rFonts w:ascii="Arial" w:cs="Arial" w:eastAsia="Arial" w:hAnsi="Arial"/>
                <w:sz w:val="18"/>
                <w:szCs w:val="18"/>
                <w:color w:val="auto"/>
                <w:w w:val="89"/>
              </w:rPr>
              <w:t>Sprint Spectrum Trademark and Service Mark License Agreement dated as of November 5, 1999 by</w:t>
            </w:r>
          </w:p>
        </w:tc>
      </w:tr>
      <w:tr>
        <w:trPr>
          <w:trHeight w:val="216"/>
        </w:trPr>
        <w:tc>
          <w:tcPr>
            <w:tcW w:w="740" w:type="dxa"/>
            <w:vAlign w:val="bottom"/>
          </w:tcPr>
          <w:p>
            <w:pPr>
              <w:spacing w:after="0"/>
              <w:rPr>
                <w:sz w:val="18"/>
                <w:szCs w:val="18"/>
                <w:color w:val="auto"/>
              </w:rPr>
            </w:pPr>
          </w:p>
        </w:tc>
        <w:tc>
          <w:tcPr>
            <w:tcW w:w="7400" w:type="dxa"/>
            <w:vAlign w:val="bottom"/>
          </w:tcPr>
          <w:p>
            <w:pPr>
              <w:ind w:left="240"/>
              <w:spacing w:after="0"/>
              <w:rPr>
                <w:sz w:val="20"/>
                <w:szCs w:val="20"/>
                <w:color w:val="auto"/>
              </w:rPr>
            </w:pPr>
            <w:r>
              <w:rPr>
                <w:rFonts w:ascii="Arial" w:cs="Arial" w:eastAsia="Arial" w:hAnsi="Arial"/>
                <w:sz w:val="18"/>
                <w:szCs w:val="18"/>
                <w:color w:val="auto"/>
                <w:w w:val="92"/>
              </w:rPr>
              <w:t>and between Sprint Spectrum L.P. and Shenandoah Personal Communications Company filed as</w:t>
            </w:r>
          </w:p>
        </w:tc>
      </w:tr>
      <w:tr>
        <w:trPr>
          <w:trHeight w:val="222"/>
        </w:trPr>
        <w:tc>
          <w:tcPr>
            <w:tcW w:w="740" w:type="dxa"/>
            <w:vAlign w:val="bottom"/>
          </w:tcPr>
          <w:p>
            <w:pPr>
              <w:spacing w:after="0"/>
              <w:rPr>
                <w:sz w:val="19"/>
                <w:szCs w:val="19"/>
                <w:color w:val="auto"/>
              </w:rPr>
            </w:pPr>
          </w:p>
        </w:tc>
        <w:tc>
          <w:tcPr>
            <w:tcW w:w="7400" w:type="dxa"/>
            <w:vAlign w:val="bottom"/>
          </w:tcPr>
          <w:p>
            <w:pPr>
              <w:ind w:left="240"/>
              <w:spacing w:after="0"/>
              <w:rPr>
                <w:sz w:val="20"/>
                <w:szCs w:val="20"/>
                <w:color w:val="auto"/>
              </w:rPr>
            </w:pPr>
            <w:r>
              <w:rPr>
                <w:rFonts w:ascii="Arial" w:cs="Arial" w:eastAsia="Arial" w:hAnsi="Arial"/>
                <w:sz w:val="18"/>
                <w:szCs w:val="18"/>
                <w:color w:val="auto"/>
                <w:w w:val="97"/>
              </w:rPr>
              <w:t>Exhibit 10.7 to the Company’s Report on Form 10-K for the year ended December 31, 2003.</w:t>
            </w:r>
          </w:p>
        </w:tc>
      </w:tr>
      <w:tr>
        <w:trPr>
          <w:trHeight w:val="358"/>
        </w:trPr>
        <w:tc>
          <w:tcPr>
            <w:tcW w:w="740" w:type="dxa"/>
            <w:vAlign w:val="bottom"/>
          </w:tcPr>
          <w:p>
            <w:pPr>
              <w:ind w:left="80"/>
              <w:spacing w:after="0"/>
              <w:rPr>
                <w:sz w:val="20"/>
                <w:szCs w:val="20"/>
                <w:color w:val="auto"/>
              </w:rPr>
            </w:pPr>
            <w:r>
              <w:rPr>
                <w:rFonts w:ascii="Arial" w:cs="Arial" w:eastAsia="Arial" w:hAnsi="Arial"/>
                <w:sz w:val="18"/>
                <w:szCs w:val="18"/>
                <w:color w:val="auto"/>
              </w:rPr>
              <w:t>10.8</w:t>
            </w:r>
          </w:p>
        </w:tc>
        <w:tc>
          <w:tcPr>
            <w:tcW w:w="7400" w:type="dxa"/>
            <w:vAlign w:val="bottom"/>
          </w:tcPr>
          <w:p>
            <w:pPr>
              <w:ind w:left="240"/>
              <w:spacing w:after="0"/>
              <w:rPr>
                <w:sz w:val="20"/>
                <w:szCs w:val="20"/>
                <w:color w:val="auto"/>
              </w:rPr>
            </w:pPr>
            <w:r>
              <w:rPr>
                <w:rFonts w:ascii="Arial" w:cs="Arial" w:eastAsia="Arial" w:hAnsi="Arial"/>
                <w:sz w:val="18"/>
                <w:szCs w:val="18"/>
                <w:color w:val="auto"/>
              </w:rPr>
              <w:t>Addendum I to Sprint PCS Management Agreement by and among Sprint Spectrum L.P.,</w:t>
            </w:r>
          </w:p>
        </w:tc>
      </w:tr>
      <w:tr>
        <w:trPr>
          <w:trHeight w:val="216"/>
        </w:trPr>
        <w:tc>
          <w:tcPr>
            <w:tcW w:w="740" w:type="dxa"/>
            <w:vAlign w:val="bottom"/>
          </w:tcPr>
          <w:p>
            <w:pPr>
              <w:spacing w:after="0"/>
              <w:rPr>
                <w:sz w:val="18"/>
                <w:szCs w:val="18"/>
                <w:color w:val="auto"/>
              </w:rPr>
            </w:pPr>
          </w:p>
        </w:tc>
        <w:tc>
          <w:tcPr>
            <w:tcW w:w="7400" w:type="dxa"/>
            <w:vAlign w:val="bottom"/>
          </w:tcPr>
          <w:p>
            <w:pPr>
              <w:ind w:left="240"/>
              <w:spacing w:after="0"/>
              <w:rPr>
                <w:sz w:val="20"/>
                <w:szCs w:val="20"/>
                <w:color w:val="auto"/>
              </w:rPr>
            </w:pPr>
            <w:r>
              <w:rPr>
                <w:rFonts w:ascii="Arial" w:cs="Arial" w:eastAsia="Arial" w:hAnsi="Arial"/>
                <w:sz w:val="18"/>
                <w:szCs w:val="18"/>
                <w:color w:val="auto"/>
                <w:w w:val="95"/>
              </w:rPr>
              <w:t>WirelessCo, L.P., APC PCS, LLC, PhillieCo, L.P., and Shenandoah Personal Communications</w:t>
            </w:r>
          </w:p>
        </w:tc>
      </w:tr>
      <w:tr>
        <w:trPr>
          <w:trHeight w:val="216"/>
        </w:trPr>
        <w:tc>
          <w:tcPr>
            <w:tcW w:w="740" w:type="dxa"/>
            <w:vAlign w:val="bottom"/>
          </w:tcPr>
          <w:p>
            <w:pPr>
              <w:spacing w:after="0"/>
              <w:rPr>
                <w:sz w:val="18"/>
                <w:szCs w:val="18"/>
                <w:color w:val="auto"/>
              </w:rPr>
            </w:pPr>
          </w:p>
        </w:tc>
        <w:tc>
          <w:tcPr>
            <w:tcW w:w="7400" w:type="dxa"/>
            <w:vAlign w:val="bottom"/>
          </w:tcPr>
          <w:p>
            <w:pPr>
              <w:ind w:left="240"/>
              <w:spacing w:after="0"/>
              <w:rPr>
                <w:sz w:val="20"/>
                <w:szCs w:val="20"/>
                <w:color w:val="auto"/>
              </w:rPr>
            </w:pPr>
            <w:r>
              <w:rPr>
                <w:rFonts w:ascii="Arial" w:cs="Arial" w:eastAsia="Arial" w:hAnsi="Arial"/>
                <w:sz w:val="18"/>
                <w:szCs w:val="18"/>
                <w:color w:val="auto"/>
                <w:w w:val="89"/>
              </w:rPr>
              <w:t>Company filed as Exhibit 10.8 to the Company’s Report on Form 10-K for the year ended December</w:t>
            </w:r>
          </w:p>
        </w:tc>
      </w:tr>
      <w:tr>
        <w:trPr>
          <w:trHeight w:val="222"/>
        </w:trPr>
        <w:tc>
          <w:tcPr>
            <w:tcW w:w="740" w:type="dxa"/>
            <w:vAlign w:val="bottom"/>
          </w:tcPr>
          <w:p>
            <w:pPr>
              <w:spacing w:after="0"/>
              <w:rPr>
                <w:sz w:val="19"/>
                <w:szCs w:val="19"/>
                <w:color w:val="auto"/>
              </w:rPr>
            </w:pPr>
          </w:p>
        </w:tc>
        <w:tc>
          <w:tcPr>
            <w:tcW w:w="7400" w:type="dxa"/>
            <w:vAlign w:val="bottom"/>
          </w:tcPr>
          <w:p>
            <w:pPr>
              <w:ind w:left="240"/>
              <w:spacing w:after="0"/>
              <w:rPr>
                <w:sz w:val="20"/>
                <w:szCs w:val="20"/>
                <w:color w:val="auto"/>
              </w:rPr>
            </w:pPr>
            <w:r>
              <w:rPr>
                <w:rFonts w:ascii="Arial" w:cs="Arial" w:eastAsia="Arial" w:hAnsi="Arial"/>
                <w:sz w:val="18"/>
                <w:szCs w:val="18"/>
                <w:color w:val="auto"/>
              </w:rPr>
              <w:t>31, 2003.</w:t>
            </w:r>
          </w:p>
        </w:tc>
      </w:tr>
      <w:tr>
        <w:trPr>
          <w:trHeight w:val="358"/>
        </w:trPr>
        <w:tc>
          <w:tcPr>
            <w:tcW w:w="740" w:type="dxa"/>
            <w:vAlign w:val="bottom"/>
          </w:tcPr>
          <w:p>
            <w:pPr>
              <w:ind w:left="80"/>
              <w:spacing w:after="0"/>
              <w:rPr>
                <w:sz w:val="20"/>
                <w:szCs w:val="20"/>
                <w:color w:val="auto"/>
              </w:rPr>
            </w:pPr>
            <w:r>
              <w:rPr>
                <w:rFonts w:ascii="Arial" w:cs="Arial" w:eastAsia="Arial" w:hAnsi="Arial"/>
                <w:sz w:val="18"/>
                <w:szCs w:val="18"/>
                <w:color w:val="auto"/>
              </w:rPr>
              <w:t>10.9</w:t>
            </w:r>
          </w:p>
        </w:tc>
        <w:tc>
          <w:tcPr>
            <w:tcW w:w="7400" w:type="dxa"/>
            <w:vAlign w:val="bottom"/>
          </w:tcPr>
          <w:p>
            <w:pPr>
              <w:ind w:left="240"/>
              <w:spacing w:after="0"/>
              <w:rPr>
                <w:sz w:val="20"/>
                <w:szCs w:val="20"/>
                <w:color w:val="auto"/>
              </w:rPr>
            </w:pPr>
            <w:r>
              <w:rPr>
                <w:rFonts w:ascii="Arial" w:cs="Arial" w:eastAsia="Arial" w:hAnsi="Arial"/>
                <w:sz w:val="18"/>
                <w:szCs w:val="18"/>
                <w:color w:val="auto"/>
                <w:w w:val="92"/>
              </w:rPr>
              <w:t>Asset Purchase Agreement dated November 5, 1999 by and among Sprint Spectrum L.P., Sprint</w:t>
            </w:r>
          </w:p>
        </w:tc>
      </w:tr>
      <w:tr>
        <w:trPr>
          <w:trHeight w:val="216"/>
        </w:trPr>
        <w:tc>
          <w:tcPr>
            <w:tcW w:w="740" w:type="dxa"/>
            <w:vAlign w:val="bottom"/>
          </w:tcPr>
          <w:p>
            <w:pPr>
              <w:spacing w:after="0"/>
              <w:rPr>
                <w:sz w:val="18"/>
                <w:szCs w:val="18"/>
                <w:color w:val="auto"/>
              </w:rPr>
            </w:pPr>
          </w:p>
        </w:tc>
        <w:tc>
          <w:tcPr>
            <w:tcW w:w="7400" w:type="dxa"/>
            <w:vAlign w:val="bottom"/>
          </w:tcPr>
          <w:p>
            <w:pPr>
              <w:ind w:left="240"/>
              <w:spacing w:after="0"/>
              <w:rPr>
                <w:sz w:val="20"/>
                <w:szCs w:val="20"/>
                <w:color w:val="auto"/>
              </w:rPr>
            </w:pPr>
            <w:r>
              <w:rPr>
                <w:rFonts w:ascii="Arial" w:cs="Arial" w:eastAsia="Arial" w:hAnsi="Arial"/>
                <w:sz w:val="18"/>
                <w:szCs w:val="18"/>
                <w:color w:val="auto"/>
                <w:w w:val="93"/>
              </w:rPr>
              <w:t>Spectrum Equipment Company, L. P., Sprint Spectrum Realty Company, L.P., and Shenandoah</w:t>
            </w:r>
          </w:p>
        </w:tc>
      </w:tr>
      <w:tr>
        <w:trPr>
          <w:trHeight w:val="216"/>
        </w:trPr>
        <w:tc>
          <w:tcPr>
            <w:tcW w:w="740" w:type="dxa"/>
            <w:vAlign w:val="bottom"/>
          </w:tcPr>
          <w:p>
            <w:pPr>
              <w:spacing w:after="0"/>
              <w:rPr>
                <w:sz w:val="18"/>
                <w:szCs w:val="18"/>
                <w:color w:val="auto"/>
              </w:rPr>
            </w:pPr>
          </w:p>
        </w:tc>
        <w:tc>
          <w:tcPr>
            <w:tcW w:w="7400" w:type="dxa"/>
            <w:vAlign w:val="bottom"/>
          </w:tcPr>
          <w:p>
            <w:pPr>
              <w:ind w:left="240"/>
              <w:spacing w:after="0"/>
              <w:rPr>
                <w:sz w:val="20"/>
                <w:szCs w:val="20"/>
                <w:color w:val="auto"/>
              </w:rPr>
            </w:pPr>
            <w:r>
              <w:rPr>
                <w:rFonts w:ascii="Arial" w:cs="Arial" w:eastAsia="Arial" w:hAnsi="Arial"/>
                <w:sz w:val="18"/>
                <w:szCs w:val="18"/>
                <w:color w:val="auto"/>
                <w:w w:val="98"/>
              </w:rPr>
              <w:t>Personal Communications Company, serving as Exhibit A to Addendum I to the Sprint PCS</w:t>
            </w:r>
          </w:p>
        </w:tc>
      </w:tr>
      <w:tr>
        <w:trPr>
          <w:trHeight w:val="216"/>
        </w:trPr>
        <w:tc>
          <w:tcPr>
            <w:tcW w:w="740" w:type="dxa"/>
            <w:vAlign w:val="bottom"/>
          </w:tcPr>
          <w:p>
            <w:pPr>
              <w:spacing w:after="0"/>
              <w:rPr>
                <w:sz w:val="18"/>
                <w:szCs w:val="18"/>
                <w:color w:val="auto"/>
              </w:rPr>
            </w:pPr>
          </w:p>
        </w:tc>
        <w:tc>
          <w:tcPr>
            <w:tcW w:w="7400" w:type="dxa"/>
            <w:vAlign w:val="bottom"/>
          </w:tcPr>
          <w:p>
            <w:pPr>
              <w:ind w:left="240"/>
              <w:spacing w:after="0"/>
              <w:rPr>
                <w:sz w:val="20"/>
                <w:szCs w:val="20"/>
                <w:color w:val="auto"/>
              </w:rPr>
            </w:pPr>
            <w:r>
              <w:rPr>
                <w:rFonts w:ascii="Arial" w:cs="Arial" w:eastAsia="Arial" w:hAnsi="Arial"/>
                <w:sz w:val="18"/>
                <w:szCs w:val="18"/>
                <w:color w:val="auto"/>
                <w:w w:val="94"/>
              </w:rPr>
              <w:t>Management Agreement and as Exhibit 2.6 to the Sprint PCS Management Agreement filed as</w:t>
            </w:r>
          </w:p>
        </w:tc>
      </w:tr>
      <w:tr>
        <w:trPr>
          <w:trHeight w:val="222"/>
        </w:trPr>
        <w:tc>
          <w:tcPr>
            <w:tcW w:w="740" w:type="dxa"/>
            <w:vAlign w:val="bottom"/>
          </w:tcPr>
          <w:p>
            <w:pPr>
              <w:spacing w:after="0"/>
              <w:rPr>
                <w:sz w:val="19"/>
                <w:szCs w:val="19"/>
                <w:color w:val="auto"/>
              </w:rPr>
            </w:pPr>
          </w:p>
        </w:tc>
        <w:tc>
          <w:tcPr>
            <w:tcW w:w="7400" w:type="dxa"/>
            <w:vAlign w:val="bottom"/>
          </w:tcPr>
          <w:p>
            <w:pPr>
              <w:ind w:left="240"/>
              <w:spacing w:after="0"/>
              <w:rPr>
                <w:sz w:val="20"/>
                <w:szCs w:val="20"/>
                <w:color w:val="auto"/>
              </w:rPr>
            </w:pPr>
            <w:r>
              <w:rPr>
                <w:rFonts w:ascii="Arial" w:cs="Arial" w:eastAsia="Arial" w:hAnsi="Arial"/>
                <w:sz w:val="18"/>
                <w:szCs w:val="18"/>
                <w:color w:val="auto"/>
                <w:w w:val="97"/>
              </w:rPr>
              <w:t>Exhibit 10.9 to the Company’s Report on Form 10-K for the year ended December 31, 2003.</w:t>
            </w:r>
          </w:p>
        </w:tc>
      </w:tr>
      <w:tr>
        <w:trPr>
          <w:trHeight w:val="358"/>
        </w:trPr>
        <w:tc>
          <w:tcPr>
            <w:tcW w:w="740" w:type="dxa"/>
            <w:vAlign w:val="bottom"/>
          </w:tcPr>
          <w:p>
            <w:pPr>
              <w:ind w:left="80"/>
              <w:spacing w:after="0"/>
              <w:rPr>
                <w:sz w:val="20"/>
                <w:szCs w:val="20"/>
                <w:color w:val="auto"/>
              </w:rPr>
            </w:pPr>
            <w:r>
              <w:rPr>
                <w:rFonts w:ascii="Arial" w:cs="Arial" w:eastAsia="Arial" w:hAnsi="Arial"/>
                <w:sz w:val="18"/>
                <w:szCs w:val="18"/>
                <w:color w:val="auto"/>
              </w:rPr>
              <w:t>10.10</w:t>
            </w:r>
          </w:p>
        </w:tc>
        <w:tc>
          <w:tcPr>
            <w:tcW w:w="7400" w:type="dxa"/>
            <w:vAlign w:val="bottom"/>
          </w:tcPr>
          <w:p>
            <w:pPr>
              <w:ind w:left="240"/>
              <w:spacing w:after="0"/>
              <w:rPr>
                <w:sz w:val="20"/>
                <w:szCs w:val="20"/>
                <w:color w:val="auto"/>
              </w:rPr>
            </w:pPr>
            <w:r>
              <w:rPr>
                <w:rFonts w:ascii="Arial" w:cs="Arial" w:eastAsia="Arial" w:hAnsi="Arial"/>
                <w:sz w:val="18"/>
                <w:szCs w:val="18"/>
                <w:color w:val="auto"/>
                <w:w w:val="91"/>
              </w:rPr>
              <w:t>Addendum II dated August 31, 2000 to Sprint PCS Management Agreement by and among Sprint</w:t>
            </w:r>
          </w:p>
        </w:tc>
      </w:tr>
      <w:tr>
        <w:trPr>
          <w:trHeight w:val="216"/>
        </w:trPr>
        <w:tc>
          <w:tcPr>
            <w:tcW w:w="740" w:type="dxa"/>
            <w:vAlign w:val="bottom"/>
          </w:tcPr>
          <w:p>
            <w:pPr>
              <w:spacing w:after="0"/>
              <w:rPr>
                <w:sz w:val="18"/>
                <w:szCs w:val="18"/>
                <w:color w:val="auto"/>
              </w:rPr>
            </w:pPr>
          </w:p>
        </w:tc>
        <w:tc>
          <w:tcPr>
            <w:tcW w:w="7400" w:type="dxa"/>
            <w:vAlign w:val="bottom"/>
          </w:tcPr>
          <w:p>
            <w:pPr>
              <w:ind w:left="240"/>
              <w:spacing w:after="0"/>
              <w:rPr>
                <w:sz w:val="20"/>
                <w:szCs w:val="20"/>
                <w:color w:val="auto"/>
              </w:rPr>
            </w:pPr>
            <w:r>
              <w:rPr>
                <w:rFonts w:ascii="Arial" w:cs="Arial" w:eastAsia="Arial" w:hAnsi="Arial"/>
                <w:sz w:val="18"/>
                <w:szCs w:val="18"/>
                <w:color w:val="auto"/>
                <w:w w:val="96"/>
              </w:rPr>
              <w:t>Spectrum L.P., WirelessCo, L.P., APC PCS, LLC, PhillieCo, L.P., and Shenandoah Personal</w:t>
            </w:r>
          </w:p>
        </w:tc>
      </w:tr>
      <w:tr>
        <w:trPr>
          <w:trHeight w:val="216"/>
        </w:trPr>
        <w:tc>
          <w:tcPr>
            <w:tcW w:w="740" w:type="dxa"/>
            <w:vAlign w:val="bottom"/>
          </w:tcPr>
          <w:p>
            <w:pPr>
              <w:spacing w:after="0"/>
              <w:rPr>
                <w:sz w:val="18"/>
                <w:szCs w:val="18"/>
                <w:color w:val="auto"/>
              </w:rPr>
            </w:pPr>
          </w:p>
        </w:tc>
        <w:tc>
          <w:tcPr>
            <w:tcW w:w="7400" w:type="dxa"/>
            <w:vAlign w:val="bottom"/>
          </w:tcPr>
          <w:p>
            <w:pPr>
              <w:ind w:left="240"/>
              <w:spacing w:after="0"/>
              <w:rPr>
                <w:sz w:val="20"/>
                <w:szCs w:val="20"/>
                <w:color w:val="auto"/>
              </w:rPr>
            </w:pPr>
            <w:r>
              <w:rPr>
                <w:rFonts w:ascii="Arial" w:cs="Arial" w:eastAsia="Arial" w:hAnsi="Arial"/>
                <w:sz w:val="18"/>
                <w:szCs w:val="18"/>
                <w:color w:val="auto"/>
                <w:w w:val="93"/>
              </w:rPr>
              <w:t>Communications Company filed as Exhibit 10.10 to the Company’s Report on Form 10-K for the</w:t>
            </w:r>
          </w:p>
        </w:tc>
      </w:tr>
      <w:tr>
        <w:trPr>
          <w:trHeight w:val="222"/>
        </w:trPr>
        <w:tc>
          <w:tcPr>
            <w:tcW w:w="740" w:type="dxa"/>
            <w:vAlign w:val="bottom"/>
          </w:tcPr>
          <w:p>
            <w:pPr>
              <w:spacing w:after="0"/>
              <w:rPr>
                <w:sz w:val="19"/>
                <w:szCs w:val="19"/>
                <w:color w:val="auto"/>
              </w:rPr>
            </w:pPr>
          </w:p>
        </w:tc>
        <w:tc>
          <w:tcPr>
            <w:tcW w:w="7400" w:type="dxa"/>
            <w:vAlign w:val="bottom"/>
          </w:tcPr>
          <w:p>
            <w:pPr>
              <w:ind w:left="240"/>
              <w:spacing w:after="0"/>
              <w:rPr>
                <w:sz w:val="20"/>
                <w:szCs w:val="20"/>
                <w:color w:val="auto"/>
              </w:rPr>
            </w:pPr>
            <w:r>
              <w:rPr>
                <w:rFonts w:ascii="Arial" w:cs="Arial" w:eastAsia="Arial" w:hAnsi="Arial"/>
                <w:sz w:val="18"/>
                <w:szCs w:val="18"/>
                <w:color w:val="auto"/>
              </w:rPr>
              <w:t>year ended December 31, 2003.</w:t>
            </w:r>
          </w:p>
        </w:tc>
      </w:tr>
      <w:tr>
        <w:trPr>
          <w:trHeight w:val="358"/>
        </w:trPr>
        <w:tc>
          <w:tcPr>
            <w:tcW w:w="740" w:type="dxa"/>
            <w:vAlign w:val="bottom"/>
          </w:tcPr>
          <w:p>
            <w:pPr>
              <w:ind w:left="80"/>
              <w:spacing w:after="0"/>
              <w:rPr>
                <w:sz w:val="20"/>
                <w:szCs w:val="20"/>
                <w:color w:val="auto"/>
              </w:rPr>
            </w:pPr>
            <w:r>
              <w:rPr>
                <w:rFonts w:ascii="Arial" w:cs="Arial" w:eastAsia="Arial" w:hAnsi="Arial"/>
                <w:sz w:val="18"/>
                <w:szCs w:val="18"/>
                <w:color w:val="auto"/>
              </w:rPr>
              <w:t>10.11</w:t>
            </w:r>
          </w:p>
        </w:tc>
        <w:tc>
          <w:tcPr>
            <w:tcW w:w="7400" w:type="dxa"/>
            <w:vAlign w:val="bottom"/>
          </w:tcPr>
          <w:p>
            <w:pPr>
              <w:ind w:left="240"/>
              <w:spacing w:after="0"/>
              <w:rPr>
                <w:sz w:val="20"/>
                <w:szCs w:val="20"/>
                <w:color w:val="auto"/>
              </w:rPr>
            </w:pPr>
            <w:r>
              <w:rPr>
                <w:rFonts w:ascii="Arial" w:cs="Arial" w:eastAsia="Arial" w:hAnsi="Arial"/>
                <w:sz w:val="18"/>
                <w:szCs w:val="18"/>
                <w:color w:val="auto"/>
                <w:w w:val="93"/>
              </w:rPr>
              <w:t>Addendum III dated September 26, 2001 to Sprint PCS Management Agreement by and among</w:t>
            </w:r>
          </w:p>
        </w:tc>
      </w:tr>
      <w:tr>
        <w:trPr>
          <w:trHeight w:val="216"/>
        </w:trPr>
        <w:tc>
          <w:tcPr>
            <w:tcW w:w="740" w:type="dxa"/>
            <w:vAlign w:val="bottom"/>
          </w:tcPr>
          <w:p>
            <w:pPr>
              <w:spacing w:after="0"/>
              <w:rPr>
                <w:sz w:val="18"/>
                <w:szCs w:val="18"/>
                <w:color w:val="auto"/>
              </w:rPr>
            </w:pPr>
          </w:p>
        </w:tc>
        <w:tc>
          <w:tcPr>
            <w:tcW w:w="7400" w:type="dxa"/>
            <w:vAlign w:val="bottom"/>
          </w:tcPr>
          <w:p>
            <w:pPr>
              <w:ind w:left="240"/>
              <w:spacing w:after="0"/>
              <w:rPr>
                <w:sz w:val="20"/>
                <w:szCs w:val="20"/>
                <w:color w:val="auto"/>
              </w:rPr>
            </w:pPr>
            <w:r>
              <w:rPr>
                <w:rFonts w:ascii="Arial" w:cs="Arial" w:eastAsia="Arial" w:hAnsi="Arial"/>
                <w:sz w:val="18"/>
                <w:szCs w:val="18"/>
                <w:color w:val="auto"/>
                <w:w w:val="90"/>
              </w:rPr>
              <w:t>Sprint Spectrum L.P., WirelessCo, L.P., APC PCS, LLC, PhillieCo, L.P., and Shenandoah Personal</w:t>
            </w:r>
          </w:p>
        </w:tc>
      </w:tr>
      <w:tr>
        <w:trPr>
          <w:trHeight w:val="216"/>
        </w:trPr>
        <w:tc>
          <w:tcPr>
            <w:tcW w:w="740" w:type="dxa"/>
            <w:vAlign w:val="bottom"/>
          </w:tcPr>
          <w:p>
            <w:pPr>
              <w:spacing w:after="0"/>
              <w:rPr>
                <w:sz w:val="18"/>
                <w:szCs w:val="18"/>
                <w:color w:val="auto"/>
              </w:rPr>
            </w:pPr>
          </w:p>
        </w:tc>
        <w:tc>
          <w:tcPr>
            <w:tcW w:w="7400" w:type="dxa"/>
            <w:vAlign w:val="bottom"/>
          </w:tcPr>
          <w:p>
            <w:pPr>
              <w:ind w:left="240"/>
              <w:spacing w:after="0"/>
              <w:rPr>
                <w:sz w:val="20"/>
                <w:szCs w:val="20"/>
                <w:color w:val="auto"/>
              </w:rPr>
            </w:pPr>
            <w:r>
              <w:rPr>
                <w:rFonts w:ascii="Arial" w:cs="Arial" w:eastAsia="Arial" w:hAnsi="Arial"/>
                <w:sz w:val="18"/>
                <w:szCs w:val="18"/>
                <w:color w:val="auto"/>
                <w:w w:val="93"/>
              </w:rPr>
              <w:t>Communications Company filed as Exhibit 10.11 to the Company’s Report on Form 10-K for the</w:t>
            </w:r>
          </w:p>
        </w:tc>
      </w:tr>
      <w:tr>
        <w:trPr>
          <w:trHeight w:val="222"/>
        </w:trPr>
        <w:tc>
          <w:tcPr>
            <w:tcW w:w="740" w:type="dxa"/>
            <w:vAlign w:val="bottom"/>
          </w:tcPr>
          <w:p>
            <w:pPr>
              <w:spacing w:after="0"/>
              <w:rPr>
                <w:sz w:val="19"/>
                <w:szCs w:val="19"/>
                <w:color w:val="auto"/>
              </w:rPr>
            </w:pPr>
          </w:p>
        </w:tc>
        <w:tc>
          <w:tcPr>
            <w:tcW w:w="7400" w:type="dxa"/>
            <w:vAlign w:val="bottom"/>
          </w:tcPr>
          <w:p>
            <w:pPr>
              <w:ind w:left="240"/>
              <w:spacing w:after="0"/>
              <w:rPr>
                <w:sz w:val="20"/>
                <w:szCs w:val="20"/>
                <w:color w:val="auto"/>
              </w:rPr>
            </w:pPr>
            <w:r>
              <w:rPr>
                <w:rFonts w:ascii="Arial" w:cs="Arial" w:eastAsia="Arial" w:hAnsi="Arial"/>
                <w:sz w:val="18"/>
                <w:szCs w:val="18"/>
                <w:color w:val="auto"/>
              </w:rPr>
              <w:t>year ended December 31, 2003.</w:t>
            </w:r>
          </w:p>
        </w:tc>
      </w:tr>
      <w:tr>
        <w:trPr>
          <w:trHeight w:val="358"/>
        </w:trPr>
        <w:tc>
          <w:tcPr>
            <w:tcW w:w="740" w:type="dxa"/>
            <w:vAlign w:val="bottom"/>
          </w:tcPr>
          <w:p>
            <w:pPr>
              <w:ind w:left="80"/>
              <w:spacing w:after="0"/>
              <w:rPr>
                <w:sz w:val="20"/>
                <w:szCs w:val="20"/>
                <w:color w:val="auto"/>
              </w:rPr>
            </w:pPr>
            <w:r>
              <w:rPr>
                <w:rFonts w:ascii="Arial" w:cs="Arial" w:eastAsia="Arial" w:hAnsi="Arial"/>
                <w:sz w:val="18"/>
                <w:szCs w:val="18"/>
                <w:color w:val="auto"/>
              </w:rPr>
              <w:t>10.12</w:t>
            </w:r>
          </w:p>
        </w:tc>
        <w:tc>
          <w:tcPr>
            <w:tcW w:w="7400" w:type="dxa"/>
            <w:vAlign w:val="bottom"/>
          </w:tcPr>
          <w:p>
            <w:pPr>
              <w:ind w:left="240"/>
              <w:spacing w:after="0"/>
              <w:rPr>
                <w:sz w:val="20"/>
                <w:szCs w:val="20"/>
                <w:color w:val="auto"/>
              </w:rPr>
            </w:pPr>
            <w:r>
              <w:rPr>
                <w:rFonts w:ascii="Arial" w:cs="Arial" w:eastAsia="Arial" w:hAnsi="Arial"/>
                <w:sz w:val="18"/>
                <w:szCs w:val="18"/>
                <w:color w:val="auto"/>
                <w:w w:val="93"/>
              </w:rPr>
              <w:t>Addendum IV dated May 22, 2003 to Sprint PCS Management Agreement by and among Sprint</w:t>
            </w:r>
          </w:p>
        </w:tc>
      </w:tr>
      <w:tr>
        <w:trPr>
          <w:trHeight w:val="216"/>
        </w:trPr>
        <w:tc>
          <w:tcPr>
            <w:tcW w:w="740" w:type="dxa"/>
            <w:vAlign w:val="bottom"/>
          </w:tcPr>
          <w:p>
            <w:pPr>
              <w:spacing w:after="0"/>
              <w:rPr>
                <w:sz w:val="18"/>
                <w:szCs w:val="18"/>
                <w:color w:val="auto"/>
              </w:rPr>
            </w:pPr>
          </w:p>
        </w:tc>
        <w:tc>
          <w:tcPr>
            <w:tcW w:w="7400" w:type="dxa"/>
            <w:vAlign w:val="bottom"/>
          </w:tcPr>
          <w:p>
            <w:pPr>
              <w:ind w:left="240"/>
              <w:spacing w:after="0"/>
              <w:rPr>
                <w:sz w:val="20"/>
                <w:szCs w:val="20"/>
                <w:color w:val="auto"/>
              </w:rPr>
            </w:pPr>
            <w:r>
              <w:rPr>
                <w:rFonts w:ascii="Arial" w:cs="Arial" w:eastAsia="Arial" w:hAnsi="Arial"/>
                <w:sz w:val="18"/>
                <w:szCs w:val="18"/>
                <w:color w:val="auto"/>
                <w:w w:val="96"/>
              </w:rPr>
              <w:t>Spectrum L.P., WirelessCo, L.P., APC PCS, LLC, PhillieCo, L.P., and Shenandoah Personal</w:t>
            </w:r>
          </w:p>
        </w:tc>
      </w:tr>
      <w:tr>
        <w:trPr>
          <w:trHeight w:val="216"/>
        </w:trPr>
        <w:tc>
          <w:tcPr>
            <w:tcW w:w="740" w:type="dxa"/>
            <w:vAlign w:val="bottom"/>
          </w:tcPr>
          <w:p>
            <w:pPr>
              <w:spacing w:after="0"/>
              <w:rPr>
                <w:sz w:val="18"/>
                <w:szCs w:val="18"/>
                <w:color w:val="auto"/>
              </w:rPr>
            </w:pPr>
          </w:p>
        </w:tc>
        <w:tc>
          <w:tcPr>
            <w:tcW w:w="7400" w:type="dxa"/>
            <w:vAlign w:val="bottom"/>
          </w:tcPr>
          <w:p>
            <w:pPr>
              <w:ind w:left="240"/>
              <w:spacing w:after="0"/>
              <w:rPr>
                <w:sz w:val="20"/>
                <w:szCs w:val="20"/>
                <w:color w:val="auto"/>
              </w:rPr>
            </w:pPr>
            <w:r>
              <w:rPr>
                <w:rFonts w:ascii="Arial" w:cs="Arial" w:eastAsia="Arial" w:hAnsi="Arial"/>
                <w:sz w:val="18"/>
                <w:szCs w:val="18"/>
                <w:color w:val="auto"/>
                <w:w w:val="93"/>
              </w:rPr>
              <w:t>Communications Company filed as Exhibit 10.12 to the Company’s Report on Form 10-K for the</w:t>
            </w:r>
          </w:p>
        </w:tc>
      </w:tr>
      <w:tr>
        <w:trPr>
          <w:trHeight w:val="222"/>
        </w:trPr>
        <w:tc>
          <w:tcPr>
            <w:tcW w:w="740" w:type="dxa"/>
            <w:vAlign w:val="bottom"/>
          </w:tcPr>
          <w:p>
            <w:pPr>
              <w:spacing w:after="0"/>
              <w:rPr>
                <w:sz w:val="19"/>
                <w:szCs w:val="19"/>
                <w:color w:val="auto"/>
              </w:rPr>
            </w:pPr>
          </w:p>
        </w:tc>
        <w:tc>
          <w:tcPr>
            <w:tcW w:w="7400" w:type="dxa"/>
            <w:vAlign w:val="bottom"/>
          </w:tcPr>
          <w:p>
            <w:pPr>
              <w:ind w:left="240"/>
              <w:spacing w:after="0"/>
              <w:rPr>
                <w:sz w:val="20"/>
                <w:szCs w:val="20"/>
                <w:color w:val="auto"/>
              </w:rPr>
            </w:pPr>
            <w:r>
              <w:rPr>
                <w:rFonts w:ascii="Arial" w:cs="Arial" w:eastAsia="Arial" w:hAnsi="Arial"/>
                <w:sz w:val="18"/>
                <w:szCs w:val="18"/>
                <w:color w:val="auto"/>
              </w:rPr>
              <w:t>year ended December 31, 2003.</w:t>
            </w:r>
          </w:p>
        </w:tc>
      </w:tr>
      <w:tr>
        <w:trPr>
          <w:trHeight w:val="358"/>
        </w:trPr>
        <w:tc>
          <w:tcPr>
            <w:tcW w:w="740" w:type="dxa"/>
            <w:vAlign w:val="bottom"/>
          </w:tcPr>
          <w:p>
            <w:pPr>
              <w:ind w:left="80"/>
              <w:spacing w:after="0"/>
              <w:rPr>
                <w:sz w:val="20"/>
                <w:szCs w:val="20"/>
                <w:color w:val="auto"/>
              </w:rPr>
            </w:pPr>
            <w:r>
              <w:rPr>
                <w:rFonts w:ascii="Arial" w:cs="Arial" w:eastAsia="Arial" w:hAnsi="Arial"/>
                <w:sz w:val="18"/>
                <w:szCs w:val="18"/>
                <w:color w:val="auto"/>
              </w:rPr>
              <w:t>10.13</w:t>
            </w:r>
          </w:p>
        </w:tc>
        <w:tc>
          <w:tcPr>
            <w:tcW w:w="7400" w:type="dxa"/>
            <w:vAlign w:val="bottom"/>
          </w:tcPr>
          <w:p>
            <w:pPr>
              <w:ind w:left="240"/>
              <w:spacing w:after="0"/>
              <w:rPr>
                <w:sz w:val="20"/>
                <w:szCs w:val="20"/>
                <w:color w:val="auto"/>
              </w:rPr>
            </w:pPr>
            <w:r>
              <w:rPr>
                <w:rFonts w:ascii="Arial" w:cs="Arial" w:eastAsia="Arial" w:hAnsi="Arial"/>
                <w:sz w:val="18"/>
                <w:szCs w:val="18"/>
                <w:color w:val="auto"/>
                <w:w w:val="90"/>
              </w:rPr>
              <w:t>Addendum V dated January 30, 2004 to Sprint PCS Management Agreement by and among Sprint</w:t>
            </w:r>
          </w:p>
        </w:tc>
      </w:tr>
      <w:tr>
        <w:trPr>
          <w:trHeight w:val="216"/>
        </w:trPr>
        <w:tc>
          <w:tcPr>
            <w:tcW w:w="740" w:type="dxa"/>
            <w:vAlign w:val="bottom"/>
          </w:tcPr>
          <w:p>
            <w:pPr>
              <w:spacing w:after="0"/>
              <w:rPr>
                <w:sz w:val="18"/>
                <w:szCs w:val="18"/>
                <w:color w:val="auto"/>
              </w:rPr>
            </w:pPr>
          </w:p>
        </w:tc>
        <w:tc>
          <w:tcPr>
            <w:tcW w:w="7400" w:type="dxa"/>
            <w:vAlign w:val="bottom"/>
          </w:tcPr>
          <w:p>
            <w:pPr>
              <w:ind w:left="240"/>
              <w:spacing w:after="0"/>
              <w:rPr>
                <w:sz w:val="20"/>
                <w:szCs w:val="20"/>
                <w:color w:val="auto"/>
              </w:rPr>
            </w:pPr>
            <w:r>
              <w:rPr>
                <w:rFonts w:ascii="Arial" w:cs="Arial" w:eastAsia="Arial" w:hAnsi="Arial"/>
                <w:sz w:val="18"/>
                <w:szCs w:val="18"/>
                <w:color w:val="auto"/>
                <w:w w:val="96"/>
              </w:rPr>
              <w:t>Spectrum L.P., WirelessCo, L.P., APC PCS, LLC, PhillieCo, L.P., and Shenandoah Personal</w:t>
            </w:r>
          </w:p>
        </w:tc>
      </w:tr>
      <w:tr>
        <w:trPr>
          <w:trHeight w:val="216"/>
        </w:trPr>
        <w:tc>
          <w:tcPr>
            <w:tcW w:w="740" w:type="dxa"/>
            <w:vAlign w:val="bottom"/>
          </w:tcPr>
          <w:p>
            <w:pPr>
              <w:spacing w:after="0"/>
              <w:rPr>
                <w:sz w:val="18"/>
                <w:szCs w:val="18"/>
                <w:color w:val="auto"/>
              </w:rPr>
            </w:pPr>
          </w:p>
        </w:tc>
        <w:tc>
          <w:tcPr>
            <w:tcW w:w="7400" w:type="dxa"/>
            <w:vAlign w:val="bottom"/>
          </w:tcPr>
          <w:p>
            <w:pPr>
              <w:ind w:left="240"/>
              <w:spacing w:after="0"/>
              <w:rPr>
                <w:sz w:val="20"/>
                <w:szCs w:val="20"/>
                <w:color w:val="auto"/>
              </w:rPr>
            </w:pPr>
            <w:r>
              <w:rPr>
                <w:rFonts w:ascii="Arial" w:cs="Arial" w:eastAsia="Arial" w:hAnsi="Arial"/>
                <w:sz w:val="18"/>
                <w:szCs w:val="18"/>
                <w:color w:val="auto"/>
                <w:w w:val="93"/>
              </w:rPr>
              <w:t>Communications Company filed as Exhibit 10.13 to the Company’s Report on Form 10-K for the</w:t>
            </w:r>
          </w:p>
        </w:tc>
      </w:tr>
      <w:tr>
        <w:trPr>
          <w:trHeight w:val="222"/>
        </w:trPr>
        <w:tc>
          <w:tcPr>
            <w:tcW w:w="740" w:type="dxa"/>
            <w:vAlign w:val="bottom"/>
          </w:tcPr>
          <w:p>
            <w:pPr>
              <w:spacing w:after="0"/>
              <w:rPr>
                <w:sz w:val="19"/>
                <w:szCs w:val="19"/>
                <w:color w:val="auto"/>
              </w:rPr>
            </w:pPr>
          </w:p>
        </w:tc>
        <w:tc>
          <w:tcPr>
            <w:tcW w:w="7400" w:type="dxa"/>
            <w:vAlign w:val="bottom"/>
          </w:tcPr>
          <w:p>
            <w:pPr>
              <w:ind w:left="240"/>
              <w:spacing w:after="0"/>
              <w:rPr>
                <w:sz w:val="20"/>
                <w:szCs w:val="20"/>
                <w:color w:val="auto"/>
              </w:rPr>
            </w:pPr>
            <w:r>
              <w:rPr>
                <w:rFonts w:ascii="Arial" w:cs="Arial" w:eastAsia="Arial" w:hAnsi="Arial"/>
                <w:sz w:val="18"/>
                <w:szCs w:val="18"/>
                <w:color w:val="auto"/>
              </w:rPr>
              <w:t>year ended December 31, 2003.</w:t>
            </w:r>
          </w:p>
        </w:tc>
      </w:tr>
      <w:tr>
        <w:trPr>
          <w:trHeight w:val="358"/>
        </w:trPr>
        <w:tc>
          <w:tcPr>
            <w:tcW w:w="740" w:type="dxa"/>
            <w:vAlign w:val="bottom"/>
          </w:tcPr>
          <w:p>
            <w:pPr>
              <w:ind w:left="80"/>
              <w:spacing w:after="0"/>
              <w:rPr>
                <w:sz w:val="20"/>
                <w:szCs w:val="20"/>
                <w:color w:val="auto"/>
              </w:rPr>
            </w:pPr>
            <w:r>
              <w:rPr>
                <w:rFonts w:ascii="Arial" w:cs="Arial" w:eastAsia="Arial" w:hAnsi="Arial"/>
                <w:sz w:val="18"/>
                <w:szCs w:val="18"/>
                <w:color w:val="auto"/>
              </w:rPr>
              <w:t>10.14</w:t>
            </w:r>
          </w:p>
        </w:tc>
        <w:tc>
          <w:tcPr>
            <w:tcW w:w="7400" w:type="dxa"/>
            <w:vAlign w:val="bottom"/>
          </w:tcPr>
          <w:p>
            <w:pPr>
              <w:ind w:left="240"/>
              <w:spacing w:after="0"/>
              <w:rPr>
                <w:sz w:val="20"/>
                <w:szCs w:val="20"/>
                <w:color w:val="auto"/>
              </w:rPr>
            </w:pPr>
            <w:r>
              <w:rPr>
                <w:rFonts w:ascii="Arial" w:cs="Arial" w:eastAsia="Arial" w:hAnsi="Arial"/>
                <w:sz w:val="18"/>
                <w:szCs w:val="18"/>
                <w:color w:val="auto"/>
                <w:w w:val="92"/>
              </w:rPr>
              <w:t>Supplemental Executive Retirement Plan filed as Exhibit 10.14 to the Company’s Report on Form</w:t>
            </w:r>
          </w:p>
        </w:tc>
      </w:tr>
      <w:tr>
        <w:trPr>
          <w:trHeight w:val="222"/>
        </w:trPr>
        <w:tc>
          <w:tcPr>
            <w:tcW w:w="740" w:type="dxa"/>
            <w:vAlign w:val="bottom"/>
          </w:tcPr>
          <w:p>
            <w:pPr>
              <w:spacing w:after="0"/>
              <w:rPr>
                <w:sz w:val="19"/>
                <w:szCs w:val="19"/>
                <w:color w:val="auto"/>
              </w:rPr>
            </w:pPr>
          </w:p>
        </w:tc>
        <w:tc>
          <w:tcPr>
            <w:tcW w:w="7400" w:type="dxa"/>
            <w:vAlign w:val="bottom"/>
          </w:tcPr>
          <w:p>
            <w:pPr>
              <w:ind w:left="240"/>
              <w:spacing w:after="0"/>
              <w:rPr>
                <w:sz w:val="20"/>
                <w:szCs w:val="20"/>
                <w:color w:val="auto"/>
              </w:rPr>
            </w:pPr>
            <w:r>
              <w:rPr>
                <w:rFonts w:ascii="Arial" w:cs="Arial" w:eastAsia="Arial" w:hAnsi="Arial"/>
                <w:sz w:val="18"/>
                <w:szCs w:val="18"/>
                <w:color w:val="auto"/>
              </w:rPr>
              <w:t>10-K for the year ended December 31, 2003.</w:t>
            </w:r>
          </w:p>
        </w:tc>
      </w:tr>
      <w:tr>
        <w:trPr>
          <w:trHeight w:val="358"/>
        </w:trPr>
        <w:tc>
          <w:tcPr>
            <w:tcW w:w="740" w:type="dxa"/>
            <w:vAlign w:val="bottom"/>
          </w:tcPr>
          <w:p>
            <w:pPr>
              <w:ind w:left="80"/>
              <w:spacing w:after="0"/>
              <w:rPr>
                <w:sz w:val="20"/>
                <w:szCs w:val="20"/>
                <w:color w:val="auto"/>
              </w:rPr>
            </w:pPr>
            <w:r>
              <w:rPr>
                <w:rFonts w:ascii="Arial" w:cs="Arial" w:eastAsia="Arial" w:hAnsi="Arial"/>
                <w:sz w:val="18"/>
                <w:szCs w:val="18"/>
                <w:color w:val="auto"/>
              </w:rPr>
              <w:t>10.15</w:t>
            </w:r>
          </w:p>
        </w:tc>
        <w:tc>
          <w:tcPr>
            <w:tcW w:w="7400" w:type="dxa"/>
            <w:vAlign w:val="bottom"/>
          </w:tcPr>
          <w:p>
            <w:pPr>
              <w:ind w:left="240"/>
              <w:spacing w:after="0"/>
              <w:rPr>
                <w:sz w:val="20"/>
                <w:szCs w:val="20"/>
                <w:color w:val="auto"/>
              </w:rPr>
            </w:pPr>
            <w:r>
              <w:rPr>
                <w:rFonts w:ascii="Arial" w:cs="Arial" w:eastAsia="Arial" w:hAnsi="Arial"/>
                <w:sz w:val="18"/>
                <w:szCs w:val="18"/>
                <w:color w:val="auto"/>
                <w:w w:val="93"/>
              </w:rPr>
              <w:t>Addendum VI dated May 24, 2004 to Sprint PCS Management Agreement by and among Sprint</w:t>
            </w:r>
          </w:p>
        </w:tc>
      </w:tr>
      <w:tr>
        <w:trPr>
          <w:trHeight w:val="216"/>
        </w:trPr>
        <w:tc>
          <w:tcPr>
            <w:tcW w:w="740" w:type="dxa"/>
            <w:vAlign w:val="bottom"/>
          </w:tcPr>
          <w:p>
            <w:pPr>
              <w:spacing w:after="0"/>
              <w:rPr>
                <w:sz w:val="18"/>
                <w:szCs w:val="18"/>
                <w:color w:val="auto"/>
              </w:rPr>
            </w:pPr>
          </w:p>
        </w:tc>
        <w:tc>
          <w:tcPr>
            <w:tcW w:w="7400" w:type="dxa"/>
            <w:vAlign w:val="bottom"/>
          </w:tcPr>
          <w:p>
            <w:pPr>
              <w:ind w:left="240"/>
              <w:spacing w:after="0"/>
              <w:rPr>
                <w:sz w:val="20"/>
                <w:szCs w:val="20"/>
                <w:color w:val="auto"/>
              </w:rPr>
            </w:pPr>
            <w:r>
              <w:rPr>
                <w:rFonts w:ascii="Arial" w:cs="Arial" w:eastAsia="Arial" w:hAnsi="Arial"/>
                <w:sz w:val="18"/>
                <w:szCs w:val="18"/>
                <w:color w:val="auto"/>
                <w:w w:val="96"/>
              </w:rPr>
              <w:t>Spectrum L.P., WirelessCo, L.P., APC PCS, LLC, PhillieCo, L.P., and Shenandoah Personal</w:t>
            </w:r>
          </w:p>
        </w:tc>
      </w:tr>
      <w:tr>
        <w:trPr>
          <w:trHeight w:val="216"/>
        </w:trPr>
        <w:tc>
          <w:tcPr>
            <w:tcW w:w="740" w:type="dxa"/>
            <w:vAlign w:val="bottom"/>
          </w:tcPr>
          <w:p>
            <w:pPr>
              <w:spacing w:after="0"/>
              <w:rPr>
                <w:sz w:val="18"/>
                <w:szCs w:val="18"/>
                <w:color w:val="auto"/>
              </w:rPr>
            </w:pPr>
          </w:p>
        </w:tc>
        <w:tc>
          <w:tcPr>
            <w:tcW w:w="7400" w:type="dxa"/>
            <w:vAlign w:val="bottom"/>
          </w:tcPr>
          <w:p>
            <w:pPr>
              <w:ind w:left="240"/>
              <w:spacing w:after="0"/>
              <w:rPr>
                <w:sz w:val="20"/>
                <w:szCs w:val="20"/>
                <w:color w:val="auto"/>
              </w:rPr>
            </w:pPr>
            <w:r>
              <w:rPr>
                <w:rFonts w:ascii="Arial" w:cs="Arial" w:eastAsia="Arial" w:hAnsi="Arial"/>
                <w:sz w:val="18"/>
                <w:szCs w:val="18"/>
                <w:color w:val="auto"/>
                <w:w w:val="93"/>
              </w:rPr>
              <w:t>Communications Company filed as Exhibit 10.15 to the Company’s Report on Form 10-Q for the</w:t>
            </w:r>
          </w:p>
        </w:tc>
      </w:tr>
      <w:tr>
        <w:trPr>
          <w:trHeight w:val="222"/>
        </w:trPr>
        <w:tc>
          <w:tcPr>
            <w:tcW w:w="740" w:type="dxa"/>
            <w:vAlign w:val="bottom"/>
          </w:tcPr>
          <w:p>
            <w:pPr>
              <w:spacing w:after="0"/>
              <w:rPr>
                <w:sz w:val="19"/>
                <w:szCs w:val="19"/>
                <w:color w:val="auto"/>
              </w:rPr>
            </w:pPr>
          </w:p>
        </w:tc>
        <w:tc>
          <w:tcPr>
            <w:tcW w:w="7400" w:type="dxa"/>
            <w:vAlign w:val="bottom"/>
          </w:tcPr>
          <w:p>
            <w:pPr>
              <w:ind w:left="240"/>
              <w:spacing w:after="0"/>
              <w:rPr>
                <w:sz w:val="20"/>
                <w:szCs w:val="20"/>
                <w:color w:val="auto"/>
              </w:rPr>
            </w:pPr>
            <w:r>
              <w:rPr>
                <w:rFonts w:ascii="Arial" w:cs="Arial" w:eastAsia="Arial" w:hAnsi="Arial"/>
                <w:sz w:val="18"/>
                <w:szCs w:val="18"/>
                <w:color w:val="auto"/>
              </w:rPr>
              <w:t>quarterly period ended June 30, 2004.</w:t>
            </w:r>
          </w:p>
        </w:tc>
      </w:tr>
      <w:tr>
        <w:trPr>
          <w:trHeight w:val="358"/>
        </w:trPr>
        <w:tc>
          <w:tcPr>
            <w:tcW w:w="740" w:type="dxa"/>
            <w:vAlign w:val="bottom"/>
          </w:tcPr>
          <w:p>
            <w:pPr>
              <w:ind w:left="80"/>
              <w:spacing w:after="0"/>
              <w:rPr>
                <w:sz w:val="20"/>
                <w:szCs w:val="20"/>
                <w:color w:val="auto"/>
              </w:rPr>
            </w:pPr>
            <w:r>
              <w:rPr>
                <w:rFonts w:ascii="Arial" w:cs="Arial" w:eastAsia="Arial" w:hAnsi="Arial"/>
                <w:sz w:val="18"/>
                <w:szCs w:val="18"/>
                <w:color w:val="auto"/>
              </w:rPr>
              <w:t>10.16</w:t>
            </w:r>
          </w:p>
        </w:tc>
        <w:tc>
          <w:tcPr>
            <w:tcW w:w="7400" w:type="dxa"/>
            <w:vAlign w:val="bottom"/>
          </w:tcPr>
          <w:p>
            <w:pPr>
              <w:ind w:left="240"/>
              <w:spacing w:after="0"/>
              <w:rPr>
                <w:sz w:val="20"/>
                <w:szCs w:val="20"/>
                <w:color w:val="auto"/>
              </w:rPr>
            </w:pPr>
            <w:r>
              <w:rPr>
                <w:rFonts w:ascii="Arial" w:cs="Arial" w:eastAsia="Arial" w:hAnsi="Arial"/>
                <w:sz w:val="18"/>
                <w:szCs w:val="18"/>
                <w:color w:val="auto"/>
                <w:w w:val="91"/>
              </w:rPr>
              <w:t>Second Amended and Restated Master Loan Agreement, dated as of November 30, 2004, by and</w:t>
            </w:r>
          </w:p>
        </w:tc>
      </w:tr>
      <w:tr>
        <w:trPr>
          <w:trHeight w:val="216"/>
        </w:trPr>
        <w:tc>
          <w:tcPr>
            <w:tcW w:w="740" w:type="dxa"/>
            <w:vAlign w:val="bottom"/>
          </w:tcPr>
          <w:p>
            <w:pPr>
              <w:spacing w:after="0"/>
              <w:rPr>
                <w:sz w:val="18"/>
                <w:szCs w:val="18"/>
                <w:color w:val="auto"/>
              </w:rPr>
            </w:pPr>
          </w:p>
        </w:tc>
        <w:tc>
          <w:tcPr>
            <w:tcW w:w="7400" w:type="dxa"/>
            <w:vAlign w:val="bottom"/>
          </w:tcPr>
          <w:p>
            <w:pPr>
              <w:ind w:left="240"/>
              <w:spacing w:after="0"/>
              <w:rPr>
                <w:sz w:val="20"/>
                <w:szCs w:val="20"/>
                <w:color w:val="auto"/>
              </w:rPr>
            </w:pPr>
            <w:r>
              <w:rPr>
                <w:rFonts w:ascii="Arial" w:cs="Arial" w:eastAsia="Arial" w:hAnsi="Arial"/>
                <w:sz w:val="18"/>
                <w:szCs w:val="18"/>
                <w:color w:val="auto"/>
                <w:w w:val="89"/>
              </w:rPr>
              <w:t>between CoBank, ACB and Shenandoah Telecommunications Company filed as Exhibit 10.16 to the</w:t>
            </w:r>
          </w:p>
        </w:tc>
      </w:tr>
      <w:tr>
        <w:trPr>
          <w:trHeight w:val="222"/>
        </w:trPr>
        <w:tc>
          <w:tcPr>
            <w:tcW w:w="740" w:type="dxa"/>
            <w:vAlign w:val="bottom"/>
          </w:tcPr>
          <w:p>
            <w:pPr>
              <w:spacing w:after="0"/>
              <w:rPr>
                <w:sz w:val="19"/>
                <w:szCs w:val="19"/>
                <w:color w:val="auto"/>
              </w:rPr>
            </w:pPr>
          </w:p>
        </w:tc>
        <w:tc>
          <w:tcPr>
            <w:tcW w:w="7400" w:type="dxa"/>
            <w:vAlign w:val="bottom"/>
          </w:tcPr>
          <w:p>
            <w:pPr>
              <w:ind w:left="240"/>
              <w:spacing w:after="0"/>
              <w:rPr>
                <w:sz w:val="20"/>
                <w:szCs w:val="20"/>
                <w:color w:val="auto"/>
              </w:rPr>
            </w:pPr>
            <w:r>
              <w:rPr>
                <w:rFonts w:ascii="Arial" w:cs="Arial" w:eastAsia="Arial" w:hAnsi="Arial"/>
                <w:sz w:val="18"/>
                <w:szCs w:val="18"/>
                <w:color w:val="auto"/>
              </w:rPr>
              <w:t>Company’s Current Report on Form 8-K dated December 3, 2004.</w:t>
            </w:r>
          </w:p>
        </w:tc>
      </w:tr>
      <w:tr>
        <w:trPr>
          <w:trHeight w:val="358"/>
        </w:trPr>
        <w:tc>
          <w:tcPr>
            <w:tcW w:w="740" w:type="dxa"/>
            <w:vAlign w:val="bottom"/>
          </w:tcPr>
          <w:p>
            <w:pPr>
              <w:ind w:left="80"/>
              <w:spacing w:after="0"/>
              <w:rPr>
                <w:sz w:val="20"/>
                <w:szCs w:val="20"/>
                <w:color w:val="auto"/>
              </w:rPr>
            </w:pPr>
            <w:r>
              <w:rPr>
                <w:rFonts w:ascii="Arial" w:cs="Arial" w:eastAsia="Arial" w:hAnsi="Arial"/>
                <w:sz w:val="18"/>
                <w:szCs w:val="18"/>
                <w:color w:val="auto"/>
              </w:rPr>
              <w:t>10.17</w:t>
            </w:r>
          </w:p>
        </w:tc>
        <w:tc>
          <w:tcPr>
            <w:tcW w:w="7400" w:type="dxa"/>
            <w:vAlign w:val="bottom"/>
          </w:tcPr>
          <w:p>
            <w:pPr>
              <w:ind w:left="240"/>
              <w:spacing w:after="0"/>
              <w:rPr>
                <w:sz w:val="20"/>
                <w:szCs w:val="20"/>
                <w:color w:val="auto"/>
              </w:rPr>
            </w:pPr>
            <w:r>
              <w:rPr>
                <w:rFonts w:ascii="Arial" w:cs="Arial" w:eastAsia="Arial" w:hAnsi="Arial"/>
                <w:sz w:val="18"/>
                <w:szCs w:val="18"/>
                <w:color w:val="auto"/>
                <w:w w:val="88"/>
              </w:rPr>
              <w:t>Third Supplement to the Master Loan Agreement dated as Of November 30, 2004, between CoBank,</w:t>
            </w:r>
          </w:p>
        </w:tc>
      </w:tr>
      <w:tr>
        <w:trPr>
          <w:trHeight w:val="216"/>
        </w:trPr>
        <w:tc>
          <w:tcPr>
            <w:tcW w:w="740" w:type="dxa"/>
            <w:vAlign w:val="bottom"/>
          </w:tcPr>
          <w:p>
            <w:pPr>
              <w:spacing w:after="0"/>
              <w:rPr>
                <w:sz w:val="18"/>
                <w:szCs w:val="18"/>
                <w:color w:val="auto"/>
              </w:rPr>
            </w:pPr>
          </w:p>
        </w:tc>
        <w:tc>
          <w:tcPr>
            <w:tcW w:w="7400" w:type="dxa"/>
            <w:vAlign w:val="bottom"/>
          </w:tcPr>
          <w:p>
            <w:pPr>
              <w:ind w:left="240"/>
              <w:spacing w:after="0"/>
              <w:rPr>
                <w:sz w:val="20"/>
                <w:szCs w:val="20"/>
                <w:color w:val="auto"/>
              </w:rPr>
            </w:pPr>
            <w:r>
              <w:rPr>
                <w:rFonts w:ascii="Arial" w:cs="Arial" w:eastAsia="Arial" w:hAnsi="Arial"/>
                <w:sz w:val="18"/>
                <w:szCs w:val="18"/>
                <w:color w:val="auto"/>
                <w:w w:val="95"/>
              </w:rPr>
              <w:t>ACB and Shenandoah Telecommunications Company filed as Exhibit 10.17 to the Company’s</w:t>
            </w:r>
          </w:p>
        </w:tc>
      </w:tr>
      <w:tr>
        <w:trPr>
          <w:trHeight w:val="222"/>
        </w:trPr>
        <w:tc>
          <w:tcPr>
            <w:tcW w:w="740" w:type="dxa"/>
            <w:vAlign w:val="bottom"/>
          </w:tcPr>
          <w:p>
            <w:pPr>
              <w:spacing w:after="0"/>
              <w:rPr>
                <w:sz w:val="19"/>
                <w:szCs w:val="19"/>
                <w:color w:val="auto"/>
              </w:rPr>
            </w:pPr>
          </w:p>
        </w:tc>
        <w:tc>
          <w:tcPr>
            <w:tcW w:w="7400" w:type="dxa"/>
            <w:vAlign w:val="bottom"/>
          </w:tcPr>
          <w:p>
            <w:pPr>
              <w:ind w:left="240"/>
              <w:spacing w:after="0"/>
              <w:rPr>
                <w:sz w:val="20"/>
                <w:szCs w:val="20"/>
                <w:color w:val="auto"/>
              </w:rPr>
            </w:pPr>
            <w:r>
              <w:rPr>
                <w:rFonts w:ascii="Arial" w:cs="Arial" w:eastAsia="Arial" w:hAnsi="Arial"/>
                <w:sz w:val="18"/>
                <w:szCs w:val="18"/>
                <w:color w:val="auto"/>
              </w:rPr>
              <w:t>Current Report on Form 8-K dated December 3, 2004.</w:t>
            </w:r>
          </w:p>
        </w:tc>
      </w:tr>
      <w:tr>
        <w:trPr>
          <w:trHeight w:val="215"/>
        </w:trPr>
        <w:tc>
          <w:tcPr>
            <w:tcW w:w="740" w:type="dxa"/>
            <w:vAlign w:val="bottom"/>
          </w:tcPr>
          <w:p>
            <w:pPr>
              <w:spacing w:after="0"/>
              <w:rPr>
                <w:sz w:val="18"/>
                <w:szCs w:val="18"/>
                <w:color w:val="auto"/>
              </w:rPr>
            </w:pPr>
          </w:p>
        </w:tc>
        <w:tc>
          <w:tcPr>
            <w:tcW w:w="7400" w:type="dxa"/>
            <w:vAlign w:val="bottom"/>
          </w:tcPr>
          <w:p>
            <w:pPr>
              <w:spacing w:after="0"/>
              <w:rPr>
                <w:sz w:val="18"/>
                <w:szCs w:val="18"/>
                <w:color w:val="auto"/>
              </w:rPr>
            </w:pPr>
          </w:p>
        </w:tc>
      </w:tr>
      <w:tr>
        <w:trPr>
          <w:trHeight w:val="74"/>
        </w:trPr>
        <w:tc>
          <w:tcPr>
            <w:tcW w:w="740" w:type="dxa"/>
            <w:vAlign w:val="bottom"/>
            <w:shd w:val="clear" w:color="auto" w:fill="808080"/>
          </w:tcPr>
          <w:p>
            <w:pPr>
              <w:spacing w:after="0"/>
              <w:rPr>
                <w:sz w:val="6"/>
                <w:szCs w:val="6"/>
                <w:color w:val="auto"/>
              </w:rPr>
            </w:pPr>
          </w:p>
        </w:tc>
        <w:tc>
          <w:tcPr>
            <w:tcW w:w="7400" w:type="dxa"/>
            <w:vAlign w:val="bottom"/>
            <w:shd w:val="clear" w:color="auto" w:fill="808080"/>
          </w:tcPr>
          <w:p>
            <w:pPr>
              <w:spacing w:after="0"/>
              <w:rPr>
                <w:sz w:val="6"/>
                <w:szCs w:val="6"/>
                <w:color w:val="auto"/>
              </w:rPr>
            </w:pPr>
          </w:p>
        </w:tc>
      </w:tr>
    </w:tbl>
    <w:p>
      <w:pPr>
        <w:sectPr>
          <w:pgSz w:w="11900" w:h="16838" w:orient="portrait"/>
          <w:cols w:equalWidth="0" w:num="1">
            <w:col w:w="10219"/>
          </w:cols>
          <w:pgMar w:left="240" w:top="388" w:right="1440" w:bottom="144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ind w:left="80"/>
              <w:spacing w:after="0"/>
              <w:rPr>
                <w:sz w:val="20"/>
                <w:szCs w:val="20"/>
                <w:color w:val="auto"/>
              </w:rPr>
            </w:pPr>
            <w:r>
              <w:rPr>
                <w:rFonts w:ascii="Arial" w:cs="Arial" w:eastAsia="Arial" w:hAnsi="Arial"/>
                <w:sz w:val="18"/>
                <w:szCs w:val="18"/>
                <w:color w:val="auto"/>
              </w:rPr>
              <w:t>10.18</w:t>
            </w:r>
          </w:p>
        </w:tc>
        <w:tc>
          <w:tcPr>
            <w:tcW w:w="7360" w:type="dxa"/>
            <w:vAlign w:val="bottom"/>
          </w:tcPr>
          <w:p>
            <w:pPr>
              <w:ind w:left="200"/>
              <w:spacing w:after="0"/>
              <w:rPr>
                <w:sz w:val="20"/>
                <w:szCs w:val="20"/>
                <w:color w:val="auto"/>
              </w:rPr>
            </w:pPr>
            <w:r>
              <w:rPr>
                <w:rFonts w:ascii="Arial" w:cs="Arial" w:eastAsia="Arial" w:hAnsi="Arial"/>
                <w:sz w:val="18"/>
                <w:szCs w:val="18"/>
                <w:color w:val="auto"/>
                <w:w w:val="89"/>
              </w:rPr>
              <w:t>Second Amendment to the Term Supplement to the Master Loan Agreement dated as Of November</w:t>
            </w:r>
          </w:p>
        </w:tc>
      </w:tr>
      <w:tr>
        <w:trPr>
          <w:trHeight w:val="216"/>
        </w:trPr>
        <w:tc>
          <w:tcPr>
            <w:tcW w:w="78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w w:val="91"/>
              </w:rPr>
              <w:t>30, 2004, between CoBank, ACB and Shenandoah Telecommunications Company filed as Exhibit</w:t>
            </w:r>
          </w:p>
        </w:tc>
      </w:tr>
      <w:tr>
        <w:trPr>
          <w:trHeight w:val="222"/>
        </w:trPr>
        <w:tc>
          <w:tcPr>
            <w:tcW w:w="780" w:type="dxa"/>
            <w:vAlign w:val="bottom"/>
          </w:tcPr>
          <w:p>
            <w:pPr>
              <w:spacing w:after="0"/>
              <w:rPr>
                <w:sz w:val="19"/>
                <w:szCs w:val="19"/>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10.18 to the Company’s Current Report on Form 8-K dated December 3, 2004.</w:t>
            </w:r>
          </w:p>
        </w:tc>
      </w:tr>
      <w:tr>
        <w:trPr>
          <w:trHeight w:val="358"/>
        </w:trPr>
        <w:tc>
          <w:tcPr>
            <w:tcW w:w="780" w:type="dxa"/>
            <w:vAlign w:val="bottom"/>
          </w:tcPr>
          <w:p>
            <w:pPr>
              <w:ind w:left="80"/>
              <w:spacing w:after="0"/>
              <w:rPr>
                <w:sz w:val="20"/>
                <w:szCs w:val="20"/>
                <w:color w:val="auto"/>
              </w:rPr>
            </w:pPr>
            <w:r>
              <w:rPr>
                <w:rFonts w:ascii="Arial" w:cs="Arial" w:eastAsia="Arial" w:hAnsi="Arial"/>
                <w:sz w:val="18"/>
                <w:szCs w:val="18"/>
                <w:color w:val="auto"/>
              </w:rPr>
              <w:t>10.19</w:t>
            </w:r>
          </w:p>
        </w:tc>
        <w:tc>
          <w:tcPr>
            <w:tcW w:w="7360" w:type="dxa"/>
            <w:vAlign w:val="bottom"/>
          </w:tcPr>
          <w:p>
            <w:pPr>
              <w:ind w:left="200"/>
              <w:spacing w:after="0"/>
              <w:rPr>
                <w:sz w:val="20"/>
                <w:szCs w:val="20"/>
                <w:color w:val="auto"/>
              </w:rPr>
            </w:pPr>
            <w:r>
              <w:rPr>
                <w:rFonts w:ascii="Arial" w:cs="Arial" w:eastAsia="Arial" w:hAnsi="Arial"/>
                <w:sz w:val="18"/>
                <w:szCs w:val="18"/>
                <w:color w:val="auto"/>
              </w:rPr>
              <w:t>Pledge Agreement dated November 30, 2004 between CoBank, ACB and Shenandoah</w:t>
            </w:r>
          </w:p>
        </w:tc>
      </w:tr>
      <w:tr>
        <w:trPr>
          <w:trHeight w:val="216"/>
        </w:trPr>
        <w:tc>
          <w:tcPr>
            <w:tcW w:w="78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w w:val="90"/>
              </w:rPr>
              <w:t>Telecommunications Company filed as Exhibit 10.19 to the Company’s Current Report on Form 8-K</w:t>
            </w:r>
          </w:p>
        </w:tc>
      </w:tr>
      <w:tr>
        <w:trPr>
          <w:trHeight w:val="222"/>
        </w:trPr>
        <w:tc>
          <w:tcPr>
            <w:tcW w:w="780" w:type="dxa"/>
            <w:vAlign w:val="bottom"/>
          </w:tcPr>
          <w:p>
            <w:pPr>
              <w:spacing w:after="0"/>
              <w:rPr>
                <w:sz w:val="19"/>
                <w:szCs w:val="19"/>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dated December 3, 2004.</w:t>
            </w:r>
          </w:p>
        </w:tc>
      </w:tr>
      <w:tr>
        <w:trPr>
          <w:trHeight w:val="358"/>
        </w:trPr>
        <w:tc>
          <w:tcPr>
            <w:tcW w:w="780" w:type="dxa"/>
            <w:vAlign w:val="bottom"/>
          </w:tcPr>
          <w:p>
            <w:pPr>
              <w:ind w:left="80"/>
              <w:spacing w:after="0"/>
              <w:rPr>
                <w:sz w:val="20"/>
                <w:szCs w:val="20"/>
                <w:color w:val="auto"/>
              </w:rPr>
            </w:pPr>
            <w:r>
              <w:rPr>
                <w:rFonts w:ascii="Arial" w:cs="Arial" w:eastAsia="Arial" w:hAnsi="Arial"/>
                <w:sz w:val="18"/>
                <w:szCs w:val="18"/>
                <w:color w:val="auto"/>
              </w:rPr>
              <w:t>10.20</w:t>
            </w:r>
          </w:p>
        </w:tc>
        <w:tc>
          <w:tcPr>
            <w:tcW w:w="7360" w:type="dxa"/>
            <w:vAlign w:val="bottom"/>
          </w:tcPr>
          <w:p>
            <w:pPr>
              <w:ind w:left="200"/>
              <w:spacing w:after="0"/>
              <w:rPr>
                <w:sz w:val="20"/>
                <w:szCs w:val="20"/>
                <w:color w:val="auto"/>
              </w:rPr>
            </w:pPr>
            <w:r>
              <w:rPr>
                <w:rFonts w:ascii="Arial" w:cs="Arial" w:eastAsia="Arial" w:hAnsi="Arial"/>
                <w:sz w:val="18"/>
                <w:szCs w:val="18"/>
                <w:color w:val="auto"/>
                <w:w w:val="94"/>
              </w:rPr>
              <w:t>Membership Interest Pledge Agreement dated November 30, 2004 between CoBank, ACB and</w:t>
            </w:r>
          </w:p>
        </w:tc>
      </w:tr>
      <w:tr>
        <w:trPr>
          <w:trHeight w:val="216"/>
        </w:trPr>
        <w:tc>
          <w:tcPr>
            <w:tcW w:w="78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w w:val="89"/>
              </w:rPr>
              <w:t>Shenandoah Telecommunications Company filed as Exhibit 10.20 to the Company’s Current Report</w:t>
            </w:r>
          </w:p>
        </w:tc>
      </w:tr>
      <w:tr>
        <w:trPr>
          <w:trHeight w:val="222"/>
        </w:trPr>
        <w:tc>
          <w:tcPr>
            <w:tcW w:w="780" w:type="dxa"/>
            <w:vAlign w:val="bottom"/>
          </w:tcPr>
          <w:p>
            <w:pPr>
              <w:spacing w:after="0"/>
              <w:rPr>
                <w:sz w:val="19"/>
                <w:szCs w:val="19"/>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on Form 8-K dated December 3, 2004.</w:t>
            </w:r>
          </w:p>
        </w:tc>
      </w:tr>
      <w:tr>
        <w:trPr>
          <w:trHeight w:val="358"/>
        </w:trPr>
        <w:tc>
          <w:tcPr>
            <w:tcW w:w="780" w:type="dxa"/>
            <w:vAlign w:val="bottom"/>
          </w:tcPr>
          <w:p>
            <w:pPr>
              <w:ind w:left="80"/>
              <w:spacing w:after="0"/>
              <w:rPr>
                <w:sz w:val="20"/>
                <w:szCs w:val="20"/>
                <w:color w:val="auto"/>
              </w:rPr>
            </w:pPr>
            <w:r>
              <w:rPr>
                <w:rFonts w:ascii="Arial" w:cs="Arial" w:eastAsia="Arial" w:hAnsi="Arial"/>
                <w:sz w:val="18"/>
                <w:szCs w:val="18"/>
                <w:color w:val="auto"/>
              </w:rPr>
              <w:t>10.21</w:t>
            </w:r>
          </w:p>
        </w:tc>
        <w:tc>
          <w:tcPr>
            <w:tcW w:w="7360" w:type="dxa"/>
            <w:vAlign w:val="bottom"/>
          </w:tcPr>
          <w:p>
            <w:pPr>
              <w:ind w:left="200"/>
              <w:spacing w:after="0"/>
              <w:rPr>
                <w:sz w:val="20"/>
                <w:szCs w:val="20"/>
                <w:color w:val="auto"/>
              </w:rPr>
            </w:pPr>
            <w:r>
              <w:rPr>
                <w:rFonts w:ascii="Arial" w:cs="Arial" w:eastAsia="Arial" w:hAnsi="Arial"/>
                <w:sz w:val="18"/>
                <w:szCs w:val="18"/>
                <w:color w:val="auto"/>
                <w:w w:val="94"/>
              </w:rPr>
              <w:t>Membership Interest Pledge Agreement dated November 30, 2004 between CoBank, ACB and</w:t>
            </w:r>
          </w:p>
        </w:tc>
      </w:tr>
      <w:tr>
        <w:trPr>
          <w:trHeight w:val="216"/>
        </w:trPr>
        <w:tc>
          <w:tcPr>
            <w:tcW w:w="78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w w:val="89"/>
              </w:rPr>
              <w:t>Shentel Converged Services, Inc. filed as Exhibit 10.21 to the Company’s Current Report on Form 8-</w:t>
            </w:r>
          </w:p>
        </w:tc>
      </w:tr>
      <w:tr>
        <w:trPr>
          <w:trHeight w:val="222"/>
        </w:trPr>
        <w:tc>
          <w:tcPr>
            <w:tcW w:w="780" w:type="dxa"/>
            <w:vAlign w:val="bottom"/>
          </w:tcPr>
          <w:p>
            <w:pPr>
              <w:spacing w:after="0"/>
              <w:rPr>
                <w:sz w:val="19"/>
                <w:szCs w:val="19"/>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K dated December 3, 2004.</w:t>
            </w:r>
          </w:p>
        </w:tc>
      </w:tr>
      <w:tr>
        <w:trPr>
          <w:trHeight w:val="358"/>
        </w:trPr>
        <w:tc>
          <w:tcPr>
            <w:tcW w:w="780" w:type="dxa"/>
            <w:vAlign w:val="bottom"/>
          </w:tcPr>
          <w:p>
            <w:pPr>
              <w:ind w:left="80"/>
              <w:spacing w:after="0"/>
              <w:rPr>
                <w:sz w:val="20"/>
                <w:szCs w:val="20"/>
                <w:color w:val="auto"/>
              </w:rPr>
            </w:pPr>
            <w:r>
              <w:rPr>
                <w:rFonts w:ascii="Arial" w:cs="Arial" w:eastAsia="Arial" w:hAnsi="Arial"/>
                <w:sz w:val="18"/>
                <w:szCs w:val="18"/>
                <w:color w:val="auto"/>
              </w:rPr>
              <w:t>10.22</w:t>
            </w:r>
          </w:p>
        </w:tc>
        <w:tc>
          <w:tcPr>
            <w:tcW w:w="7360" w:type="dxa"/>
            <w:vAlign w:val="bottom"/>
          </w:tcPr>
          <w:p>
            <w:pPr>
              <w:ind w:left="200"/>
              <w:spacing w:after="0"/>
              <w:rPr>
                <w:sz w:val="20"/>
                <w:szCs w:val="20"/>
                <w:color w:val="auto"/>
              </w:rPr>
            </w:pPr>
            <w:r>
              <w:rPr>
                <w:rFonts w:ascii="Arial" w:cs="Arial" w:eastAsia="Arial" w:hAnsi="Arial"/>
                <w:sz w:val="18"/>
                <w:szCs w:val="18"/>
                <w:color w:val="auto"/>
                <w:w w:val="88"/>
              </w:rPr>
              <w:t>Interest Purchase Agreement dated November 30, 2004 by and among Shentel Converged Services,</w:t>
            </w:r>
          </w:p>
        </w:tc>
      </w:tr>
      <w:tr>
        <w:trPr>
          <w:trHeight w:val="216"/>
        </w:trPr>
        <w:tc>
          <w:tcPr>
            <w:tcW w:w="78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w w:val="90"/>
              </w:rPr>
              <w:t>Inc., NTC Communications LLC and the Interest holders named therein filed as Exhibit 10.22 to the</w:t>
            </w:r>
          </w:p>
        </w:tc>
      </w:tr>
      <w:tr>
        <w:trPr>
          <w:trHeight w:val="222"/>
        </w:trPr>
        <w:tc>
          <w:tcPr>
            <w:tcW w:w="780" w:type="dxa"/>
            <w:vAlign w:val="bottom"/>
          </w:tcPr>
          <w:p>
            <w:pPr>
              <w:spacing w:after="0"/>
              <w:rPr>
                <w:sz w:val="19"/>
                <w:szCs w:val="19"/>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Company’s Current Report on Form 8-K dated January 21, 2005.</w:t>
            </w:r>
          </w:p>
        </w:tc>
      </w:tr>
      <w:tr>
        <w:trPr>
          <w:trHeight w:val="358"/>
        </w:trPr>
        <w:tc>
          <w:tcPr>
            <w:tcW w:w="780" w:type="dxa"/>
            <w:vAlign w:val="bottom"/>
          </w:tcPr>
          <w:p>
            <w:pPr>
              <w:ind w:left="80"/>
              <w:spacing w:after="0"/>
              <w:rPr>
                <w:sz w:val="20"/>
                <w:szCs w:val="20"/>
                <w:color w:val="auto"/>
              </w:rPr>
            </w:pPr>
            <w:r>
              <w:rPr>
                <w:rFonts w:ascii="Arial" w:cs="Arial" w:eastAsia="Arial" w:hAnsi="Arial"/>
                <w:sz w:val="18"/>
                <w:szCs w:val="18"/>
                <w:color w:val="auto"/>
              </w:rPr>
              <w:t>10.23</w:t>
            </w:r>
          </w:p>
        </w:tc>
        <w:tc>
          <w:tcPr>
            <w:tcW w:w="7360" w:type="dxa"/>
            <w:vAlign w:val="bottom"/>
          </w:tcPr>
          <w:p>
            <w:pPr>
              <w:ind w:left="200"/>
              <w:spacing w:after="0"/>
              <w:rPr>
                <w:sz w:val="20"/>
                <w:szCs w:val="20"/>
                <w:color w:val="auto"/>
              </w:rPr>
            </w:pPr>
            <w:r>
              <w:rPr>
                <w:rFonts w:ascii="Arial" w:cs="Arial" w:eastAsia="Arial" w:hAnsi="Arial"/>
                <w:sz w:val="18"/>
                <w:szCs w:val="18"/>
                <w:color w:val="auto"/>
                <w:w w:val="96"/>
              </w:rPr>
              <w:t>Form of Incentive Stock Option Agreement under the 1996 Shenandoah Telecommunications</w:t>
            </w:r>
          </w:p>
        </w:tc>
      </w:tr>
      <w:tr>
        <w:trPr>
          <w:trHeight w:val="216"/>
        </w:trPr>
        <w:tc>
          <w:tcPr>
            <w:tcW w:w="78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w w:val="91"/>
              </w:rPr>
              <w:t>Company Stock Incentive Plan (for routine formula grants) filed as Exhibit 10.23 to the Company’s</w:t>
            </w:r>
          </w:p>
        </w:tc>
      </w:tr>
      <w:tr>
        <w:trPr>
          <w:trHeight w:val="222"/>
        </w:trPr>
        <w:tc>
          <w:tcPr>
            <w:tcW w:w="780" w:type="dxa"/>
            <w:vAlign w:val="bottom"/>
          </w:tcPr>
          <w:p>
            <w:pPr>
              <w:spacing w:after="0"/>
              <w:rPr>
                <w:sz w:val="19"/>
                <w:szCs w:val="19"/>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Current Report on Form 8-K dated January 21, 2005.</w:t>
            </w:r>
          </w:p>
        </w:tc>
      </w:tr>
      <w:tr>
        <w:trPr>
          <w:trHeight w:val="358"/>
        </w:trPr>
        <w:tc>
          <w:tcPr>
            <w:tcW w:w="780" w:type="dxa"/>
            <w:vAlign w:val="bottom"/>
          </w:tcPr>
          <w:p>
            <w:pPr>
              <w:ind w:left="80"/>
              <w:spacing w:after="0"/>
              <w:rPr>
                <w:sz w:val="20"/>
                <w:szCs w:val="20"/>
                <w:color w:val="auto"/>
              </w:rPr>
            </w:pPr>
            <w:r>
              <w:rPr>
                <w:rFonts w:ascii="Arial" w:cs="Arial" w:eastAsia="Arial" w:hAnsi="Arial"/>
                <w:sz w:val="18"/>
                <w:szCs w:val="18"/>
                <w:color w:val="auto"/>
              </w:rPr>
              <w:t>10.24</w:t>
            </w:r>
          </w:p>
        </w:tc>
        <w:tc>
          <w:tcPr>
            <w:tcW w:w="7360" w:type="dxa"/>
            <w:vAlign w:val="bottom"/>
          </w:tcPr>
          <w:p>
            <w:pPr>
              <w:ind w:left="200"/>
              <w:spacing w:after="0"/>
              <w:rPr>
                <w:sz w:val="20"/>
                <w:szCs w:val="20"/>
                <w:color w:val="auto"/>
              </w:rPr>
            </w:pPr>
            <w:r>
              <w:rPr>
                <w:rFonts w:ascii="Arial" w:cs="Arial" w:eastAsia="Arial" w:hAnsi="Arial"/>
                <w:sz w:val="18"/>
                <w:szCs w:val="18"/>
                <w:color w:val="auto"/>
                <w:w w:val="94"/>
              </w:rPr>
              <w:t>Forms of Incentive Stock Option Agreement under the 1996 Shenandoah Telecommunications</w:t>
            </w:r>
          </w:p>
        </w:tc>
      </w:tr>
      <w:tr>
        <w:trPr>
          <w:trHeight w:val="216"/>
        </w:trPr>
        <w:tc>
          <w:tcPr>
            <w:tcW w:w="78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w w:val="92"/>
              </w:rPr>
              <w:t>Company Stock Incentive Plan (for newly hired executive employees) filed as Exhibit 10.24 to the</w:t>
            </w:r>
          </w:p>
        </w:tc>
      </w:tr>
      <w:tr>
        <w:trPr>
          <w:trHeight w:val="222"/>
        </w:trPr>
        <w:tc>
          <w:tcPr>
            <w:tcW w:w="780" w:type="dxa"/>
            <w:vAlign w:val="bottom"/>
          </w:tcPr>
          <w:p>
            <w:pPr>
              <w:spacing w:after="0"/>
              <w:rPr>
                <w:sz w:val="19"/>
                <w:szCs w:val="19"/>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Company’s Current Report on Form 8-K dated January 21, 2005.</w:t>
            </w:r>
          </w:p>
        </w:tc>
      </w:tr>
      <w:tr>
        <w:trPr>
          <w:trHeight w:val="358"/>
        </w:trPr>
        <w:tc>
          <w:tcPr>
            <w:tcW w:w="780" w:type="dxa"/>
            <w:vAlign w:val="bottom"/>
          </w:tcPr>
          <w:p>
            <w:pPr>
              <w:ind w:left="80"/>
              <w:spacing w:after="0"/>
              <w:rPr>
                <w:sz w:val="20"/>
                <w:szCs w:val="20"/>
                <w:color w:val="auto"/>
              </w:rPr>
            </w:pPr>
            <w:r>
              <w:rPr>
                <w:rFonts w:ascii="Arial" w:cs="Arial" w:eastAsia="Arial" w:hAnsi="Arial"/>
                <w:sz w:val="18"/>
                <w:szCs w:val="18"/>
                <w:color w:val="auto"/>
              </w:rPr>
              <w:t>10.25</w:t>
            </w:r>
          </w:p>
        </w:tc>
        <w:tc>
          <w:tcPr>
            <w:tcW w:w="7360" w:type="dxa"/>
            <w:vAlign w:val="bottom"/>
          </w:tcPr>
          <w:p>
            <w:pPr>
              <w:ind w:left="200"/>
              <w:spacing w:after="0"/>
              <w:rPr>
                <w:sz w:val="20"/>
                <w:szCs w:val="20"/>
                <w:color w:val="auto"/>
              </w:rPr>
            </w:pPr>
            <w:r>
              <w:rPr>
                <w:rFonts w:ascii="Arial" w:cs="Arial" w:eastAsia="Arial" w:hAnsi="Arial"/>
                <w:sz w:val="18"/>
                <w:szCs w:val="18"/>
                <w:color w:val="auto"/>
                <w:w w:val="90"/>
              </w:rPr>
              <w:t>Description of the Shenandoah Telecommunications Company Incentive Plan filed as Exhibit 10.25</w:t>
            </w:r>
          </w:p>
        </w:tc>
      </w:tr>
      <w:tr>
        <w:trPr>
          <w:trHeight w:val="222"/>
        </w:trPr>
        <w:tc>
          <w:tcPr>
            <w:tcW w:w="780" w:type="dxa"/>
            <w:vAlign w:val="bottom"/>
          </w:tcPr>
          <w:p>
            <w:pPr>
              <w:spacing w:after="0"/>
              <w:rPr>
                <w:sz w:val="19"/>
                <w:szCs w:val="19"/>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to the Company’s Current Report on Form 8-K dated January 21, 2005.</w:t>
            </w:r>
          </w:p>
        </w:tc>
      </w:tr>
      <w:tr>
        <w:trPr>
          <w:trHeight w:val="358"/>
        </w:trPr>
        <w:tc>
          <w:tcPr>
            <w:tcW w:w="780" w:type="dxa"/>
            <w:vAlign w:val="bottom"/>
          </w:tcPr>
          <w:p>
            <w:pPr>
              <w:ind w:left="80"/>
              <w:spacing w:after="0"/>
              <w:rPr>
                <w:sz w:val="20"/>
                <w:szCs w:val="20"/>
                <w:color w:val="auto"/>
              </w:rPr>
            </w:pPr>
            <w:r>
              <w:rPr>
                <w:rFonts w:ascii="Arial" w:cs="Arial" w:eastAsia="Arial" w:hAnsi="Arial"/>
                <w:sz w:val="18"/>
                <w:szCs w:val="18"/>
                <w:color w:val="auto"/>
              </w:rPr>
              <w:t>10.26</w:t>
            </w:r>
          </w:p>
        </w:tc>
        <w:tc>
          <w:tcPr>
            <w:tcW w:w="7360" w:type="dxa"/>
            <w:vAlign w:val="bottom"/>
          </w:tcPr>
          <w:p>
            <w:pPr>
              <w:ind w:left="200"/>
              <w:spacing w:after="0"/>
              <w:rPr>
                <w:sz w:val="20"/>
                <w:szCs w:val="20"/>
                <w:color w:val="auto"/>
              </w:rPr>
            </w:pPr>
            <w:r>
              <w:rPr>
                <w:rFonts w:ascii="Arial" w:cs="Arial" w:eastAsia="Arial" w:hAnsi="Arial"/>
                <w:sz w:val="18"/>
                <w:szCs w:val="18"/>
                <w:color w:val="auto"/>
                <w:w w:val="91"/>
              </w:rPr>
              <w:t>Description of Compensation of Non-Employee Directors. Filed as exhibit 10.29 to the Company’s</w:t>
            </w:r>
          </w:p>
        </w:tc>
      </w:tr>
      <w:tr>
        <w:trPr>
          <w:trHeight w:val="222"/>
        </w:trPr>
        <w:tc>
          <w:tcPr>
            <w:tcW w:w="780" w:type="dxa"/>
            <w:vAlign w:val="bottom"/>
          </w:tcPr>
          <w:p>
            <w:pPr>
              <w:spacing w:after="0"/>
              <w:rPr>
                <w:sz w:val="19"/>
                <w:szCs w:val="19"/>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current report on Form 8-K dated May 4, 2005.</w:t>
            </w:r>
          </w:p>
        </w:tc>
      </w:tr>
      <w:tr>
        <w:trPr>
          <w:trHeight w:val="358"/>
        </w:trPr>
        <w:tc>
          <w:tcPr>
            <w:tcW w:w="780" w:type="dxa"/>
            <w:vAlign w:val="bottom"/>
          </w:tcPr>
          <w:p>
            <w:pPr>
              <w:ind w:left="80"/>
              <w:spacing w:after="0"/>
              <w:rPr>
                <w:sz w:val="20"/>
                <w:szCs w:val="20"/>
                <w:color w:val="auto"/>
              </w:rPr>
            </w:pPr>
            <w:r>
              <w:rPr>
                <w:rFonts w:ascii="Arial" w:cs="Arial" w:eastAsia="Arial" w:hAnsi="Arial"/>
                <w:sz w:val="18"/>
                <w:szCs w:val="18"/>
                <w:color w:val="auto"/>
              </w:rPr>
              <w:t>10.27</w:t>
            </w:r>
          </w:p>
        </w:tc>
        <w:tc>
          <w:tcPr>
            <w:tcW w:w="7360" w:type="dxa"/>
            <w:vAlign w:val="bottom"/>
          </w:tcPr>
          <w:p>
            <w:pPr>
              <w:ind w:left="200"/>
              <w:spacing w:after="0"/>
              <w:rPr>
                <w:sz w:val="20"/>
                <w:szCs w:val="20"/>
                <w:color w:val="auto"/>
              </w:rPr>
            </w:pPr>
            <w:r>
              <w:rPr>
                <w:rFonts w:ascii="Arial" w:cs="Arial" w:eastAsia="Arial" w:hAnsi="Arial"/>
                <w:sz w:val="18"/>
                <w:szCs w:val="18"/>
                <w:color w:val="auto"/>
                <w:w w:val="92"/>
              </w:rPr>
              <w:t>Description of Management Compensatory Plans and Arrangements. Filed as exhibit 10.27 to the</w:t>
            </w:r>
          </w:p>
        </w:tc>
      </w:tr>
      <w:tr>
        <w:trPr>
          <w:trHeight w:val="222"/>
        </w:trPr>
        <w:tc>
          <w:tcPr>
            <w:tcW w:w="780" w:type="dxa"/>
            <w:vAlign w:val="bottom"/>
          </w:tcPr>
          <w:p>
            <w:pPr>
              <w:spacing w:after="0"/>
              <w:rPr>
                <w:sz w:val="19"/>
                <w:szCs w:val="19"/>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Company’s current report on Form 8-K dated April 20, 2005.</w:t>
            </w:r>
          </w:p>
        </w:tc>
      </w:tr>
      <w:tr>
        <w:trPr>
          <w:trHeight w:val="358"/>
        </w:trPr>
        <w:tc>
          <w:tcPr>
            <w:tcW w:w="780" w:type="dxa"/>
            <w:vAlign w:val="bottom"/>
          </w:tcPr>
          <w:p>
            <w:pPr>
              <w:ind w:left="80"/>
              <w:spacing w:after="0"/>
              <w:rPr>
                <w:sz w:val="20"/>
                <w:szCs w:val="20"/>
                <w:color w:val="auto"/>
              </w:rPr>
            </w:pPr>
            <w:r>
              <w:rPr>
                <w:rFonts w:ascii="Arial" w:cs="Arial" w:eastAsia="Arial" w:hAnsi="Arial"/>
                <w:sz w:val="18"/>
                <w:szCs w:val="18"/>
                <w:color w:val="auto"/>
              </w:rPr>
              <w:t>10.28</w:t>
            </w:r>
          </w:p>
        </w:tc>
        <w:tc>
          <w:tcPr>
            <w:tcW w:w="7360" w:type="dxa"/>
            <w:vAlign w:val="bottom"/>
          </w:tcPr>
          <w:p>
            <w:pPr>
              <w:ind w:left="200"/>
              <w:spacing w:after="0"/>
              <w:rPr>
                <w:sz w:val="20"/>
                <w:szCs w:val="20"/>
                <w:color w:val="auto"/>
              </w:rPr>
            </w:pPr>
            <w:r>
              <w:rPr>
                <w:rFonts w:ascii="Arial" w:cs="Arial" w:eastAsia="Arial" w:hAnsi="Arial"/>
                <w:sz w:val="18"/>
                <w:szCs w:val="18"/>
                <w:color w:val="auto"/>
                <w:w w:val="89"/>
              </w:rPr>
              <w:t>2005 Stock Incentive Plan filed as exhibit 10.1 to the Company’s Registration Statement on Form S-</w:t>
            </w:r>
          </w:p>
        </w:tc>
      </w:tr>
      <w:tr>
        <w:trPr>
          <w:trHeight w:val="222"/>
        </w:trPr>
        <w:tc>
          <w:tcPr>
            <w:tcW w:w="780" w:type="dxa"/>
            <w:vAlign w:val="bottom"/>
          </w:tcPr>
          <w:p>
            <w:pPr>
              <w:spacing w:after="0"/>
              <w:rPr>
                <w:sz w:val="19"/>
                <w:szCs w:val="19"/>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8 (No. 333-127342).</w:t>
            </w:r>
          </w:p>
        </w:tc>
      </w:tr>
      <w:tr>
        <w:trPr>
          <w:trHeight w:val="365"/>
        </w:trPr>
        <w:tc>
          <w:tcPr>
            <w:tcW w:w="780" w:type="dxa"/>
            <w:vAlign w:val="bottom"/>
          </w:tcPr>
          <w:p>
            <w:pPr>
              <w:ind w:left="80"/>
              <w:spacing w:after="0"/>
              <w:rPr>
                <w:sz w:val="20"/>
                <w:szCs w:val="20"/>
                <w:color w:val="auto"/>
              </w:rPr>
            </w:pPr>
            <w:r>
              <w:rPr>
                <w:rFonts w:ascii="Arial" w:cs="Arial" w:eastAsia="Arial" w:hAnsi="Arial"/>
                <w:sz w:val="18"/>
                <w:szCs w:val="18"/>
                <w:color w:val="auto"/>
              </w:rPr>
              <w:t>*10.29</w:t>
            </w:r>
          </w:p>
        </w:tc>
        <w:tc>
          <w:tcPr>
            <w:tcW w:w="7360" w:type="dxa"/>
            <w:vAlign w:val="bottom"/>
          </w:tcPr>
          <w:p>
            <w:pPr>
              <w:ind w:left="200"/>
              <w:spacing w:after="0"/>
              <w:rPr>
                <w:sz w:val="20"/>
                <w:szCs w:val="20"/>
                <w:color w:val="auto"/>
              </w:rPr>
            </w:pPr>
            <w:r>
              <w:rPr>
                <w:rFonts w:ascii="Arial" w:cs="Arial" w:eastAsia="Arial" w:hAnsi="Arial"/>
                <w:sz w:val="18"/>
                <w:szCs w:val="18"/>
                <w:color w:val="auto"/>
              </w:rPr>
              <w:t>Form of Incentive Stock Option Agreement under the 2005 Stock Incentive Plan</w:t>
            </w:r>
          </w:p>
        </w:tc>
      </w:tr>
      <w:tr>
        <w:trPr>
          <w:trHeight w:val="358"/>
        </w:trPr>
        <w:tc>
          <w:tcPr>
            <w:tcW w:w="780" w:type="dxa"/>
            <w:vAlign w:val="bottom"/>
          </w:tcPr>
          <w:p>
            <w:pPr>
              <w:ind w:left="80"/>
              <w:spacing w:after="0"/>
              <w:rPr>
                <w:sz w:val="20"/>
                <w:szCs w:val="20"/>
                <w:color w:val="auto"/>
              </w:rPr>
            </w:pPr>
            <w:r>
              <w:rPr>
                <w:rFonts w:ascii="Arial" w:cs="Arial" w:eastAsia="Arial" w:hAnsi="Arial"/>
                <w:sz w:val="18"/>
                <w:szCs w:val="18"/>
                <w:color w:val="auto"/>
              </w:rPr>
              <w:t>*10.30</w:t>
            </w:r>
          </w:p>
        </w:tc>
        <w:tc>
          <w:tcPr>
            <w:tcW w:w="7360" w:type="dxa"/>
            <w:vAlign w:val="bottom"/>
          </w:tcPr>
          <w:p>
            <w:pPr>
              <w:ind w:left="200"/>
              <w:spacing w:after="0"/>
              <w:rPr>
                <w:sz w:val="20"/>
                <w:szCs w:val="20"/>
                <w:color w:val="auto"/>
              </w:rPr>
            </w:pPr>
            <w:r>
              <w:rPr>
                <w:rFonts w:ascii="Arial" w:cs="Arial" w:eastAsia="Arial" w:hAnsi="Arial"/>
                <w:sz w:val="18"/>
                <w:szCs w:val="18"/>
                <w:color w:val="auto"/>
                <w:w w:val="94"/>
              </w:rPr>
              <w:t>Stock Redemption Agreement dated as of November 10, 2005 among Shenandoah Telephone</w:t>
            </w:r>
          </w:p>
        </w:tc>
      </w:tr>
      <w:tr>
        <w:trPr>
          <w:trHeight w:val="222"/>
        </w:trPr>
        <w:tc>
          <w:tcPr>
            <w:tcW w:w="780" w:type="dxa"/>
            <w:vAlign w:val="bottom"/>
          </w:tcPr>
          <w:p>
            <w:pPr>
              <w:spacing w:after="0"/>
              <w:rPr>
                <w:sz w:val="19"/>
                <w:szCs w:val="19"/>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Company and The Rural Telephone Bank.</w:t>
            </w:r>
          </w:p>
        </w:tc>
      </w:tr>
      <w:tr>
        <w:trPr>
          <w:trHeight w:val="365"/>
        </w:trPr>
        <w:tc>
          <w:tcPr>
            <w:tcW w:w="780" w:type="dxa"/>
            <w:vAlign w:val="bottom"/>
          </w:tcPr>
          <w:p>
            <w:pPr>
              <w:ind w:left="80"/>
              <w:spacing w:after="0"/>
              <w:rPr>
                <w:sz w:val="20"/>
                <w:szCs w:val="20"/>
                <w:color w:val="auto"/>
              </w:rPr>
            </w:pPr>
            <w:r>
              <w:rPr>
                <w:rFonts w:ascii="Arial" w:cs="Arial" w:eastAsia="Arial" w:hAnsi="Arial"/>
                <w:sz w:val="18"/>
                <w:szCs w:val="18"/>
                <w:color w:val="auto"/>
              </w:rPr>
              <w:t>*21</w:t>
            </w:r>
          </w:p>
        </w:tc>
        <w:tc>
          <w:tcPr>
            <w:tcW w:w="7360" w:type="dxa"/>
            <w:vAlign w:val="bottom"/>
          </w:tcPr>
          <w:p>
            <w:pPr>
              <w:ind w:left="200"/>
              <w:spacing w:after="0"/>
              <w:rPr>
                <w:sz w:val="20"/>
                <w:szCs w:val="20"/>
                <w:color w:val="auto"/>
              </w:rPr>
            </w:pPr>
            <w:r>
              <w:rPr>
                <w:rFonts w:ascii="Arial" w:cs="Arial" w:eastAsia="Arial" w:hAnsi="Arial"/>
                <w:sz w:val="18"/>
                <w:szCs w:val="18"/>
                <w:color w:val="auto"/>
              </w:rPr>
              <w:t>List of Subsidiaries.</w:t>
            </w:r>
          </w:p>
        </w:tc>
      </w:tr>
      <w:tr>
        <w:trPr>
          <w:trHeight w:val="365"/>
        </w:trPr>
        <w:tc>
          <w:tcPr>
            <w:tcW w:w="780" w:type="dxa"/>
            <w:vAlign w:val="bottom"/>
          </w:tcPr>
          <w:p>
            <w:pPr>
              <w:ind w:left="80"/>
              <w:spacing w:after="0"/>
              <w:rPr>
                <w:sz w:val="20"/>
                <w:szCs w:val="20"/>
                <w:color w:val="auto"/>
              </w:rPr>
            </w:pPr>
            <w:r>
              <w:rPr>
                <w:rFonts w:ascii="Arial" w:cs="Arial" w:eastAsia="Arial" w:hAnsi="Arial"/>
                <w:sz w:val="18"/>
                <w:szCs w:val="18"/>
                <w:color w:val="auto"/>
              </w:rPr>
              <w:t>*23.1</w:t>
            </w:r>
          </w:p>
        </w:tc>
        <w:tc>
          <w:tcPr>
            <w:tcW w:w="7360" w:type="dxa"/>
            <w:vAlign w:val="bottom"/>
          </w:tcPr>
          <w:p>
            <w:pPr>
              <w:ind w:left="200"/>
              <w:spacing w:after="0"/>
              <w:rPr>
                <w:sz w:val="20"/>
                <w:szCs w:val="20"/>
                <w:color w:val="auto"/>
              </w:rPr>
            </w:pPr>
            <w:r>
              <w:rPr>
                <w:rFonts w:ascii="Arial" w:cs="Arial" w:eastAsia="Arial" w:hAnsi="Arial"/>
                <w:sz w:val="18"/>
                <w:szCs w:val="18"/>
                <w:color w:val="auto"/>
              </w:rPr>
              <w:t>Consent of KPMG LLP, Independent Registered Public Accounting Firm.</w:t>
            </w:r>
          </w:p>
        </w:tc>
      </w:tr>
      <w:tr>
        <w:trPr>
          <w:trHeight w:val="358"/>
        </w:trPr>
        <w:tc>
          <w:tcPr>
            <w:tcW w:w="780" w:type="dxa"/>
            <w:vAlign w:val="bottom"/>
          </w:tcPr>
          <w:p>
            <w:pPr>
              <w:ind w:left="80"/>
              <w:spacing w:after="0"/>
              <w:rPr>
                <w:sz w:val="20"/>
                <w:szCs w:val="20"/>
                <w:color w:val="auto"/>
              </w:rPr>
            </w:pPr>
            <w:r>
              <w:rPr>
                <w:rFonts w:ascii="Arial" w:cs="Arial" w:eastAsia="Arial" w:hAnsi="Arial"/>
                <w:sz w:val="18"/>
                <w:szCs w:val="18"/>
                <w:color w:val="auto"/>
              </w:rPr>
              <w:t>*31.1</w:t>
            </w:r>
          </w:p>
        </w:tc>
        <w:tc>
          <w:tcPr>
            <w:tcW w:w="7360" w:type="dxa"/>
            <w:vAlign w:val="bottom"/>
          </w:tcPr>
          <w:p>
            <w:pPr>
              <w:ind w:left="200"/>
              <w:spacing w:after="0"/>
              <w:rPr>
                <w:sz w:val="20"/>
                <w:szCs w:val="20"/>
                <w:color w:val="auto"/>
              </w:rPr>
            </w:pPr>
            <w:r>
              <w:rPr>
                <w:rFonts w:ascii="Arial" w:cs="Arial" w:eastAsia="Arial" w:hAnsi="Arial"/>
                <w:sz w:val="18"/>
                <w:szCs w:val="18"/>
                <w:color w:val="auto"/>
                <w:w w:val="89"/>
              </w:rPr>
              <w:t>Certification of President and Chief Executive Officer of Shenandoah Telecommunications Company</w:t>
            </w:r>
          </w:p>
        </w:tc>
      </w:tr>
      <w:tr>
        <w:trPr>
          <w:trHeight w:val="222"/>
        </w:trPr>
        <w:tc>
          <w:tcPr>
            <w:tcW w:w="780" w:type="dxa"/>
            <w:vAlign w:val="bottom"/>
          </w:tcPr>
          <w:p>
            <w:pPr>
              <w:spacing w:after="0"/>
              <w:rPr>
                <w:sz w:val="19"/>
                <w:szCs w:val="19"/>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pursuant to Rule 13a-14(a)under the Securities Exchange Act of 1934.</w:t>
            </w:r>
          </w:p>
        </w:tc>
      </w:tr>
      <w:tr>
        <w:trPr>
          <w:trHeight w:val="215"/>
        </w:trPr>
        <w:tc>
          <w:tcPr>
            <w:tcW w:w="780" w:type="dxa"/>
            <w:vAlign w:val="bottom"/>
          </w:tcPr>
          <w:p>
            <w:pPr>
              <w:spacing w:after="0"/>
              <w:rPr>
                <w:sz w:val="18"/>
                <w:szCs w:val="18"/>
                <w:color w:val="auto"/>
              </w:rPr>
            </w:pPr>
          </w:p>
        </w:tc>
        <w:tc>
          <w:tcPr>
            <w:tcW w:w="7360" w:type="dxa"/>
            <w:vAlign w:val="bottom"/>
          </w:tcPr>
          <w:p>
            <w:pPr>
              <w:spacing w:after="0"/>
              <w:rPr>
                <w:sz w:val="18"/>
                <w:szCs w:val="18"/>
                <w:color w:val="auto"/>
              </w:rPr>
            </w:pPr>
          </w:p>
        </w:tc>
      </w:tr>
      <w:tr>
        <w:trPr>
          <w:trHeight w:val="74"/>
        </w:trPr>
        <w:tc>
          <w:tcPr>
            <w:tcW w:w="780" w:type="dxa"/>
            <w:vAlign w:val="bottom"/>
            <w:shd w:val="clear" w:color="auto" w:fill="808080"/>
          </w:tcPr>
          <w:p>
            <w:pPr>
              <w:spacing w:after="0"/>
              <w:rPr>
                <w:sz w:val="6"/>
                <w:szCs w:val="6"/>
                <w:color w:val="auto"/>
              </w:rPr>
            </w:pPr>
          </w:p>
        </w:tc>
        <w:tc>
          <w:tcPr>
            <w:tcW w:w="7360" w:type="dxa"/>
            <w:vAlign w:val="bottom"/>
            <w:shd w:val="clear" w:color="auto" w:fill="808080"/>
          </w:tcPr>
          <w:p>
            <w:pPr>
              <w:spacing w:after="0"/>
              <w:rPr>
                <w:sz w:val="6"/>
                <w:szCs w:val="6"/>
                <w:color w:val="auto"/>
              </w:rPr>
            </w:pPr>
          </w:p>
        </w:tc>
      </w:tr>
    </w:tbl>
    <w:p>
      <w:pPr>
        <w:sectPr>
          <w:pgSz w:w="11900" w:h="16838" w:orient="portrait"/>
          <w:cols w:equalWidth="0" w:num="1">
            <w:col w:w="10219"/>
          </w:cols>
          <w:pgMar w:left="240" w:top="388" w:right="1440" w:bottom="1440" w:gutter="0" w:footer="0" w:header="0"/>
        </w:sectPr>
      </w:pPr>
    </w:p>
    <w:bookmarkStart w:id="117" w:name="page118"/>
    <w:bookmarkEnd w:id="117"/>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*31.2</w:t>
            </w:r>
          </w:p>
        </w:tc>
        <w:tc>
          <w:tcPr>
            <w:tcW w:w="7360" w:type="dxa"/>
            <w:vAlign w:val="bottom"/>
          </w:tcPr>
          <w:p>
            <w:pPr>
              <w:ind w:left="240"/>
              <w:spacing w:after="0"/>
              <w:rPr>
                <w:sz w:val="20"/>
                <w:szCs w:val="20"/>
                <w:color w:val="auto"/>
              </w:rPr>
            </w:pPr>
            <w:r>
              <w:rPr>
                <w:rFonts w:ascii="Arial" w:cs="Arial" w:eastAsia="Arial" w:hAnsi="Arial"/>
                <w:sz w:val="18"/>
                <w:szCs w:val="18"/>
                <w:color w:val="auto"/>
              </w:rPr>
              <w:t>Certification of Executive Vice President and Chief Financial Officer of Shenandoah</w:t>
            </w:r>
          </w:p>
        </w:tc>
      </w:tr>
      <w:tr>
        <w:trPr>
          <w:trHeight w:val="216"/>
        </w:trPr>
        <w:tc>
          <w:tcPr>
            <w:tcW w:w="660" w:type="dxa"/>
            <w:vAlign w:val="bottom"/>
          </w:tcPr>
          <w:p>
            <w:pPr>
              <w:spacing w:after="0"/>
              <w:rPr>
                <w:sz w:val="18"/>
                <w:szCs w:val="18"/>
                <w:color w:val="auto"/>
              </w:rPr>
            </w:pPr>
          </w:p>
        </w:tc>
        <w:tc>
          <w:tcPr>
            <w:tcW w:w="7360" w:type="dxa"/>
            <w:vAlign w:val="bottom"/>
          </w:tcPr>
          <w:p>
            <w:pPr>
              <w:ind w:left="240"/>
              <w:spacing w:after="0"/>
              <w:rPr>
                <w:sz w:val="20"/>
                <w:szCs w:val="20"/>
                <w:color w:val="auto"/>
              </w:rPr>
            </w:pPr>
            <w:r>
              <w:rPr>
                <w:rFonts w:ascii="Arial" w:cs="Arial" w:eastAsia="Arial" w:hAnsi="Arial"/>
                <w:sz w:val="18"/>
                <w:szCs w:val="18"/>
                <w:color w:val="auto"/>
                <w:w w:val="93"/>
              </w:rPr>
              <w:t>Telecommunications Company pursuant to Rule 13a-14(a)under the Securities Exchange Act of</w:t>
            </w:r>
          </w:p>
        </w:tc>
      </w:tr>
      <w:tr>
        <w:trPr>
          <w:trHeight w:val="222"/>
        </w:trPr>
        <w:tc>
          <w:tcPr>
            <w:tcW w:w="660" w:type="dxa"/>
            <w:vAlign w:val="bottom"/>
          </w:tcPr>
          <w:p>
            <w:pPr>
              <w:spacing w:after="0"/>
              <w:rPr>
                <w:sz w:val="19"/>
                <w:szCs w:val="19"/>
                <w:color w:val="auto"/>
              </w:rPr>
            </w:pPr>
          </w:p>
        </w:tc>
        <w:tc>
          <w:tcPr>
            <w:tcW w:w="7360" w:type="dxa"/>
            <w:vAlign w:val="bottom"/>
          </w:tcPr>
          <w:p>
            <w:pPr>
              <w:ind w:left="240"/>
              <w:spacing w:after="0"/>
              <w:rPr>
                <w:sz w:val="20"/>
                <w:szCs w:val="20"/>
                <w:color w:val="auto"/>
              </w:rPr>
            </w:pPr>
            <w:r>
              <w:rPr>
                <w:rFonts w:ascii="Arial" w:cs="Arial" w:eastAsia="Arial" w:hAnsi="Arial"/>
                <w:sz w:val="18"/>
                <w:szCs w:val="18"/>
                <w:color w:val="auto"/>
              </w:rPr>
              <w:t>1934.</w:t>
            </w:r>
          </w:p>
        </w:tc>
      </w:tr>
      <w:tr>
        <w:trPr>
          <w:trHeight w:val="358"/>
        </w:trPr>
        <w:tc>
          <w:tcPr>
            <w:tcW w:w="660" w:type="dxa"/>
            <w:vAlign w:val="bottom"/>
          </w:tcPr>
          <w:p>
            <w:pPr>
              <w:spacing w:after="0"/>
              <w:rPr>
                <w:sz w:val="20"/>
                <w:szCs w:val="20"/>
                <w:color w:val="auto"/>
              </w:rPr>
            </w:pPr>
            <w:r>
              <w:rPr>
                <w:rFonts w:ascii="Arial" w:cs="Arial" w:eastAsia="Arial" w:hAnsi="Arial"/>
                <w:sz w:val="18"/>
                <w:szCs w:val="18"/>
                <w:color w:val="auto"/>
              </w:rPr>
              <w:t>*32</w:t>
            </w:r>
          </w:p>
        </w:tc>
        <w:tc>
          <w:tcPr>
            <w:tcW w:w="7360" w:type="dxa"/>
            <w:vAlign w:val="bottom"/>
          </w:tcPr>
          <w:p>
            <w:pPr>
              <w:ind w:left="240"/>
              <w:spacing w:after="0"/>
              <w:rPr>
                <w:sz w:val="20"/>
                <w:szCs w:val="20"/>
                <w:color w:val="auto"/>
              </w:rPr>
            </w:pPr>
            <w:r>
              <w:rPr>
                <w:rFonts w:ascii="Arial" w:cs="Arial" w:eastAsia="Arial" w:hAnsi="Arial"/>
                <w:sz w:val="18"/>
                <w:szCs w:val="18"/>
                <w:color w:val="auto"/>
                <w:w w:val="88"/>
              </w:rPr>
              <w:t>Certifications pursuant to Rule 13a-14(b) under the Securities Exchange Act of 1934 and 18 U.S.C. §</w:t>
            </w:r>
          </w:p>
        </w:tc>
      </w:tr>
      <w:tr>
        <w:trPr>
          <w:trHeight w:val="222"/>
        </w:trPr>
        <w:tc>
          <w:tcPr>
            <w:tcW w:w="660" w:type="dxa"/>
            <w:vAlign w:val="bottom"/>
          </w:tcPr>
          <w:p>
            <w:pPr>
              <w:spacing w:after="0"/>
              <w:rPr>
                <w:sz w:val="19"/>
                <w:szCs w:val="19"/>
                <w:color w:val="auto"/>
              </w:rPr>
            </w:pPr>
          </w:p>
        </w:tc>
        <w:tc>
          <w:tcPr>
            <w:tcW w:w="7360" w:type="dxa"/>
            <w:vAlign w:val="bottom"/>
          </w:tcPr>
          <w:p>
            <w:pPr>
              <w:ind w:left="240"/>
              <w:spacing w:after="0"/>
              <w:rPr>
                <w:sz w:val="20"/>
                <w:szCs w:val="20"/>
                <w:color w:val="auto"/>
              </w:rPr>
            </w:pPr>
            <w:r>
              <w:rPr>
                <w:rFonts w:ascii="Arial" w:cs="Arial" w:eastAsia="Arial" w:hAnsi="Arial"/>
                <w:sz w:val="18"/>
                <w:szCs w:val="18"/>
                <w:color w:val="auto"/>
              </w:rPr>
              <w:t>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104648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388" w:right="1440"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EXHIBIT 21 LIST OF SUBSIDIARIES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SHENANDOAH TELECOMMUNICATIONS COMPANY AND SUBSIDIARIES</w:t>
      </w:r>
    </w:p>
    <w:p>
      <w:pPr>
        <w:spacing w:after="0" w:line="225" w:lineRule="exact"/>
        <w:rPr>
          <w:sz w:val="20"/>
          <w:szCs w:val="20"/>
          <w:color w:val="auto"/>
        </w:rPr>
      </w:pPr>
    </w:p>
    <w:p>
      <w:pPr>
        <w:ind w:right="2819"/>
        <w:spacing w:after="0" w:line="268" w:lineRule="auto"/>
        <w:rPr>
          <w:sz w:val="20"/>
          <w:szCs w:val="20"/>
          <w:color w:val="auto"/>
        </w:rPr>
      </w:pPr>
      <w:r>
        <w:rPr>
          <w:rFonts w:ascii="Arial" w:cs="Arial" w:eastAsia="Arial" w:hAnsi="Arial"/>
          <w:sz w:val="18"/>
          <w:szCs w:val="18"/>
          <w:color w:val="auto"/>
        </w:rPr>
        <w:t>The following are all subsidiaries of Shenandoah Telecommunications Company, and are incorporated or organized in the Commonwealth of Virginia.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Shenandoah Telephone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Shenandoah Cable Television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ShenTel Service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Shenandoah Long Distance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Shentel Wireless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Shenandoah Mobile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Shenandoah Network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ShenTel Communications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Shenandoah Personal Communications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Shentel Management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Shentel Converged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NTC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Converged Service of West Virginia,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5166995" cy="469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119" w:name="page120"/>
    <w:bookmarkEnd w:id="119"/>
    <w:p>
      <w:pPr>
        <w:jc w:val="right"/>
        <w:ind w:right="2099"/>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99"/>
        <w:spacing w:after="0"/>
        <w:rPr>
          <w:sz w:val="20"/>
          <w:szCs w:val="20"/>
          <w:color w:val="auto"/>
        </w:rPr>
      </w:pPr>
      <w:r>
        <w:rPr>
          <w:rFonts w:ascii="Arial" w:cs="Arial" w:eastAsia="Arial" w:hAnsi="Arial"/>
          <w:sz w:val="18"/>
          <w:szCs w:val="18"/>
          <w:u w:val="single" w:color="auto"/>
          <w:color w:val="auto"/>
        </w:rPr>
        <w:t>Consent of Independent Registered</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u w:val="single" w:color="auto"/>
          <w:color w:val="auto"/>
        </w:rPr>
        <w:t>Public Accounting Firm</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Shenandoah Telecommunications Company:</w:t>
      </w:r>
    </w:p>
    <w:p>
      <w:pPr>
        <w:spacing w:after="0" w:line="327" w:lineRule="exact"/>
        <w:rPr>
          <w:sz w:val="20"/>
          <w:szCs w:val="20"/>
          <w:color w:val="auto"/>
        </w:rPr>
      </w:pPr>
    </w:p>
    <w:p>
      <w:pPr>
        <w:jc w:val="both"/>
        <w:ind w:right="2119"/>
        <w:spacing w:after="0" w:line="289" w:lineRule="auto"/>
        <w:rPr>
          <w:sz w:val="20"/>
          <w:szCs w:val="20"/>
          <w:color w:val="auto"/>
        </w:rPr>
      </w:pPr>
      <w:r>
        <w:rPr>
          <w:rFonts w:ascii="Arial" w:cs="Arial" w:eastAsia="Arial" w:hAnsi="Arial"/>
          <w:sz w:val="16"/>
          <w:szCs w:val="16"/>
          <w:color w:val="auto"/>
        </w:rPr>
        <w:t>We consent to the incorporation by reference in the registration statements No. 333-21733 on Form S-8, Form S3-D, and No. 333-127342 on Form S-8 of Shenandoah Telecommunications Company of our reports dated March 15, 2006, with respect to the consolidated balance sheets of Shenandoah Telecommunications Company and subsidiaries as of December 31, 2005, 2004, and 2003, and the related consolidated statements of income, shareholders’ equity and comprehensive income, and cash flows for the years then ended, management’s assessment of the effectiveness of internal control over financial reporting as of December 31, 2005, and the effectiveness of internal control over financial reporting as of December 31, 2005, which reports are included in the 2005 Annual Report on Form 10-K of Shenandoah Telecommunications Company.</w:t>
      </w:r>
    </w:p>
    <w:p>
      <w:pPr>
        <w:spacing w:after="0" w:line="132"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color w:val="auto"/>
        </w:rPr>
        <w:t>Our report with respect to the consolidated balance sheets of Shenandoah Telecommunications Company and subsidiaries as of December 31, 2005, 2004, and 2003, and the related consolidated statements of income, shareholders’ equity and comprehensive income, and cash flows for the years then ended, refers to a restatement of the 2004 and 2003 consolidated financial statements, and a change in the method of accounting for asset retirement obligations in 2003.</w:t>
      </w:r>
    </w:p>
    <w:p>
      <w:pPr>
        <w:spacing w:after="0" w:line="170" w:lineRule="exact"/>
        <w:rPr>
          <w:sz w:val="20"/>
          <w:szCs w:val="20"/>
          <w:color w:val="auto"/>
        </w:rPr>
      </w:pPr>
    </w:p>
    <w:p>
      <w:pPr>
        <w:jc w:val="both"/>
        <w:ind w:right="2119"/>
        <w:spacing w:after="0" w:line="289" w:lineRule="auto"/>
        <w:rPr>
          <w:sz w:val="20"/>
          <w:szCs w:val="20"/>
          <w:color w:val="auto"/>
        </w:rPr>
      </w:pPr>
      <w:r>
        <w:rPr>
          <w:rFonts w:ascii="Arial" w:cs="Arial" w:eastAsia="Arial" w:hAnsi="Arial"/>
          <w:sz w:val="16"/>
          <w:szCs w:val="16"/>
          <w:color w:val="auto"/>
        </w:rPr>
        <w:t>Our report dated March 15, 2006, on management’s assessment of the effectiveness of internal control over financial reporting and the effectiveness of internal control over financial reporting as of December 31, 2005, expresses our opinion that Shenandoah Telecommunications Company did not maintain effective internal control over financial reporting as of December 31, 2005 because of the effect of material weaknesses on the achievement of the objectives of the control criteria and contains an explanatory paragraph that states that management identified material weaknesses in the Company’s internal control over the selection and monitoring of appropriate assumptions and factors affecting the Company’s lease accounting practices and in internal control over the accounting for income taxes.</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Richmond,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15, 2006</w:t>
      </w:r>
    </w:p>
    <w:p>
      <w:pPr>
        <w:sectPr>
          <w:pgSz w:w="11900" w:h="16838" w:orient="portrait"/>
          <w:cols w:equalWidth="0" w:num="1">
            <w:col w:w="10219"/>
          </w:cols>
          <w:pgMar w:left="240" w:top="131" w:right="1440" w:bottom="1440" w:gutter="0" w:footer="0" w:header="0"/>
        </w:sectPr>
      </w:pPr>
    </w:p>
    <w:bookmarkStart w:id="120" w:name="page121"/>
    <w:bookmarkEnd w:id="120"/>
    <w:p>
      <w:pPr>
        <w:jc w:val="right"/>
        <w:ind w:right="2099"/>
        <w:spacing w:after="0"/>
        <w:rPr>
          <w:sz w:val="20"/>
          <w:szCs w:val="20"/>
          <w:color w:val="auto"/>
        </w:rPr>
      </w:pPr>
      <w:r>
        <w:rPr>
          <w:rFonts w:ascii="Arial" w:cs="Arial" w:eastAsia="Arial" w:hAnsi="Arial"/>
          <w:sz w:val="18"/>
          <w:szCs w:val="18"/>
          <w:color w:val="auto"/>
        </w:rPr>
        <w:t>Exhibit 10.29</w:t>
      </w:r>
    </w:p>
    <w:p>
      <w:pPr>
        <w:spacing w:after="0" w:line="21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SHENANDOAH TELECOMMUNICATIONS COMPANY</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2005 Stock Incentive Plan</w:t>
      </w:r>
    </w:p>
    <w:p>
      <w:pPr>
        <w:spacing w:after="0" w:line="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Incentive Stock Option Agreement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 of shares subject to option: </w:t>
      </w:r>
      <w:r>
        <w:rPr>
          <w:rFonts w:ascii="Arial" w:cs="Arial" w:eastAsia="Arial" w:hAnsi="Arial"/>
          <w:sz w:val="18"/>
          <w:szCs w:val="18"/>
          <w:b w:val="1"/>
          <w:bCs w:val="1"/>
          <w:color w:val="auto"/>
        </w:rPr>
        <w:t>_________</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dated as of the ___ day of _________, 200_, between Shenandoah</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Telecommunications Company, a Virginia corporation (the “Company”), and _____________________</w:t>
      </w:r>
    </w:p>
    <w:p>
      <w:pPr>
        <w:spacing w:after="0" w:line="32" w:lineRule="exact"/>
        <w:rPr>
          <w:sz w:val="20"/>
          <w:szCs w:val="20"/>
          <w:color w:val="auto"/>
        </w:rPr>
      </w:pPr>
    </w:p>
    <w:p>
      <w:pPr>
        <w:ind w:right="2519"/>
        <w:spacing w:after="0" w:line="302" w:lineRule="auto"/>
        <w:rPr>
          <w:sz w:val="20"/>
          <w:szCs w:val="20"/>
          <w:color w:val="auto"/>
        </w:rPr>
      </w:pPr>
      <w:r>
        <w:rPr>
          <w:rFonts w:ascii="Arial" w:cs="Arial" w:eastAsia="Arial" w:hAnsi="Arial"/>
          <w:sz w:val="16"/>
          <w:szCs w:val="16"/>
          <w:color w:val="auto"/>
        </w:rPr>
        <w:t>(“Participant”), is made pursuant and subject to the provisions of the Company’s 2005 Shenandoah Telecommunications Company Stock Incentive Plan (the “Plan”), a copy of which is attached. All terms used herein that are defined in the Plan have the same meaning given them in the Plan.</w:t>
      </w:r>
    </w:p>
    <w:p>
      <w:pPr>
        <w:spacing w:after="0" w:line="49" w:lineRule="exact"/>
        <w:rPr>
          <w:sz w:val="20"/>
          <w:szCs w:val="20"/>
          <w:color w:val="auto"/>
        </w:rPr>
      </w:pPr>
    </w:p>
    <w:p>
      <w:pPr>
        <w:ind w:right="2199" w:firstLine="656"/>
        <w:spacing w:after="0" w:line="306" w:lineRule="auto"/>
        <w:tabs>
          <w:tab w:leader="none" w:pos="1307" w:val="left"/>
        </w:tabs>
        <w:numPr>
          <w:ilvl w:val="0"/>
          <w:numId w:val="32"/>
        </w:numPr>
        <w:rPr>
          <w:rFonts w:ascii="Arial" w:cs="Arial" w:eastAsia="Arial" w:hAnsi="Arial"/>
          <w:sz w:val="15"/>
          <w:szCs w:val="15"/>
          <w:color w:val="auto"/>
        </w:rPr>
      </w:pPr>
      <w:r>
        <w:rPr>
          <w:rFonts w:ascii="Arial" w:cs="Arial" w:eastAsia="Arial" w:hAnsi="Arial"/>
          <w:sz w:val="15"/>
          <w:szCs w:val="15"/>
          <w:b w:val="1"/>
          <w:bCs w:val="1"/>
          <w:color w:val="auto"/>
        </w:rPr>
        <w:t>Grant of Option</w:t>
      </w:r>
      <w:r>
        <w:rPr>
          <w:rFonts w:ascii="Arial" w:cs="Arial" w:eastAsia="Arial" w:hAnsi="Arial"/>
          <w:sz w:val="15"/>
          <w:szCs w:val="15"/>
          <w:color w:val="auto"/>
        </w:rPr>
        <w:t>. Pursuant to the Plan, the Company, on __________________ (the “Date of</w:t>
      </w:r>
      <w:r>
        <w:rPr>
          <w:rFonts w:ascii="Arial" w:cs="Arial" w:eastAsia="Arial" w:hAnsi="Arial"/>
          <w:sz w:val="15"/>
          <w:szCs w:val="15"/>
          <w:b w:val="1"/>
          <w:bCs w:val="1"/>
          <w:color w:val="auto"/>
        </w:rPr>
        <w:t xml:space="preserve"> </w:t>
      </w:r>
      <w:r>
        <w:rPr>
          <w:rFonts w:ascii="Arial" w:cs="Arial" w:eastAsia="Arial" w:hAnsi="Arial"/>
          <w:sz w:val="15"/>
          <w:szCs w:val="15"/>
          <w:color w:val="auto"/>
        </w:rPr>
        <w:t>Grant”), granted to Participant, subject to the terms and conditions of the Plan and subject further to the terms and conditions herein set forth, the right and Option to purchase from the Company all or any part of an aggregate of</w:t>
      </w:r>
    </w:p>
    <w:p>
      <w:pPr>
        <w:ind w:right="2239"/>
        <w:spacing w:after="0" w:line="254" w:lineRule="auto"/>
        <w:rPr>
          <w:rFonts w:ascii="Arial" w:cs="Arial" w:eastAsia="Arial" w:hAnsi="Arial"/>
          <w:sz w:val="15"/>
          <w:szCs w:val="15"/>
          <w:color w:val="auto"/>
        </w:rPr>
      </w:pPr>
      <w:r>
        <w:rPr>
          <w:rFonts w:ascii="Arial" w:cs="Arial" w:eastAsia="Arial" w:hAnsi="Arial"/>
          <w:sz w:val="18"/>
          <w:szCs w:val="18"/>
          <w:b w:val="1"/>
          <w:bCs w:val="1"/>
          <w:color w:val="auto"/>
        </w:rPr>
        <w:t xml:space="preserve">__________ </w:t>
      </w:r>
      <w:r>
        <w:rPr>
          <w:rFonts w:ascii="Arial" w:cs="Arial" w:eastAsia="Arial" w:hAnsi="Arial"/>
          <w:sz w:val="18"/>
          <w:szCs w:val="18"/>
          <w:color w:val="auto"/>
        </w:rPr>
        <w:t>shares of Common Stock at the option price of $_________ per share (the “Option Exercise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being not less than the Fair Market Value per share of the Common Stock on the Date of Grant. This Option is intended to be an “incentive stock option” under Section 422 of the Code. This Option will be exercisable as hereinafter provided.</w:t>
      </w:r>
    </w:p>
    <w:p>
      <w:pPr>
        <w:spacing w:after="0" w:line="191" w:lineRule="exact"/>
        <w:rPr>
          <w:rFonts w:ascii="Arial" w:cs="Arial" w:eastAsia="Arial" w:hAnsi="Arial"/>
          <w:sz w:val="15"/>
          <w:szCs w:val="15"/>
          <w:color w:val="auto"/>
        </w:rPr>
      </w:pPr>
    </w:p>
    <w:p>
      <w:pPr>
        <w:ind w:left="1320" w:hanging="664"/>
        <w:spacing w:after="0"/>
        <w:tabs>
          <w:tab w:leader="none" w:pos="1320"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TERMS and CONDITIONS</w:t>
      </w:r>
      <w:r>
        <w:rPr>
          <w:rFonts w:ascii="Arial" w:cs="Arial" w:eastAsia="Arial" w:hAnsi="Arial"/>
          <w:sz w:val="16"/>
          <w:szCs w:val="16"/>
          <w:color w:val="auto"/>
        </w:rPr>
        <w:t>. This Option is subject to the following terms and conditions:</w:t>
      </w:r>
    </w:p>
    <w:p>
      <w:pPr>
        <w:spacing w:after="0" w:line="248" w:lineRule="exact"/>
        <w:rPr>
          <w:rFonts w:ascii="Arial" w:cs="Arial" w:eastAsia="Arial" w:hAnsi="Arial"/>
          <w:sz w:val="16"/>
          <w:szCs w:val="16"/>
          <w:color w:val="auto"/>
        </w:rPr>
      </w:pPr>
    </w:p>
    <w:p>
      <w:pPr>
        <w:ind w:left="1300" w:right="2479" w:firstLine="5"/>
        <w:spacing w:after="0" w:line="339" w:lineRule="auto"/>
        <w:tabs>
          <w:tab w:leader="none" w:pos="1934" w:val="left"/>
        </w:tabs>
        <w:numPr>
          <w:ilvl w:val="1"/>
          <w:numId w:val="32"/>
        </w:numPr>
        <w:rPr>
          <w:rFonts w:ascii="Arial" w:cs="Arial" w:eastAsia="Arial" w:hAnsi="Arial"/>
          <w:sz w:val="16"/>
          <w:szCs w:val="16"/>
          <w:color w:val="auto"/>
        </w:rPr>
      </w:pPr>
      <w:r>
        <w:rPr>
          <w:rFonts w:ascii="Arial" w:cs="Arial" w:eastAsia="Arial" w:hAnsi="Arial"/>
          <w:sz w:val="16"/>
          <w:szCs w:val="16"/>
          <w:b w:val="1"/>
          <w:bCs w:val="1"/>
          <w:color w:val="auto"/>
        </w:rPr>
        <w:t>Expiration Date</w:t>
      </w:r>
      <w:r>
        <w:rPr>
          <w:rFonts w:ascii="Arial" w:cs="Arial" w:eastAsia="Arial" w:hAnsi="Arial"/>
          <w:sz w:val="16"/>
          <w:szCs w:val="16"/>
          <w:color w:val="auto"/>
        </w:rPr>
        <w:t>. This Option shall expire at 11:59 p.m. on _______________ the</w:t>
      </w:r>
      <w:r>
        <w:rPr>
          <w:rFonts w:ascii="Arial" w:cs="Arial" w:eastAsia="Arial" w:hAnsi="Arial"/>
          <w:sz w:val="16"/>
          <w:szCs w:val="16"/>
          <w:b w:val="1"/>
          <w:bCs w:val="1"/>
          <w:color w:val="auto"/>
        </w:rPr>
        <w:t xml:space="preserve"> </w:t>
      </w:r>
      <w:r>
        <w:rPr>
          <w:rFonts w:ascii="Arial" w:cs="Arial" w:eastAsia="Arial" w:hAnsi="Arial"/>
          <w:sz w:val="16"/>
          <w:szCs w:val="16"/>
          <w:color w:val="auto"/>
        </w:rPr>
        <w:t>seventh anniversary of the Date of Grant, (the “Expiration Date”).</w:t>
      </w:r>
    </w:p>
    <w:p>
      <w:pPr>
        <w:spacing w:after="0" w:line="128" w:lineRule="exact"/>
        <w:rPr>
          <w:rFonts w:ascii="Arial" w:cs="Arial" w:eastAsia="Arial" w:hAnsi="Arial"/>
          <w:sz w:val="16"/>
          <w:szCs w:val="16"/>
          <w:color w:val="auto"/>
        </w:rPr>
      </w:pPr>
    </w:p>
    <w:p>
      <w:pPr>
        <w:ind w:left="1300" w:right="2179" w:firstLine="5"/>
        <w:spacing w:after="0" w:line="290" w:lineRule="auto"/>
        <w:tabs>
          <w:tab w:leader="none" w:pos="1944" w:val="left"/>
        </w:tabs>
        <w:numPr>
          <w:ilvl w:val="1"/>
          <w:numId w:val="32"/>
        </w:numPr>
        <w:rPr>
          <w:rFonts w:ascii="Arial" w:cs="Arial" w:eastAsia="Arial" w:hAnsi="Arial"/>
          <w:sz w:val="16"/>
          <w:szCs w:val="16"/>
          <w:color w:val="auto"/>
        </w:rPr>
      </w:pPr>
      <w:r>
        <w:rPr>
          <w:rFonts w:ascii="Arial" w:cs="Arial" w:eastAsia="Arial" w:hAnsi="Arial"/>
          <w:sz w:val="16"/>
          <w:szCs w:val="16"/>
          <w:b w:val="1"/>
          <w:bCs w:val="1"/>
          <w:color w:val="auto"/>
        </w:rPr>
        <w:t>Exercise of Option</w:t>
      </w:r>
      <w:r>
        <w:rPr>
          <w:rFonts w:ascii="Arial" w:cs="Arial" w:eastAsia="Arial" w:hAnsi="Arial"/>
          <w:sz w:val="16"/>
          <w:szCs w:val="16"/>
          <w:color w:val="auto"/>
        </w:rPr>
        <w:t>. Except as provided in paragraphs 3, 4, 5 or 6, this Option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exercisable with respect to one-half of the shares of Common Stock subject to this Option on each of the first and second anniversaries of the Date of Grant. Once this Option has become exercisable in accordance with the preceding sentence it shall continue to be exercisable until the earlier of the termination of the Participant’s rights hereunder pursuant to paragraph 3, 4, 5 or 6, or until the Expiration Date. A partial exercise of this Option shall not affect the Participant’s right to exercise this Option with respect to the remaining shares, subject to the conditions of the plan and this Agreement.</w:t>
      </w:r>
    </w:p>
    <w:p>
      <w:pPr>
        <w:spacing w:after="0" w:line="166" w:lineRule="exact"/>
        <w:rPr>
          <w:rFonts w:ascii="Arial" w:cs="Arial" w:eastAsia="Arial" w:hAnsi="Arial"/>
          <w:sz w:val="16"/>
          <w:szCs w:val="16"/>
          <w:color w:val="auto"/>
        </w:rPr>
      </w:pPr>
    </w:p>
    <w:p>
      <w:pPr>
        <w:ind w:left="1300" w:right="2139" w:firstLine="5"/>
        <w:spacing w:after="0" w:line="288" w:lineRule="auto"/>
        <w:tabs>
          <w:tab w:leader="none" w:pos="1934" w:val="left"/>
        </w:tabs>
        <w:numPr>
          <w:ilvl w:val="1"/>
          <w:numId w:val="32"/>
        </w:numPr>
        <w:rPr>
          <w:rFonts w:ascii="Arial" w:cs="Arial" w:eastAsia="Arial" w:hAnsi="Arial"/>
          <w:sz w:val="16"/>
          <w:szCs w:val="16"/>
          <w:color w:val="auto"/>
        </w:rPr>
      </w:pPr>
      <w:r>
        <w:rPr>
          <w:rFonts w:ascii="Arial" w:cs="Arial" w:eastAsia="Arial" w:hAnsi="Arial"/>
          <w:sz w:val="16"/>
          <w:szCs w:val="16"/>
          <w:b w:val="1"/>
          <w:bCs w:val="1"/>
          <w:color w:val="auto"/>
        </w:rPr>
        <w:t>Method of Exercise and Payment for Shares</w:t>
      </w:r>
      <w:r>
        <w:rPr>
          <w:rFonts w:ascii="Arial" w:cs="Arial" w:eastAsia="Arial" w:hAnsi="Arial"/>
          <w:sz w:val="16"/>
          <w:szCs w:val="16"/>
          <w:color w:val="auto"/>
        </w:rPr>
        <w:t>. This Option shall be exercised by</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notice delivered to the attention of the Company’s Secretary at the Company’s principal office in Edinburg, Virginia. The exercise date shall be (i) in the case of notice by mail, the date of postmark, or (ii) if delivered in person, the date of delivery. Such notice shall be accompanied by payment of the option price in full, in cash or cash equivalent acceptable to the Administrator, by the surrender of shares of Common Stock with an aggregate Fair Market Value (determined as of the day preceding the exercise date) which, together with any cash or cash equivalent paid by Participant, is not less than the option price of the number of shares of Common Stock for which the Option is being exercised or by causing the Company to withhold shares of Common Stock otherwise issuable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474345</wp:posOffset>
            </wp:positionV>
            <wp:extent cx="5166995" cy="215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300" w:right="2119"/>
        <w:spacing w:after="0" w:line="259" w:lineRule="auto"/>
        <w:rPr>
          <w:sz w:val="20"/>
          <w:szCs w:val="20"/>
          <w:color w:val="auto"/>
        </w:rPr>
      </w:pPr>
      <w:r>
        <w:rPr>
          <w:rFonts w:ascii="Arial" w:cs="Arial" w:eastAsia="Arial" w:hAnsi="Arial"/>
          <w:sz w:val="18"/>
          <w:szCs w:val="18"/>
          <w:color w:val="auto"/>
        </w:rPr>
        <w:t>pursuant to the exercise of the Option with an aggregate Fair Market Value (determined as of the day preceding the exercise date) equal to the option price or portion thereof to be satisfied pursuant to this clause.</w:t>
      </w:r>
    </w:p>
    <w:p>
      <w:pPr>
        <w:spacing w:after="0" w:line="188" w:lineRule="exact"/>
        <w:rPr>
          <w:sz w:val="20"/>
          <w:szCs w:val="20"/>
          <w:color w:val="auto"/>
        </w:rPr>
      </w:pPr>
    </w:p>
    <w:p>
      <w:pPr>
        <w:jc w:val="both"/>
        <w:ind w:left="1300" w:right="2379" w:firstLine="5"/>
        <w:spacing w:after="0" w:line="262" w:lineRule="auto"/>
        <w:tabs>
          <w:tab w:leader="none" w:pos="1944" w:val="left"/>
        </w:tabs>
        <w:numPr>
          <w:ilvl w:val="1"/>
          <w:numId w:val="33"/>
        </w:numPr>
        <w:rPr>
          <w:rFonts w:ascii="Arial" w:cs="Arial" w:eastAsia="Arial" w:hAnsi="Arial"/>
          <w:sz w:val="18"/>
          <w:szCs w:val="18"/>
          <w:color w:val="auto"/>
        </w:rPr>
      </w:pPr>
      <w:r>
        <w:rPr>
          <w:rFonts w:ascii="Arial" w:cs="Arial" w:eastAsia="Arial" w:hAnsi="Arial"/>
          <w:sz w:val="18"/>
          <w:szCs w:val="18"/>
          <w:b w:val="1"/>
          <w:bCs w:val="1"/>
          <w:color w:val="auto"/>
        </w:rPr>
        <w:t>Nontransferability</w:t>
      </w:r>
      <w:r>
        <w:rPr>
          <w:rFonts w:ascii="Arial" w:cs="Arial" w:eastAsia="Arial" w:hAnsi="Arial"/>
          <w:sz w:val="18"/>
          <w:szCs w:val="18"/>
          <w:color w:val="auto"/>
        </w:rPr>
        <w:t>. This Option is nontransferable except by will or by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descent and distribution. During Participant’s lifetime, this Option may be exercised only by Participant.</w:t>
      </w:r>
    </w:p>
    <w:p>
      <w:pPr>
        <w:spacing w:after="0" w:line="186" w:lineRule="exact"/>
        <w:rPr>
          <w:rFonts w:ascii="Arial" w:cs="Arial" w:eastAsia="Arial" w:hAnsi="Arial"/>
          <w:sz w:val="18"/>
          <w:szCs w:val="18"/>
          <w:color w:val="auto"/>
        </w:rPr>
      </w:pPr>
    </w:p>
    <w:p>
      <w:pPr>
        <w:ind w:right="2219" w:firstLine="656"/>
        <w:spacing w:after="0" w:line="290" w:lineRule="auto"/>
        <w:tabs>
          <w:tab w:leader="none" w:pos="1307"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Exercise in the Event of Death</w:t>
      </w:r>
      <w:r>
        <w:rPr>
          <w:rFonts w:ascii="Arial" w:cs="Arial" w:eastAsia="Arial" w:hAnsi="Arial"/>
          <w:sz w:val="16"/>
          <w:szCs w:val="16"/>
          <w:color w:val="auto"/>
        </w:rPr>
        <w:t>. This Option shall be exercisable for all or part of the number</w:t>
      </w:r>
      <w:r>
        <w:rPr>
          <w:rFonts w:ascii="Arial" w:cs="Arial" w:eastAsia="Arial" w:hAnsi="Arial"/>
          <w:sz w:val="16"/>
          <w:szCs w:val="16"/>
          <w:b w:val="1"/>
          <w:bCs w:val="1"/>
          <w:color w:val="auto"/>
        </w:rPr>
        <w:t xml:space="preserve"> </w:t>
      </w:r>
      <w:r>
        <w:rPr>
          <w:rFonts w:ascii="Arial" w:cs="Arial" w:eastAsia="Arial" w:hAnsi="Arial"/>
          <w:sz w:val="16"/>
          <w:szCs w:val="16"/>
          <w:color w:val="auto"/>
        </w:rPr>
        <w:t>of shares of Common Stock that the Participant was entitled to purchase pursuant to paragraph 2, reduced by the number of shares for which the Option was previously exercised, in the event the Participant dies while employed by the Company or an Affiliate or following Retirement or becoming Permanently and Totally Disabled (as hereinafter defined) and prior to the Expiration Date. In that event this Option may be exercised by Participant’s estate, or the person or persons to whom his rights under this Option shall pass by will or the laws of descent and distribution. Participant’s estate or such persons may exercise this Option during the remainder of the period preceding the Expiration Date.</w:t>
      </w:r>
    </w:p>
    <w:p>
      <w:pPr>
        <w:spacing w:after="0" w:line="166" w:lineRule="exact"/>
        <w:rPr>
          <w:rFonts w:ascii="Arial" w:cs="Arial" w:eastAsia="Arial" w:hAnsi="Arial"/>
          <w:sz w:val="16"/>
          <w:szCs w:val="16"/>
          <w:color w:val="auto"/>
        </w:rPr>
      </w:pPr>
    </w:p>
    <w:p>
      <w:pPr>
        <w:ind w:right="2219" w:firstLine="656"/>
        <w:spacing w:after="0" w:line="326" w:lineRule="auto"/>
        <w:tabs>
          <w:tab w:leader="none" w:pos="1307" w:val="left"/>
        </w:tabs>
        <w:numPr>
          <w:ilvl w:val="0"/>
          <w:numId w:val="34"/>
        </w:numPr>
        <w:rPr>
          <w:rFonts w:ascii="Arial" w:cs="Arial" w:eastAsia="Arial" w:hAnsi="Arial"/>
          <w:sz w:val="15"/>
          <w:szCs w:val="15"/>
          <w:color w:val="auto"/>
        </w:rPr>
      </w:pPr>
      <w:r>
        <w:rPr>
          <w:rFonts w:ascii="Arial" w:cs="Arial" w:eastAsia="Arial" w:hAnsi="Arial"/>
          <w:sz w:val="15"/>
          <w:szCs w:val="15"/>
          <w:b w:val="1"/>
          <w:bCs w:val="1"/>
          <w:color w:val="auto"/>
        </w:rPr>
        <w:t>Exercise in the Event of Disability</w:t>
      </w:r>
      <w:r>
        <w:rPr>
          <w:rFonts w:ascii="Arial" w:cs="Arial" w:eastAsia="Arial" w:hAnsi="Arial"/>
          <w:sz w:val="15"/>
          <w:szCs w:val="15"/>
          <w:color w:val="auto"/>
        </w:rPr>
        <w:t>. This Option shall be exercisable for all or part of the</w:t>
      </w:r>
      <w:r>
        <w:rPr>
          <w:rFonts w:ascii="Arial" w:cs="Arial" w:eastAsia="Arial" w:hAnsi="Arial"/>
          <w:sz w:val="15"/>
          <w:szCs w:val="15"/>
          <w:b w:val="1"/>
          <w:bCs w:val="1"/>
          <w:color w:val="auto"/>
        </w:rPr>
        <w:t xml:space="preserve"> </w:t>
      </w:r>
      <w:r>
        <w:rPr>
          <w:rFonts w:ascii="Arial" w:cs="Arial" w:eastAsia="Arial" w:hAnsi="Arial"/>
          <w:sz w:val="15"/>
          <w:szCs w:val="15"/>
          <w:color w:val="auto"/>
        </w:rPr>
        <w:t>number of shares of Common Stock that the Participant was entitled to purchase pursuant to paragraph 2, reduced by the number of shares for which the Option was previously exercised, if the Participant becomes permanently and totally disabled within the meaning of section 22(e)(3) of the Code (“Permanently and Totally Disabled”)</w:t>
      </w:r>
    </w:p>
    <w:p>
      <w:pPr>
        <w:sectPr>
          <w:pgSz w:w="11900" w:h="16838" w:orient="portrait"/>
          <w:cols w:equalWidth="0" w:num="1">
            <w:col w:w="10219"/>
          </w:cols>
          <w:pgMar w:left="240" w:top="347" w:right="1440" w:bottom="0" w:gutter="0" w:footer="0" w:header="0"/>
        </w:sectPr>
      </w:pPr>
    </w:p>
    <w:bookmarkStart w:id="121" w:name="page122"/>
    <w:bookmarkEnd w:id="121"/>
    <w:p>
      <w:pPr>
        <w:ind w:right="2139"/>
        <w:spacing w:after="0" w:line="332" w:lineRule="auto"/>
        <w:rPr>
          <w:sz w:val="20"/>
          <w:szCs w:val="20"/>
          <w:color w:val="auto"/>
        </w:rPr>
      </w:pPr>
      <w:r>
        <w:rPr>
          <w:rFonts w:ascii="Arial" w:cs="Arial" w:eastAsia="Arial" w:hAnsi="Arial"/>
          <w:sz w:val="16"/>
          <w:szCs w:val="16"/>
          <w:color w:val="auto"/>
        </w:rPr>
        <w:t>while employed by the Company or an Affiliate and prior to the Expiration Date. In that event, the Participant may exercise this Option during the remainder of the period preceding the Expiration Date.</w:t>
      </w:r>
    </w:p>
    <w:p>
      <w:pPr>
        <w:spacing w:after="0" w:line="133" w:lineRule="exact"/>
        <w:rPr>
          <w:sz w:val="20"/>
          <w:szCs w:val="20"/>
          <w:color w:val="auto"/>
        </w:rPr>
      </w:pPr>
    </w:p>
    <w:p>
      <w:pPr>
        <w:jc w:val="both"/>
        <w:ind w:right="2319" w:firstLine="656"/>
        <w:spacing w:after="0" w:line="326" w:lineRule="auto"/>
        <w:tabs>
          <w:tab w:leader="none" w:pos="1307" w:val="left"/>
        </w:tabs>
        <w:numPr>
          <w:ilvl w:val="0"/>
          <w:numId w:val="35"/>
        </w:numPr>
        <w:rPr>
          <w:rFonts w:ascii="Arial" w:cs="Arial" w:eastAsia="Arial" w:hAnsi="Arial"/>
          <w:sz w:val="15"/>
          <w:szCs w:val="15"/>
          <w:color w:val="auto"/>
        </w:rPr>
      </w:pPr>
      <w:r>
        <w:rPr>
          <w:rFonts w:ascii="Arial" w:cs="Arial" w:eastAsia="Arial" w:hAnsi="Arial"/>
          <w:sz w:val="15"/>
          <w:szCs w:val="15"/>
          <w:b w:val="1"/>
          <w:bCs w:val="1"/>
          <w:color w:val="auto"/>
        </w:rPr>
        <w:t>Exercise After Retirement</w:t>
      </w:r>
      <w:r>
        <w:rPr>
          <w:rFonts w:ascii="Arial" w:cs="Arial" w:eastAsia="Arial" w:hAnsi="Arial"/>
          <w:sz w:val="15"/>
          <w:szCs w:val="15"/>
          <w:color w:val="auto"/>
        </w:rPr>
        <w:t>. This Option shall be exercisable for all or part of the number of</w:t>
      </w:r>
      <w:r>
        <w:rPr>
          <w:rFonts w:ascii="Arial" w:cs="Arial" w:eastAsia="Arial" w:hAnsi="Arial"/>
          <w:sz w:val="15"/>
          <w:szCs w:val="15"/>
          <w:b w:val="1"/>
          <w:bCs w:val="1"/>
          <w:color w:val="auto"/>
        </w:rPr>
        <w:t xml:space="preserve"> </w:t>
      </w:r>
      <w:r>
        <w:rPr>
          <w:rFonts w:ascii="Arial" w:cs="Arial" w:eastAsia="Arial" w:hAnsi="Arial"/>
          <w:sz w:val="15"/>
          <w:szCs w:val="15"/>
          <w:color w:val="auto"/>
        </w:rPr>
        <w:t>shares that the Participant was entitled to purchase pursuant to paragraph 2, reduced by the number of shares for which the Option was exercised, in the event of the Participant’s Retirement prior to the Expiration Date. In that event the Participant may exercise this Option during the remainder of the period preceding the Expiration Date.</w:t>
      </w:r>
    </w:p>
    <w:p>
      <w:pPr>
        <w:spacing w:after="0" w:line="143" w:lineRule="exact"/>
        <w:rPr>
          <w:rFonts w:ascii="Arial" w:cs="Arial" w:eastAsia="Arial" w:hAnsi="Arial"/>
          <w:sz w:val="15"/>
          <w:szCs w:val="15"/>
          <w:color w:val="auto"/>
        </w:rPr>
      </w:pPr>
    </w:p>
    <w:p>
      <w:pPr>
        <w:ind w:right="2199" w:firstLine="656"/>
        <w:spacing w:after="0" w:line="258" w:lineRule="auto"/>
        <w:tabs>
          <w:tab w:leader="none" w:pos="1307"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Exercise After Termination of Employment</w:t>
      </w:r>
      <w:r>
        <w:rPr>
          <w:rFonts w:ascii="Arial" w:cs="Arial" w:eastAsia="Arial" w:hAnsi="Arial"/>
          <w:sz w:val="18"/>
          <w:szCs w:val="18"/>
          <w:color w:val="auto"/>
        </w:rPr>
        <w:t>. This Option may not be exercised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ceases to be employed by the Company and its Affiliates, except if such termination of employment is a result of death, disability or Retirement, in which case the Option may be exercised as provided in paragraphs 3, 4 or 5, respectively.</w:t>
      </w:r>
    </w:p>
    <w:p>
      <w:pPr>
        <w:spacing w:after="0" w:line="190" w:lineRule="exact"/>
        <w:rPr>
          <w:rFonts w:ascii="Arial" w:cs="Arial" w:eastAsia="Arial" w:hAnsi="Arial"/>
          <w:sz w:val="18"/>
          <w:szCs w:val="18"/>
          <w:color w:val="auto"/>
        </w:rPr>
      </w:pPr>
    </w:p>
    <w:p>
      <w:pPr>
        <w:ind w:right="2359" w:firstLine="656"/>
        <w:spacing w:after="0" w:line="310" w:lineRule="auto"/>
        <w:tabs>
          <w:tab w:leader="none" w:pos="1307" w:val="left"/>
        </w:tabs>
        <w:numPr>
          <w:ilvl w:val="0"/>
          <w:numId w:val="35"/>
        </w:numPr>
        <w:rPr>
          <w:rFonts w:ascii="Arial" w:cs="Arial" w:eastAsia="Arial" w:hAnsi="Arial"/>
          <w:sz w:val="16"/>
          <w:szCs w:val="16"/>
          <w:color w:val="auto"/>
        </w:rPr>
      </w:pPr>
      <w:r>
        <w:rPr>
          <w:rFonts w:ascii="Arial" w:cs="Arial" w:eastAsia="Arial" w:hAnsi="Arial"/>
          <w:sz w:val="16"/>
          <w:szCs w:val="16"/>
          <w:b w:val="1"/>
          <w:bCs w:val="1"/>
          <w:color w:val="auto"/>
        </w:rPr>
        <w:t>Retirement</w:t>
      </w:r>
      <w:r>
        <w:rPr>
          <w:rFonts w:ascii="Arial" w:cs="Arial" w:eastAsia="Arial" w:hAnsi="Arial"/>
          <w:sz w:val="16"/>
          <w:szCs w:val="16"/>
          <w:color w:val="auto"/>
        </w:rPr>
        <w:t>. For purposes of this Agreement, the term “Retirement” means the voluntary</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of employment on or after the Participant’s earliest Retirement date under a tax-qualified retirement plan maintained by the Company or an Affiliate in which the Participant participates.</w:t>
      </w:r>
    </w:p>
    <w:p>
      <w:pPr>
        <w:spacing w:after="0" w:line="151" w:lineRule="exact"/>
        <w:rPr>
          <w:rFonts w:ascii="Arial" w:cs="Arial" w:eastAsia="Arial" w:hAnsi="Arial"/>
          <w:sz w:val="16"/>
          <w:szCs w:val="16"/>
          <w:color w:val="auto"/>
        </w:rPr>
      </w:pPr>
    </w:p>
    <w:p>
      <w:pPr>
        <w:ind w:right="2419" w:firstLine="656"/>
        <w:spacing w:after="0" w:line="339" w:lineRule="auto"/>
        <w:tabs>
          <w:tab w:leader="none" w:pos="1307" w:val="left"/>
        </w:tabs>
        <w:numPr>
          <w:ilvl w:val="0"/>
          <w:numId w:val="35"/>
        </w:numPr>
        <w:rPr>
          <w:rFonts w:ascii="Arial" w:cs="Arial" w:eastAsia="Arial" w:hAnsi="Arial"/>
          <w:sz w:val="16"/>
          <w:szCs w:val="16"/>
          <w:color w:val="auto"/>
        </w:rPr>
      </w:pPr>
      <w:r>
        <w:rPr>
          <w:rFonts w:ascii="Arial" w:cs="Arial" w:eastAsia="Arial" w:hAnsi="Arial"/>
          <w:sz w:val="16"/>
          <w:szCs w:val="16"/>
          <w:b w:val="1"/>
          <w:bCs w:val="1"/>
          <w:color w:val="auto"/>
        </w:rPr>
        <w:t>Minimum Exercise</w:t>
      </w:r>
      <w:r>
        <w:rPr>
          <w:rFonts w:ascii="Arial" w:cs="Arial" w:eastAsia="Arial" w:hAnsi="Arial"/>
          <w:sz w:val="16"/>
          <w:szCs w:val="16"/>
          <w:color w:val="auto"/>
        </w:rPr>
        <w:t>. This Option may not be exercised for less than five shares of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unless it is exercised for the full number of shares for which the Option may be exercised.</w:t>
      </w:r>
    </w:p>
    <w:p>
      <w:pPr>
        <w:spacing w:after="0" w:line="128" w:lineRule="exact"/>
        <w:rPr>
          <w:rFonts w:ascii="Arial" w:cs="Arial" w:eastAsia="Arial" w:hAnsi="Arial"/>
          <w:sz w:val="16"/>
          <w:szCs w:val="16"/>
          <w:color w:val="auto"/>
        </w:rPr>
      </w:pPr>
    </w:p>
    <w:p>
      <w:pPr>
        <w:ind w:right="2319" w:firstLine="656"/>
        <w:spacing w:after="0" w:line="275" w:lineRule="auto"/>
        <w:tabs>
          <w:tab w:leader="none" w:pos="1307"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Fractional Shares</w:t>
      </w:r>
      <w:r>
        <w:rPr>
          <w:rFonts w:ascii="Arial" w:cs="Arial" w:eastAsia="Arial" w:hAnsi="Arial"/>
          <w:sz w:val="18"/>
          <w:szCs w:val="18"/>
          <w:color w:val="auto"/>
        </w:rPr>
        <w:t>. Fractional shares shall not be issuable hereunder, and when any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hereof may entitle Participant to a fractional share such fraction shall be disregarded.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614680</wp:posOffset>
            </wp:positionV>
            <wp:extent cx="5166995" cy="215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right="2259" w:firstLine="656"/>
        <w:spacing w:after="0" w:line="310" w:lineRule="auto"/>
        <w:tabs>
          <w:tab w:leader="none" w:pos="1307"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No Right to Continued Employment</w:t>
      </w:r>
      <w:r>
        <w:rPr>
          <w:rFonts w:ascii="Arial" w:cs="Arial" w:eastAsia="Arial" w:hAnsi="Arial"/>
          <w:sz w:val="16"/>
          <w:szCs w:val="16"/>
          <w:color w:val="auto"/>
        </w:rPr>
        <w:t>. This Option does not confer upon Participant any right</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continuance of employment by the Company or an Affiliate, nor shall it interfere in any way with the right of the Company or an Affiliate to terminate his employment at any time.</w:t>
      </w:r>
    </w:p>
    <w:p>
      <w:pPr>
        <w:spacing w:after="0" w:line="151" w:lineRule="exact"/>
        <w:rPr>
          <w:rFonts w:ascii="Arial" w:cs="Arial" w:eastAsia="Arial" w:hAnsi="Arial"/>
          <w:sz w:val="16"/>
          <w:szCs w:val="16"/>
          <w:color w:val="auto"/>
        </w:rPr>
      </w:pPr>
    </w:p>
    <w:p>
      <w:pPr>
        <w:ind w:right="2419" w:firstLine="656"/>
        <w:spacing w:after="0" w:line="310" w:lineRule="auto"/>
        <w:tabs>
          <w:tab w:leader="none" w:pos="1300"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Change in Capital Structure</w:t>
      </w:r>
      <w:r>
        <w:rPr>
          <w:rFonts w:ascii="Arial" w:cs="Arial" w:eastAsia="Arial" w:hAnsi="Arial"/>
          <w:sz w:val="16"/>
          <w:szCs w:val="16"/>
          <w:color w:val="auto"/>
        </w:rPr>
        <w:t>. The terms of this Option shall be adjusted as 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determines is equitably required in the event the Company effects one or more stock dividends, stock split-ups, subdivisions or consolidations of shares or other similar changes in capitalization.</w:t>
      </w:r>
    </w:p>
    <w:p>
      <w:pPr>
        <w:spacing w:after="0" w:line="151" w:lineRule="exact"/>
        <w:rPr>
          <w:rFonts w:ascii="Arial" w:cs="Arial" w:eastAsia="Arial" w:hAnsi="Arial"/>
          <w:sz w:val="16"/>
          <w:szCs w:val="16"/>
          <w:color w:val="auto"/>
        </w:rPr>
      </w:pPr>
    </w:p>
    <w:p>
      <w:pPr>
        <w:ind w:left="1320" w:hanging="664"/>
        <w:spacing w:after="0"/>
        <w:tabs>
          <w:tab w:leader="none" w:pos="1320"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Governing Law</w:t>
      </w:r>
      <w:r>
        <w:rPr>
          <w:rFonts w:ascii="Arial" w:cs="Arial" w:eastAsia="Arial" w:hAnsi="Arial"/>
          <w:sz w:val="16"/>
          <w:szCs w:val="16"/>
          <w:color w:val="auto"/>
        </w:rPr>
        <w:t>. This Agreement shall be governed by the laws of the Commonwealth of</w:t>
      </w:r>
    </w:p>
    <w:p>
      <w:pPr>
        <w:spacing w:after="0" w:line="4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Virginia.</w:t>
      </w:r>
    </w:p>
    <w:p>
      <w:pPr>
        <w:spacing w:after="0" w:line="212" w:lineRule="exact"/>
        <w:rPr>
          <w:rFonts w:ascii="Arial" w:cs="Arial" w:eastAsia="Arial" w:hAnsi="Arial"/>
          <w:sz w:val="16"/>
          <w:szCs w:val="16"/>
          <w:color w:val="auto"/>
        </w:rPr>
      </w:pPr>
    </w:p>
    <w:p>
      <w:pPr>
        <w:ind w:right="2159" w:firstLine="656"/>
        <w:spacing w:after="0" w:line="262" w:lineRule="auto"/>
        <w:tabs>
          <w:tab w:leader="none" w:pos="1307"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Conflicts</w:t>
      </w:r>
      <w:r>
        <w:rPr>
          <w:rFonts w:ascii="Arial" w:cs="Arial" w:eastAsia="Arial" w:hAnsi="Arial"/>
          <w:sz w:val="18"/>
          <w:szCs w:val="18"/>
          <w:color w:val="auto"/>
        </w:rPr>
        <w:t>. In the event of any conflict between the provisions of the Plan as in effect on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hereof and the provisions of this Agreement, the provisions of the Plan shall govern. All references herein to the Plan shall mean the Plan as in effect on the date hereof.</w:t>
      </w:r>
    </w:p>
    <w:p>
      <w:pPr>
        <w:spacing w:after="0" w:line="186" w:lineRule="exact"/>
        <w:rPr>
          <w:rFonts w:ascii="Arial" w:cs="Arial" w:eastAsia="Arial" w:hAnsi="Arial"/>
          <w:sz w:val="18"/>
          <w:szCs w:val="18"/>
          <w:color w:val="auto"/>
        </w:rPr>
      </w:pPr>
    </w:p>
    <w:p>
      <w:pPr>
        <w:ind w:right="2179" w:firstLine="656"/>
        <w:spacing w:after="0" w:line="275" w:lineRule="auto"/>
        <w:tabs>
          <w:tab w:leader="none" w:pos="1307"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Participant Bound by Plan</w:t>
      </w:r>
      <w:r>
        <w:rPr>
          <w:rFonts w:ascii="Arial" w:cs="Arial" w:eastAsia="Arial" w:hAnsi="Arial"/>
          <w:sz w:val="18"/>
          <w:szCs w:val="18"/>
          <w:color w:val="auto"/>
        </w:rPr>
        <w:t>. Participant hereby acknowledges receipt of a copy of the Plan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agrees to be bound by all the terms and provisions thereof.</w:t>
      </w:r>
    </w:p>
    <w:p>
      <w:pPr>
        <w:spacing w:after="0" w:line="173" w:lineRule="exact"/>
        <w:rPr>
          <w:rFonts w:ascii="Arial" w:cs="Arial" w:eastAsia="Arial" w:hAnsi="Arial"/>
          <w:sz w:val="18"/>
          <w:szCs w:val="18"/>
          <w:color w:val="auto"/>
        </w:rPr>
      </w:pPr>
    </w:p>
    <w:p>
      <w:pPr>
        <w:ind w:right="2199" w:firstLine="656"/>
        <w:spacing w:after="0" w:line="262" w:lineRule="auto"/>
        <w:tabs>
          <w:tab w:leader="none" w:pos="1307"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Binding Effect</w:t>
      </w:r>
      <w:r>
        <w:rPr>
          <w:rFonts w:ascii="Arial" w:cs="Arial" w:eastAsia="Arial" w:hAnsi="Arial"/>
          <w:sz w:val="18"/>
          <w:szCs w:val="18"/>
          <w:color w:val="auto"/>
        </w:rPr>
        <w:t>. Subject to the limitations stated above and in the Plan, this Agreement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binding upon and inure to the benefit of the legatees, distributees, and personal representatives of Participant and the successors of the Company.</w:t>
      </w:r>
    </w:p>
    <w:p>
      <w:pPr>
        <w:spacing w:after="0" w:line="186" w:lineRule="exact"/>
        <w:rPr>
          <w:rFonts w:ascii="Arial" w:cs="Arial" w:eastAsia="Arial" w:hAnsi="Arial"/>
          <w:sz w:val="18"/>
          <w:szCs w:val="18"/>
          <w:color w:val="auto"/>
        </w:rPr>
      </w:pPr>
    </w:p>
    <w:p>
      <w:pPr>
        <w:ind w:right="2179" w:firstLine="656"/>
        <w:spacing w:after="0" w:line="301" w:lineRule="auto"/>
        <w:tabs>
          <w:tab w:leader="none" w:pos="1307"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Notification Upon Sale</w:t>
      </w:r>
      <w:r>
        <w:rPr>
          <w:rFonts w:ascii="Arial" w:cs="Arial" w:eastAsia="Arial" w:hAnsi="Arial"/>
          <w:sz w:val="16"/>
          <w:szCs w:val="16"/>
          <w:color w:val="auto"/>
        </w:rPr>
        <w:t>. Participant shall give written notice to the company’s Secretary at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principal office in Edinburg, Virginia if the Participant sells or otherwise disposes of any shares acquired under this Option before the expiration of the two-year period beginning on the Date of Grant or the one-year period beginning on the date that the Participant exercised this Option with respect to such shares.</w:t>
      </w:r>
    </w:p>
    <w:p>
      <w:pPr>
        <w:spacing w:after="0" w:line="163" w:lineRule="exact"/>
        <w:rPr>
          <w:sz w:val="20"/>
          <w:szCs w:val="20"/>
          <w:color w:val="auto"/>
        </w:rPr>
      </w:pPr>
    </w:p>
    <w:p>
      <w:pPr>
        <w:ind w:right="2399" w:firstLine="648"/>
        <w:spacing w:after="0" w:line="268" w:lineRule="auto"/>
        <w:rPr>
          <w:sz w:val="20"/>
          <w:szCs w:val="20"/>
          <w:color w:val="auto"/>
        </w:rPr>
      </w:pPr>
      <w:r>
        <w:rPr>
          <w:rFonts w:ascii="Arial" w:cs="Arial" w:eastAsia="Arial" w:hAnsi="Arial"/>
          <w:sz w:val="18"/>
          <w:szCs w:val="18"/>
          <w:color w:val="auto"/>
        </w:rPr>
        <w:t>IN WITNESS WHEREOF, the company has caused this Agreement to be signed by a duly authorized officer, and Participant has affixed his signature hereto.</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SHENANDOAH TELECOMMUNICATIONS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20"/>
                <w:szCs w:val="20"/>
                <w:color w:val="auto"/>
              </w:rPr>
            </w:pPr>
            <w:r>
              <w:rPr>
                <w:rFonts w:ascii="Arial" w:cs="Arial" w:eastAsia="Arial" w:hAnsi="Arial"/>
                <w:sz w:val="18"/>
                <w:szCs w:val="18"/>
                <w:color w:val="auto"/>
              </w:rPr>
              <w:t>By</w:t>
            </w:r>
          </w:p>
        </w:tc>
        <w:tc>
          <w:tcPr>
            <w:tcW w:w="2940" w:type="dxa"/>
            <w:vAlign w:val="bottom"/>
            <w:tcBorders>
              <w:bottom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c>
          <w:tcPr>
            <w:tcW w:w="780" w:type="dxa"/>
            <w:vAlign w:val="bottom"/>
          </w:tcPr>
          <w:p>
            <w:pPr>
              <w:spacing w:after="0"/>
              <w:rPr>
                <w:sz w:val="18"/>
                <w:szCs w:val="18"/>
                <w:color w:val="auto"/>
              </w:rPr>
            </w:pPr>
          </w:p>
        </w:tc>
      </w:tr>
      <w:tr>
        <w:trPr>
          <w:trHeight w:val="228"/>
        </w:trPr>
        <w:tc>
          <w:tcPr>
            <w:tcW w:w="260" w:type="dxa"/>
            <w:vAlign w:val="bottom"/>
          </w:tcPr>
          <w:p>
            <w:pPr>
              <w:spacing w:after="0"/>
              <w:rPr>
                <w:sz w:val="19"/>
                <w:szCs w:val="19"/>
                <w:color w:val="auto"/>
              </w:rPr>
            </w:pPr>
          </w:p>
        </w:tc>
        <w:tc>
          <w:tcPr>
            <w:tcW w:w="2940" w:type="dxa"/>
            <w:vAlign w:val="bottom"/>
          </w:tcPr>
          <w:p>
            <w:pPr>
              <w:ind w:left="80"/>
              <w:spacing w:after="0"/>
              <w:rPr>
                <w:sz w:val="20"/>
                <w:szCs w:val="20"/>
                <w:color w:val="auto"/>
              </w:rPr>
            </w:pPr>
            <w:r>
              <w:rPr>
                <w:rFonts w:ascii="Arial" w:cs="Arial" w:eastAsia="Arial" w:hAnsi="Arial"/>
                <w:sz w:val="18"/>
                <w:szCs w:val="18"/>
                <w:color w:val="auto"/>
              </w:rPr>
              <w:t>Christopher E. French</w:t>
            </w:r>
          </w:p>
        </w:tc>
        <w:tc>
          <w:tcPr>
            <w:tcW w:w="880" w:type="dxa"/>
            <w:vAlign w:val="bottom"/>
          </w:tcPr>
          <w:p>
            <w:pPr>
              <w:spacing w:after="0"/>
              <w:rPr>
                <w:sz w:val="19"/>
                <w:szCs w:val="19"/>
                <w:color w:val="auto"/>
              </w:rPr>
            </w:pPr>
          </w:p>
        </w:tc>
        <w:tc>
          <w:tcPr>
            <w:tcW w:w="4060" w:type="dxa"/>
            <w:vAlign w:val="bottom"/>
            <w:gridSpan w:val="2"/>
          </w:tcPr>
          <w:p>
            <w:pPr>
              <w:ind w:left="1120"/>
              <w:spacing w:after="0"/>
              <w:rPr>
                <w:sz w:val="20"/>
                <w:szCs w:val="20"/>
                <w:color w:val="auto"/>
              </w:rPr>
            </w:pPr>
            <w:r>
              <w:rPr>
                <w:rFonts w:ascii="Arial" w:cs="Arial" w:eastAsia="Arial" w:hAnsi="Arial"/>
                <w:sz w:val="18"/>
                <w:szCs w:val="18"/>
                <w:color w:val="auto"/>
              </w:rPr>
              <w:t>Participant</w:t>
            </w:r>
          </w:p>
        </w:tc>
      </w:tr>
      <w:tr>
        <w:trPr>
          <w:trHeight w:val="222"/>
        </w:trPr>
        <w:tc>
          <w:tcPr>
            <w:tcW w:w="260" w:type="dxa"/>
            <w:vAlign w:val="bottom"/>
          </w:tcPr>
          <w:p>
            <w:pPr>
              <w:spacing w:after="0"/>
              <w:rPr>
                <w:sz w:val="19"/>
                <w:szCs w:val="19"/>
                <w:color w:val="auto"/>
              </w:rPr>
            </w:pPr>
          </w:p>
        </w:tc>
        <w:tc>
          <w:tcPr>
            <w:tcW w:w="2940" w:type="dxa"/>
            <w:vAlign w:val="bottom"/>
          </w:tcPr>
          <w:p>
            <w:pPr>
              <w:ind w:left="80"/>
              <w:spacing w:after="0"/>
              <w:rPr>
                <w:sz w:val="20"/>
                <w:szCs w:val="20"/>
                <w:color w:val="auto"/>
              </w:rPr>
            </w:pPr>
            <w:r>
              <w:rPr>
                <w:rFonts w:ascii="Arial" w:cs="Arial" w:eastAsia="Arial" w:hAnsi="Arial"/>
                <w:sz w:val="18"/>
                <w:szCs w:val="18"/>
                <w:color w:val="auto"/>
              </w:rPr>
              <w:t>President</w:t>
            </w:r>
          </w:p>
        </w:tc>
        <w:tc>
          <w:tcPr>
            <w:tcW w:w="8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985"/>
        </w:trPr>
        <w:tc>
          <w:tcPr>
            <w:tcW w:w="260" w:type="dxa"/>
            <w:vAlign w:val="bottom"/>
            <w:tcBorders>
              <w:bottom w:val="single" w:sz="8" w:color="808080"/>
            </w:tcBorders>
          </w:tcPr>
          <w:p>
            <w:pPr>
              <w:spacing w:after="0"/>
              <w:rPr>
                <w:sz w:val="24"/>
                <w:szCs w:val="24"/>
                <w:color w:val="auto"/>
              </w:rPr>
            </w:pPr>
          </w:p>
        </w:tc>
        <w:tc>
          <w:tcPr>
            <w:tcW w:w="29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31" w:right="1440" w:bottom="708" w:gutter="0" w:footer="0" w:header="0"/>
        </w:sectPr>
      </w:pPr>
    </w:p>
    <w:bookmarkStart w:id="122" w:name="page123"/>
    <w:bookmarkEnd w:id="122"/>
    <w:p>
      <w:pPr>
        <w:spacing w:after="0" w:line="46" w:lineRule="exact"/>
        <w:rPr>
          <w:sz w:val="20"/>
          <w:szCs w:val="20"/>
          <w:color w:val="auto"/>
        </w:rPr>
      </w:pPr>
    </w:p>
    <w:p>
      <w:pPr>
        <w:jc w:val="right"/>
        <w:ind w:right="2099"/>
        <w:spacing w:after="0"/>
        <w:rPr>
          <w:sz w:val="20"/>
          <w:szCs w:val="20"/>
          <w:color w:val="auto"/>
        </w:rPr>
      </w:pPr>
      <w:r>
        <w:rPr>
          <w:rFonts w:ascii="Arial" w:cs="Arial" w:eastAsia="Arial" w:hAnsi="Arial"/>
          <w:sz w:val="18"/>
          <w:szCs w:val="18"/>
          <w:color w:val="auto"/>
        </w:rPr>
        <w:t>Exhibit 10.30</w:t>
      </w:r>
    </w:p>
    <w:p>
      <w:pPr>
        <w:spacing w:after="0" w:line="225" w:lineRule="exact"/>
        <w:rPr>
          <w:sz w:val="20"/>
          <w:szCs w:val="20"/>
          <w:color w:val="auto"/>
        </w:rPr>
      </w:pPr>
    </w:p>
    <w:p>
      <w:pPr>
        <w:jc w:val="center"/>
        <w:ind w:right="2179"/>
        <w:spacing w:after="0"/>
        <w:rPr>
          <w:sz w:val="20"/>
          <w:szCs w:val="20"/>
          <w:color w:val="auto"/>
        </w:rPr>
      </w:pPr>
      <w:r>
        <w:rPr>
          <w:rFonts w:ascii="Arial" w:cs="Arial" w:eastAsia="Arial" w:hAnsi="Arial"/>
          <w:sz w:val="18"/>
          <w:szCs w:val="18"/>
          <w:color w:val="auto"/>
        </w:rPr>
        <w:t>STOCK REDEMPTION AGREEMENT</w:t>
      </w:r>
    </w:p>
    <w:p>
      <w:pPr>
        <w:spacing w:after="0" w:line="212" w:lineRule="exact"/>
        <w:rPr>
          <w:sz w:val="20"/>
          <w:szCs w:val="20"/>
          <w:color w:val="auto"/>
        </w:rPr>
      </w:pPr>
    </w:p>
    <w:p>
      <w:pPr>
        <w:jc w:val="center"/>
        <w:ind w:right="2179"/>
        <w:spacing w:after="0"/>
        <w:rPr>
          <w:sz w:val="20"/>
          <w:szCs w:val="20"/>
          <w:color w:val="auto"/>
        </w:rPr>
      </w:pPr>
      <w:r>
        <w:rPr>
          <w:rFonts w:ascii="Arial" w:cs="Arial" w:eastAsia="Arial" w:hAnsi="Arial"/>
          <w:sz w:val="18"/>
          <w:szCs w:val="18"/>
          <w:color w:val="auto"/>
        </w:rPr>
        <w:t>dated as of November 10, 2005</w:t>
      </w:r>
    </w:p>
    <w:p>
      <w:pPr>
        <w:spacing w:after="0" w:line="225" w:lineRule="exact"/>
        <w:rPr>
          <w:sz w:val="20"/>
          <w:szCs w:val="20"/>
          <w:color w:val="auto"/>
        </w:rPr>
      </w:pPr>
    </w:p>
    <w:p>
      <w:pPr>
        <w:jc w:val="center"/>
        <w:ind w:right="2179"/>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2179"/>
        <w:spacing w:after="0"/>
        <w:rPr>
          <w:sz w:val="20"/>
          <w:szCs w:val="20"/>
          <w:color w:val="auto"/>
        </w:rPr>
      </w:pPr>
      <w:r>
        <w:rPr>
          <w:rFonts w:ascii="Arial" w:cs="Arial" w:eastAsia="Arial" w:hAnsi="Arial"/>
          <w:sz w:val="18"/>
          <w:szCs w:val="18"/>
          <w:color w:val="auto"/>
        </w:rPr>
        <w:t>SHENANDOAH TELEPHONE COMPANY</w:t>
      </w:r>
    </w:p>
    <w:p>
      <w:pPr>
        <w:spacing w:after="0" w:line="212" w:lineRule="exact"/>
        <w:rPr>
          <w:sz w:val="20"/>
          <w:szCs w:val="20"/>
          <w:color w:val="auto"/>
        </w:rPr>
      </w:pPr>
    </w:p>
    <w:p>
      <w:pPr>
        <w:jc w:val="center"/>
        <w:ind w:right="2179"/>
        <w:spacing w:after="0"/>
        <w:rPr>
          <w:sz w:val="20"/>
          <w:szCs w:val="20"/>
          <w:color w:val="auto"/>
        </w:rPr>
      </w:pPr>
      <w:r>
        <w:rPr>
          <w:rFonts w:ascii="Arial" w:cs="Arial" w:eastAsia="Arial" w:hAnsi="Arial"/>
          <w:sz w:val="18"/>
          <w:szCs w:val="18"/>
          <w:color w:val="auto"/>
        </w:rPr>
        <w:t>and</w:t>
      </w:r>
    </w:p>
    <w:p>
      <w:pPr>
        <w:spacing w:after="0" w:line="212"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THE RURAL TELEPHONE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643890</wp:posOffset>
            </wp:positionV>
            <wp:extent cx="5166995" cy="215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660" w:right="2119" w:firstLine="570"/>
        <w:spacing w:after="0" w:line="255" w:lineRule="auto"/>
        <w:rPr>
          <w:sz w:val="20"/>
          <w:szCs w:val="20"/>
          <w:color w:val="auto"/>
        </w:rPr>
      </w:pPr>
      <w:r>
        <w:rPr>
          <w:rFonts w:ascii="Arial" w:cs="Arial" w:eastAsia="Arial" w:hAnsi="Arial"/>
          <w:sz w:val="18"/>
          <w:szCs w:val="18"/>
          <w:color w:val="auto"/>
        </w:rPr>
        <w:t xml:space="preserve">STOCK REDEMPTION AGREEMENT (this “Agreement,”) dated as of November 10, 2005, is between the </w:t>
      </w:r>
      <w:r>
        <w:rPr>
          <w:rFonts w:ascii="Arial" w:cs="Arial" w:eastAsia="Arial" w:hAnsi="Arial"/>
          <w:sz w:val="18"/>
          <w:szCs w:val="18"/>
          <w:b w:val="1"/>
          <w:bCs w:val="1"/>
          <w:color w:val="auto"/>
        </w:rPr>
        <w:t>RURAL TELEPHONE BANK</w:t>
      </w:r>
      <w:r>
        <w:rPr>
          <w:rFonts w:ascii="Arial" w:cs="Arial" w:eastAsia="Arial" w:hAnsi="Arial"/>
          <w:sz w:val="18"/>
          <w:szCs w:val="18"/>
          <w:color w:val="auto"/>
        </w:rPr>
        <w:t xml:space="preserve"> (the “Bank”) a corporation existing under the laws of the United States of America, acting through the Chairman of the Bank and </w:t>
      </w:r>
      <w:r>
        <w:rPr>
          <w:rFonts w:ascii="Arial" w:cs="Arial" w:eastAsia="Arial" w:hAnsi="Arial"/>
          <w:sz w:val="18"/>
          <w:szCs w:val="18"/>
          <w:b w:val="1"/>
          <w:bCs w:val="1"/>
          <w:color w:val="auto"/>
        </w:rPr>
        <w:t>SHENANDOAH</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TELEPHONE COMPANY </w:t>
      </w:r>
      <w:r>
        <w:rPr>
          <w:rFonts w:ascii="Arial" w:cs="Arial" w:eastAsia="Arial" w:hAnsi="Arial"/>
          <w:sz w:val="18"/>
          <w:szCs w:val="18"/>
          <w:color w:val="auto"/>
        </w:rPr>
        <w:t>(the “Holder,”) a corporation existing under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Virginia.</w:t>
      </w:r>
    </w:p>
    <w:p>
      <w:pPr>
        <w:spacing w:after="0" w:line="197" w:lineRule="exact"/>
        <w:rPr>
          <w:sz w:val="20"/>
          <w:szCs w:val="20"/>
          <w:color w:val="auto"/>
        </w:rPr>
      </w:pPr>
    </w:p>
    <w:p>
      <w:pPr>
        <w:jc w:val="both"/>
        <w:ind w:right="2119" w:firstLine="622"/>
        <w:spacing w:after="0" w:line="332" w:lineRule="auto"/>
        <w:rPr>
          <w:sz w:val="20"/>
          <w:szCs w:val="20"/>
          <w:color w:val="auto"/>
        </w:rPr>
      </w:pPr>
      <w:r>
        <w:rPr>
          <w:rFonts w:ascii="Arial" w:cs="Arial" w:eastAsia="Arial" w:hAnsi="Arial"/>
          <w:sz w:val="16"/>
          <w:szCs w:val="16"/>
          <w:color w:val="auto"/>
        </w:rPr>
        <w:t>WHEREAS, the Board of Directors of the Bank has authorized the liquidation and dissolution of the Bank and approved a plan of liquidation in a Resolution adopted at its board meeting held on August 4, 2005;</w:t>
      </w:r>
    </w:p>
    <w:p>
      <w:pPr>
        <w:spacing w:after="0" w:line="99" w:lineRule="exact"/>
        <w:rPr>
          <w:sz w:val="20"/>
          <w:szCs w:val="20"/>
          <w:color w:val="auto"/>
        </w:rPr>
      </w:pPr>
    </w:p>
    <w:p>
      <w:pPr>
        <w:jc w:val="both"/>
        <w:ind w:right="2099" w:firstLine="622"/>
        <w:spacing w:after="0" w:line="298" w:lineRule="auto"/>
        <w:rPr>
          <w:sz w:val="20"/>
          <w:szCs w:val="20"/>
          <w:color w:val="auto"/>
        </w:rPr>
      </w:pPr>
      <w:r>
        <w:rPr>
          <w:rFonts w:ascii="Arial" w:cs="Arial" w:eastAsia="Arial" w:hAnsi="Arial"/>
          <w:sz w:val="16"/>
          <w:szCs w:val="16"/>
          <w:color w:val="auto"/>
        </w:rPr>
        <w:t>WHEREAS, the Bank and the United States of America (“Government,”) acting through the Rural Utilities Service (“RUS,”) have entered into a Loan Transfer Agreement, dated as of August 4, 2005, pursuant to which the Bank has conveyed to RUS the Bank’s liquidating account loan portfolio as part of the consideration for RUS’ agreement to return all of its Class A Stock to the Bank for redemption and cancellation;</w:t>
      </w:r>
    </w:p>
    <w:p>
      <w:pPr>
        <w:spacing w:after="0" w:line="126" w:lineRule="exact"/>
        <w:rPr>
          <w:sz w:val="20"/>
          <w:szCs w:val="20"/>
          <w:color w:val="auto"/>
        </w:rPr>
      </w:pPr>
    </w:p>
    <w:p>
      <w:pPr>
        <w:jc w:val="both"/>
        <w:ind w:right="2119" w:firstLine="622"/>
        <w:spacing w:after="0" w:line="268" w:lineRule="auto"/>
        <w:rPr>
          <w:sz w:val="20"/>
          <w:szCs w:val="20"/>
          <w:color w:val="auto"/>
        </w:rPr>
      </w:pPr>
      <w:r>
        <w:rPr>
          <w:rFonts w:ascii="Arial" w:cs="Arial" w:eastAsia="Arial" w:hAnsi="Arial"/>
          <w:sz w:val="18"/>
          <w:szCs w:val="18"/>
          <w:color w:val="auto"/>
        </w:rPr>
        <w:t>WHEREAS, upon transfer to the Government, no further advances will be made on the Liquidating Account Loans, as hereinafter defined;</w:t>
      </w:r>
    </w:p>
    <w:p>
      <w:pPr>
        <w:spacing w:after="0" w:line="159" w:lineRule="exact"/>
        <w:rPr>
          <w:sz w:val="20"/>
          <w:szCs w:val="20"/>
          <w:color w:val="auto"/>
        </w:rPr>
      </w:pPr>
    </w:p>
    <w:p>
      <w:pPr>
        <w:jc w:val="both"/>
        <w:ind w:right="2119" w:firstLine="622"/>
        <w:spacing w:after="0" w:line="268" w:lineRule="auto"/>
        <w:rPr>
          <w:sz w:val="20"/>
          <w:szCs w:val="20"/>
          <w:color w:val="auto"/>
        </w:rPr>
      </w:pPr>
      <w:r>
        <w:rPr>
          <w:rFonts w:ascii="Arial" w:cs="Arial" w:eastAsia="Arial" w:hAnsi="Arial"/>
          <w:sz w:val="18"/>
          <w:szCs w:val="18"/>
          <w:color w:val="auto"/>
        </w:rPr>
        <w:t>WHEREAS, pursuant to Section 4l1 of the Act (defined herein), the Bank will pay all of its liabilities and will redeem and cancel all of its outstanding Class A Stock;</w:t>
      </w:r>
    </w:p>
    <w:p>
      <w:pPr>
        <w:spacing w:after="0" w:line="145" w:lineRule="exact"/>
        <w:rPr>
          <w:sz w:val="20"/>
          <w:szCs w:val="20"/>
          <w:color w:val="auto"/>
        </w:rPr>
      </w:pPr>
    </w:p>
    <w:p>
      <w:pPr>
        <w:jc w:val="both"/>
        <w:ind w:right="2119" w:firstLine="622"/>
        <w:spacing w:after="0" w:line="332" w:lineRule="auto"/>
        <w:rPr>
          <w:sz w:val="20"/>
          <w:szCs w:val="20"/>
          <w:color w:val="auto"/>
        </w:rPr>
      </w:pPr>
      <w:r>
        <w:rPr>
          <w:rFonts w:ascii="Arial" w:cs="Arial" w:eastAsia="Arial" w:hAnsi="Arial"/>
          <w:sz w:val="16"/>
          <w:szCs w:val="16"/>
          <w:color w:val="auto"/>
        </w:rPr>
        <w:t>WHEREAS, the Bank has converted the paper stock certificates of its outstanding shares of Class B Stock and Class C Stock to electronic “book-entry” certificates and has canceled its printed stock certificates;</w:t>
      </w:r>
    </w:p>
    <w:p>
      <w:pPr>
        <w:spacing w:after="0" w:line="112" w:lineRule="exact"/>
        <w:rPr>
          <w:sz w:val="20"/>
          <w:szCs w:val="20"/>
          <w:color w:val="auto"/>
        </w:rPr>
      </w:pPr>
    </w:p>
    <w:p>
      <w:pPr>
        <w:jc w:val="both"/>
        <w:ind w:right="2119" w:firstLine="622"/>
        <w:spacing w:after="0" w:line="268" w:lineRule="auto"/>
        <w:rPr>
          <w:sz w:val="20"/>
          <w:szCs w:val="20"/>
          <w:color w:val="auto"/>
        </w:rPr>
      </w:pPr>
      <w:r>
        <w:rPr>
          <w:rFonts w:ascii="Arial" w:cs="Arial" w:eastAsia="Arial" w:hAnsi="Arial"/>
          <w:sz w:val="18"/>
          <w:szCs w:val="18"/>
          <w:color w:val="auto"/>
        </w:rPr>
        <w:t>WHEREAS, pursuant to the Board of Directors’ plan of liquidation, the Bank is required to redeem all of its outstanding Class B Stock and Class C Stock;</w:t>
      </w:r>
    </w:p>
    <w:p>
      <w:pPr>
        <w:spacing w:after="0" w:line="145" w:lineRule="exact"/>
        <w:rPr>
          <w:sz w:val="20"/>
          <w:szCs w:val="20"/>
          <w:color w:val="auto"/>
        </w:rPr>
      </w:pPr>
    </w:p>
    <w:p>
      <w:pPr>
        <w:jc w:val="both"/>
        <w:ind w:right="2119" w:firstLine="622"/>
        <w:spacing w:after="0" w:line="268" w:lineRule="auto"/>
        <w:rPr>
          <w:sz w:val="20"/>
          <w:szCs w:val="20"/>
          <w:color w:val="auto"/>
        </w:rPr>
      </w:pPr>
      <w:r>
        <w:rPr>
          <w:rFonts w:ascii="Arial" w:cs="Arial" w:eastAsia="Arial" w:hAnsi="Arial"/>
          <w:sz w:val="18"/>
          <w:szCs w:val="18"/>
          <w:color w:val="auto"/>
        </w:rPr>
        <w:t>WHEREAS, pursuant to Sections 2.2 and 2.4 of the Bylaws of the Bank, as amended, the Holder is the owner of certain shares of Class B Stock and/or Class C Stock of the Bank; and</w:t>
      </w:r>
    </w:p>
    <w:p>
      <w:pPr>
        <w:spacing w:after="0" w:line="159" w:lineRule="exact"/>
        <w:rPr>
          <w:sz w:val="20"/>
          <w:szCs w:val="20"/>
          <w:color w:val="auto"/>
        </w:rPr>
      </w:pPr>
    </w:p>
    <w:p>
      <w:pPr>
        <w:jc w:val="both"/>
        <w:ind w:right="2119" w:firstLine="622"/>
        <w:spacing w:after="0" w:line="259" w:lineRule="auto"/>
        <w:rPr>
          <w:sz w:val="20"/>
          <w:szCs w:val="20"/>
          <w:color w:val="auto"/>
        </w:rPr>
      </w:pPr>
      <w:r>
        <w:rPr>
          <w:rFonts w:ascii="Arial" w:cs="Arial" w:eastAsia="Arial" w:hAnsi="Arial"/>
          <w:sz w:val="18"/>
          <w:szCs w:val="18"/>
          <w:color w:val="auto"/>
        </w:rPr>
        <w:t>WHEREAS, the Holder has heretofore adopted, executed, and returned the Redemption Resolution (defined herein), authorizing the undersigned to execute and deliver this Agreement to the Bank on behalf of the Holder;</w:t>
      </w:r>
    </w:p>
    <w:p>
      <w:pPr>
        <w:spacing w:after="0" w:line="154" w:lineRule="exact"/>
        <w:rPr>
          <w:sz w:val="20"/>
          <w:szCs w:val="20"/>
          <w:color w:val="auto"/>
        </w:rPr>
      </w:pPr>
    </w:p>
    <w:p>
      <w:pPr>
        <w:jc w:val="both"/>
        <w:ind w:right="2119" w:firstLine="622"/>
        <w:spacing w:after="0" w:line="268" w:lineRule="auto"/>
        <w:rPr>
          <w:sz w:val="20"/>
          <w:szCs w:val="20"/>
          <w:color w:val="auto"/>
        </w:rPr>
      </w:pPr>
      <w:r>
        <w:rPr>
          <w:rFonts w:ascii="Arial" w:cs="Arial" w:eastAsia="Arial" w:hAnsi="Arial"/>
          <w:sz w:val="18"/>
          <w:szCs w:val="18"/>
          <w:color w:val="auto"/>
        </w:rPr>
        <w:t>THEREFORE, in consideration of the mutual promises and covenants herein contained, the parties agree and bind themselves as follows:</w:t>
      </w:r>
    </w:p>
    <w:p>
      <w:pPr>
        <w:spacing w:after="0" w:line="369" w:lineRule="exact"/>
        <w:rPr>
          <w:sz w:val="20"/>
          <w:szCs w:val="20"/>
          <w:color w:val="auto"/>
        </w:rPr>
      </w:pPr>
    </w:p>
    <w:p>
      <w:pPr>
        <w:jc w:val="center"/>
        <w:ind w:right="217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2179"/>
        <w:spacing w:after="0"/>
        <w:rPr>
          <w:sz w:val="20"/>
          <w:szCs w:val="20"/>
          <w:color w:val="auto"/>
        </w:rPr>
      </w:pPr>
      <w:r>
        <w:rPr>
          <w:rFonts w:ascii="Arial" w:cs="Arial" w:eastAsia="Arial" w:hAnsi="Arial"/>
          <w:sz w:val="18"/>
          <w:szCs w:val="18"/>
          <w:b w:val="1"/>
          <w:bCs w:val="1"/>
          <w:color w:val="auto"/>
        </w:rPr>
        <w:t>DEFINITIONS</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 xml:space="preserve">“Act” </w:t>
      </w:r>
      <w:r>
        <w:rPr>
          <w:rFonts w:ascii="Arial" w:cs="Arial" w:eastAsia="Arial" w:hAnsi="Arial"/>
          <w:sz w:val="16"/>
          <w:szCs w:val="16"/>
          <w:color w:val="auto"/>
        </w:rPr>
        <w:t>means Title IV of the Rural Electrification Act of 1936, 7 U.S.C. § 941</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et seq</w:t>
      </w:r>
      <w:r>
        <w:rPr>
          <w:rFonts w:ascii="Arial" w:cs="Arial" w:eastAsia="Arial" w:hAnsi="Arial"/>
          <w:sz w:val="16"/>
          <w:szCs w:val="16"/>
          <w:color w:val="auto"/>
        </w:rPr>
        <w:t>, as amended.</w:t>
      </w:r>
    </w:p>
    <w:p>
      <w:pPr>
        <w:spacing w:after="0" w:line="221"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means this Stock Redemption Agreement between the Bank and the Holder.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231775</wp:posOffset>
            </wp:positionV>
            <wp:extent cx="5166995" cy="215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2119" w:firstLine="622"/>
        <w:spacing w:after="0" w:line="275" w:lineRule="auto"/>
        <w:rPr>
          <w:sz w:val="20"/>
          <w:szCs w:val="20"/>
          <w:color w:val="auto"/>
        </w:rPr>
      </w:pPr>
      <w:r>
        <w:rPr>
          <w:rFonts w:ascii="Arial" w:cs="Arial" w:eastAsia="Arial" w:hAnsi="Arial"/>
          <w:sz w:val="18"/>
          <w:szCs w:val="18"/>
          <w:b w:val="1"/>
          <w:bCs w:val="1"/>
          <w:color w:val="auto"/>
        </w:rPr>
        <w:t xml:space="preserve">“Class A Stock” </w:t>
      </w:r>
      <w:r>
        <w:rPr>
          <w:rFonts w:ascii="Arial" w:cs="Arial" w:eastAsia="Arial" w:hAnsi="Arial"/>
          <w:sz w:val="18"/>
          <w:szCs w:val="18"/>
          <w:color w:val="auto"/>
        </w:rPr>
        <w:t>means all of the shares of Class A Stock of the Bank issued and outstanding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Section 406(c) of the Act.</w:t>
      </w:r>
    </w:p>
    <w:p>
      <w:pPr>
        <w:spacing w:after="0" w:line="147" w:lineRule="exact"/>
        <w:rPr>
          <w:sz w:val="20"/>
          <w:szCs w:val="20"/>
          <w:color w:val="auto"/>
        </w:rPr>
      </w:pPr>
    </w:p>
    <w:p>
      <w:pPr>
        <w:jc w:val="both"/>
        <w:ind w:right="2119" w:firstLine="622"/>
        <w:spacing w:after="0" w:line="275" w:lineRule="auto"/>
        <w:rPr>
          <w:sz w:val="20"/>
          <w:szCs w:val="20"/>
          <w:color w:val="auto"/>
        </w:rPr>
      </w:pPr>
      <w:r>
        <w:rPr>
          <w:rFonts w:ascii="Arial" w:cs="Arial" w:eastAsia="Arial" w:hAnsi="Arial"/>
          <w:sz w:val="18"/>
          <w:szCs w:val="18"/>
          <w:b w:val="1"/>
          <w:bCs w:val="1"/>
          <w:color w:val="auto"/>
        </w:rPr>
        <w:t xml:space="preserve">“Class B Stock” </w:t>
      </w:r>
      <w:r>
        <w:rPr>
          <w:rFonts w:ascii="Arial" w:cs="Arial" w:eastAsia="Arial" w:hAnsi="Arial"/>
          <w:sz w:val="18"/>
          <w:szCs w:val="18"/>
          <w:color w:val="auto"/>
        </w:rPr>
        <w:t>means all of the shares of Class B Stock of the Bank issued and outstanding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406(d) of the Act.</w:t>
      </w:r>
    </w:p>
    <w:p>
      <w:pPr>
        <w:sectPr>
          <w:pgSz w:w="11900" w:h="16885" w:orient="portrait"/>
          <w:cols w:equalWidth="0" w:num="1">
            <w:col w:w="10139"/>
          </w:cols>
          <w:pgMar w:left="320" w:top="374" w:right="1440" w:bottom="0" w:gutter="0" w:footer="0" w:header="0"/>
        </w:sectPr>
      </w:pPr>
    </w:p>
    <w:bookmarkStart w:id="123" w:name="page124"/>
    <w:bookmarkEnd w:id="123"/>
    <w:p>
      <w:pPr>
        <w:jc w:val="both"/>
        <w:ind w:left="80" w:right="2099" w:firstLine="622"/>
        <w:spacing w:after="0" w:line="275" w:lineRule="auto"/>
        <w:rPr>
          <w:sz w:val="20"/>
          <w:szCs w:val="20"/>
          <w:color w:val="auto"/>
        </w:rPr>
      </w:pPr>
      <w:r>
        <w:rPr>
          <w:rFonts w:ascii="Arial" w:cs="Arial" w:eastAsia="Arial" w:hAnsi="Arial"/>
          <w:sz w:val="18"/>
          <w:szCs w:val="18"/>
          <w:b w:val="1"/>
          <w:bCs w:val="1"/>
          <w:color w:val="auto"/>
        </w:rPr>
        <w:t xml:space="preserve">“Class C Stock” </w:t>
      </w:r>
      <w:r>
        <w:rPr>
          <w:rFonts w:ascii="Arial" w:cs="Arial" w:eastAsia="Arial" w:hAnsi="Arial"/>
          <w:sz w:val="18"/>
          <w:szCs w:val="18"/>
          <w:color w:val="auto"/>
        </w:rPr>
        <w:t>means all of the shares of Class C Stock of the Bank issued and outstanding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Section 406(e) of the Act.</w:t>
      </w:r>
    </w:p>
    <w:p>
      <w:pPr>
        <w:spacing w:after="0" w:line="133" w:lineRule="exact"/>
        <w:rPr>
          <w:sz w:val="20"/>
          <w:szCs w:val="20"/>
          <w:color w:val="auto"/>
        </w:rPr>
      </w:pPr>
    </w:p>
    <w:p>
      <w:pPr>
        <w:jc w:val="both"/>
        <w:ind w:left="80" w:right="2119" w:firstLine="622"/>
        <w:spacing w:after="0" w:line="275" w:lineRule="auto"/>
        <w:rPr>
          <w:sz w:val="20"/>
          <w:szCs w:val="20"/>
          <w:color w:val="auto"/>
        </w:rPr>
      </w:pPr>
      <w:r>
        <w:rPr>
          <w:rFonts w:ascii="Arial" w:cs="Arial" w:eastAsia="Arial" w:hAnsi="Arial"/>
          <w:sz w:val="18"/>
          <w:szCs w:val="18"/>
          <w:b w:val="1"/>
          <w:bCs w:val="1"/>
          <w:color w:val="auto"/>
        </w:rPr>
        <w:t xml:space="preserve">“Financing Account Loan(s)” </w:t>
      </w:r>
      <w:r>
        <w:rPr>
          <w:rFonts w:ascii="Arial" w:cs="Arial" w:eastAsia="Arial" w:hAnsi="Arial"/>
          <w:sz w:val="18"/>
          <w:szCs w:val="18"/>
          <w:color w:val="auto"/>
        </w:rPr>
        <w:t>mean all loans of the Holder owed to or held by the Bank on or after</w:t>
      </w:r>
      <w:r>
        <w:rPr>
          <w:rFonts w:ascii="Arial" w:cs="Arial" w:eastAsia="Arial" w:hAnsi="Arial"/>
          <w:sz w:val="18"/>
          <w:szCs w:val="18"/>
          <w:b w:val="1"/>
          <w:bCs w:val="1"/>
          <w:color w:val="auto"/>
        </w:rPr>
        <w:t xml:space="preserve"> </w:t>
      </w:r>
      <w:r>
        <w:rPr>
          <w:rFonts w:ascii="Arial" w:cs="Arial" w:eastAsia="Arial" w:hAnsi="Arial"/>
          <w:sz w:val="18"/>
          <w:szCs w:val="18"/>
          <w:color w:val="auto"/>
        </w:rPr>
        <w:t>October 1, 1991.</w:t>
      </w:r>
    </w:p>
    <w:p>
      <w:pPr>
        <w:spacing w:after="0" w:line="147" w:lineRule="exact"/>
        <w:rPr>
          <w:sz w:val="20"/>
          <w:szCs w:val="20"/>
          <w:color w:val="auto"/>
        </w:rPr>
      </w:pPr>
    </w:p>
    <w:p>
      <w:pPr>
        <w:jc w:val="both"/>
        <w:ind w:left="80" w:right="2119" w:firstLine="622"/>
        <w:spacing w:after="0" w:line="275" w:lineRule="auto"/>
        <w:rPr>
          <w:sz w:val="20"/>
          <w:szCs w:val="20"/>
          <w:color w:val="auto"/>
        </w:rPr>
      </w:pPr>
      <w:r>
        <w:rPr>
          <w:rFonts w:ascii="Arial" w:cs="Arial" w:eastAsia="Arial" w:hAnsi="Arial"/>
          <w:sz w:val="18"/>
          <w:szCs w:val="18"/>
          <w:b w:val="1"/>
          <w:bCs w:val="1"/>
          <w:color w:val="auto"/>
        </w:rPr>
        <w:t xml:space="preserve">“Liquidating Account” </w:t>
      </w:r>
      <w:r>
        <w:rPr>
          <w:rFonts w:ascii="Arial" w:cs="Arial" w:eastAsia="Arial" w:hAnsi="Arial"/>
          <w:sz w:val="18"/>
          <w:szCs w:val="18"/>
          <w:color w:val="auto"/>
        </w:rPr>
        <w:t>means the Rural Telephone Bank Liquidating Account, as identified by</w:t>
      </w:r>
      <w:r>
        <w:rPr>
          <w:rFonts w:ascii="Arial" w:cs="Arial" w:eastAsia="Arial" w:hAnsi="Arial"/>
          <w:sz w:val="18"/>
          <w:szCs w:val="18"/>
          <w:b w:val="1"/>
          <w:bCs w:val="1"/>
          <w:color w:val="auto"/>
        </w:rPr>
        <w:t xml:space="preserve"> </w:t>
      </w:r>
      <w:r>
        <w:rPr>
          <w:rFonts w:ascii="Arial" w:cs="Arial" w:eastAsia="Arial" w:hAnsi="Arial"/>
          <w:sz w:val="18"/>
          <w:szCs w:val="18"/>
          <w:color w:val="auto"/>
        </w:rPr>
        <w:t>Treasury account code 12-4231-0-3-452.</w:t>
      </w:r>
    </w:p>
    <w:p>
      <w:pPr>
        <w:spacing w:after="0" w:line="133" w:lineRule="exact"/>
        <w:rPr>
          <w:sz w:val="20"/>
          <w:szCs w:val="20"/>
          <w:color w:val="auto"/>
        </w:rPr>
      </w:pPr>
    </w:p>
    <w:p>
      <w:pPr>
        <w:jc w:val="both"/>
        <w:ind w:left="80" w:right="2119" w:firstLine="622"/>
        <w:spacing w:after="0" w:line="275" w:lineRule="auto"/>
        <w:rPr>
          <w:sz w:val="20"/>
          <w:szCs w:val="20"/>
          <w:color w:val="auto"/>
        </w:rPr>
      </w:pPr>
      <w:r>
        <w:rPr>
          <w:rFonts w:ascii="Arial" w:cs="Arial" w:eastAsia="Arial" w:hAnsi="Arial"/>
          <w:sz w:val="18"/>
          <w:szCs w:val="18"/>
          <w:b w:val="1"/>
          <w:bCs w:val="1"/>
          <w:color w:val="auto"/>
        </w:rPr>
        <w:t xml:space="preserve">“Liquidating Account Loan(s)” </w:t>
      </w:r>
      <w:r>
        <w:rPr>
          <w:rFonts w:ascii="Arial" w:cs="Arial" w:eastAsia="Arial" w:hAnsi="Arial"/>
          <w:sz w:val="18"/>
          <w:szCs w:val="18"/>
          <w:color w:val="auto"/>
        </w:rPr>
        <w:t>mean all loans of the Holder owed to or held by the Bank before</w:t>
      </w:r>
      <w:r>
        <w:rPr>
          <w:rFonts w:ascii="Arial" w:cs="Arial" w:eastAsia="Arial" w:hAnsi="Arial"/>
          <w:sz w:val="18"/>
          <w:szCs w:val="18"/>
          <w:b w:val="1"/>
          <w:bCs w:val="1"/>
          <w:color w:val="auto"/>
        </w:rPr>
        <w:t xml:space="preserve"> </w:t>
      </w:r>
      <w:r>
        <w:rPr>
          <w:rFonts w:ascii="Arial" w:cs="Arial" w:eastAsia="Arial" w:hAnsi="Arial"/>
          <w:sz w:val="18"/>
          <w:szCs w:val="18"/>
          <w:color w:val="auto"/>
        </w:rPr>
        <w:t>October 1, 1991” as listed on Schedule I.</w:t>
      </w:r>
    </w:p>
    <w:p>
      <w:pPr>
        <w:spacing w:after="0" w:line="147" w:lineRule="exact"/>
        <w:rPr>
          <w:sz w:val="20"/>
          <w:szCs w:val="20"/>
          <w:color w:val="auto"/>
        </w:rPr>
      </w:pPr>
    </w:p>
    <w:p>
      <w:pPr>
        <w:jc w:val="both"/>
        <w:ind w:left="80" w:right="2119" w:firstLine="622"/>
        <w:spacing w:after="0" w:line="262" w:lineRule="auto"/>
        <w:rPr>
          <w:sz w:val="20"/>
          <w:szCs w:val="20"/>
          <w:color w:val="auto"/>
        </w:rPr>
      </w:pPr>
      <w:r>
        <w:rPr>
          <w:rFonts w:ascii="Arial" w:cs="Arial" w:eastAsia="Arial" w:hAnsi="Arial"/>
          <w:sz w:val="18"/>
          <w:szCs w:val="18"/>
          <w:b w:val="1"/>
          <w:bCs w:val="1"/>
          <w:color w:val="auto"/>
        </w:rPr>
        <w:t xml:space="preserve">“Loan Transfer Agreement” </w:t>
      </w:r>
      <w:r>
        <w:rPr>
          <w:rFonts w:ascii="Arial" w:cs="Arial" w:eastAsia="Arial" w:hAnsi="Arial"/>
          <w:sz w:val="18"/>
          <w:szCs w:val="18"/>
          <w:color w:val="auto"/>
        </w:rPr>
        <w:t>means the Loan Transfer Agreement, dated as of August 4, 2005,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the United States of America, acting through the Administrator of RUS, successor to the Rural Electrification Administration, and the Bank.</w:t>
      </w:r>
    </w:p>
    <w:p>
      <w:pPr>
        <w:spacing w:after="0" w:line="146" w:lineRule="exact"/>
        <w:rPr>
          <w:sz w:val="20"/>
          <w:szCs w:val="20"/>
          <w:color w:val="auto"/>
        </w:rPr>
      </w:pPr>
    </w:p>
    <w:p>
      <w:pPr>
        <w:jc w:val="both"/>
        <w:ind w:left="80" w:right="2099" w:firstLine="622"/>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Resolution”</w:t>
      </w:r>
      <w:r>
        <w:rPr>
          <w:rFonts w:ascii="Arial" w:cs="Arial" w:eastAsia="Arial" w:hAnsi="Arial"/>
          <w:sz w:val="18"/>
          <w:szCs w:val="18"/>
          <w:color w:val="auto"/>
        </w:rPr>
        <w:t xml:space="preserve"> means that certain resolution passed by the board of directors or other governing body of the Holder which authorizes the execution and delivery of this Agreement by the undersigned on behalf of the Holder.</w:t>
      </w:r>
    </w:p>
    <w:p>
      <w:pPr>
        <w:spacing w:after="0" w:line="15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REPRESENTATIONS AND WARRANTIES OF THE HOLDER</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5"/>
          <w:szCs w:val="15"/>
          <w:b w:val="1"/>
          <w:bCs w:val="1"/>
          <w:color w:val="auto"/>
        </w:rPr>
        <w:t xml:space="preserve">Section 2.1 </w:t>
      </w:r>
      <w:r>
        <w:rPr>
          <w:rFonts w:ascii="Arial" w:cs="Arial" w:eastAsia="Arial" w:hAnsi="Arial"/>
          <w:sz w:val="15"/>
          <w:szCs w:val="15"/>
          <w:b w:val="1"/>
          <w:bCs w:val="1"/>
          <w:i w:val="1"/>
          <w:iCs w:val="1"/>
          <w:u w:val="single" w:color="auto"/>
          <w:color w:val="auto"/>
        </w:rPr>
        <w:t>Representations and Warranties</w:t>
      </w:r>
      <w:r>
        <w:rPr>
          <w:rFonts w:ascii="Arial" w:cs="Arial" w:eastAsia="Arial" w:hAnsi="Arial"/>
          <w:sz w:val="15"/>
          <w:szCs w:val="15"/>
          <w:color w:val="auto"/>
        </w:rPr>
        <w:t>. The Holder does here by represent and warrant as follows:</w:t>
      </w:r>
    </w:p>
    <w:p>
      <w:pPr>
        <w:spacing w:after="0" w:line="200" w:lineRule="exact"/>
        <w:rPr>
          <w:sz w:val="20"/>
          <w:szCs w:val="20"/>
          <w:color w:val="auto"/>
        </w:rPr>
      </w:pPr>
    </w:p>
    <w:p>
      <w:pPr>
        <w:spacing w:after="0" w:line="241" w:lineRule="exact"/>
        <w:rPr>
          <w:sz w:val="20"/>
          <w:szCs w:val="20"/>
          <w:color w:val="auto"/>
        </w:rPr>
      </w:pPr>
    </w:p>
    <w:p>
      <w:pPr>
        <w:ind w:left="1300" w:right="2619" w:hanging="563"/>
        <w:spacing w:after="0" w:line="268"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 is the lawful owner of Class B Stock and/or Class C Stock of the Banking the amounts listed on Schedule II hereto.</w:t>
      </w:r>
    </w:p>
    <w:p>
      <w:pPr>
        <w:spacing w:after="0" w:line="185" w:lineRule="exact"/>
        <w:rPr>
          <w:rFonts w:ascii="Arial" w:cs="Arial" w:eastAsia="Arial" w:hAnsi="Arial"/>
          <w:sz w:val="18"/>
          <w:szCs w:val="18"/>
          <w:color w:val="auto"/>
        </w:rPr>
      </w:pPr>
    </w:p>
    <w:p>
      <w:pPr>
        <w:ind w:left="1300" w:hanging="563"/>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of the information on Schedule II hereto is true and correct.</w:t>
      </w:r>
    </w:p>
    <w:p>
      <w:pPr>
        <w:spacing w:after="0" w:line="225" w:lineRule="exact"/>
        <w:rPr>
          <w:rFonts w:ascii="Arial" w:cs="Arial" w:eastAsia="Arial" w:hAnsi="Arial"/>
          <w:sz w:val="18"/>
          <w:szCs w:val="18"/>
          <w:color w:val="auto"/>
        </w:rPr>
      </w:pPr>
    </w:p>
    <w:p>
      <w:pPr>
        <w:ind w:left="1300" w:right="2639" w:hanging="563"/>
        <w:spacing w:after="0" w:line="332" w:lineRule="auto"/>
        <w:tabs>
          <w:tab w:leader="none" w:pos="13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undersigned signatory for the Holder is duly authorized by the Holder to execute and deliver this Agreement on behalf of the Holder and to bind the Holder hereunder.</w:t>
      </w:r>
    </w:p>
    <w:p>
      <w:pPr>
        <w:spacing w:after="0" w:line="139" w:lineRule="exact"/>
        <w:rPr>
          <w:rFonts w:ascii="Arial" w:cs="Arial" w:eastAsia="Arial" w:hAnsi="Arial"/>
          <w:sz w:val="16"/>
          <w:szCs w:val="16"/>
          <w:color w:val="auto"/>
        </w:rPr>
      </w:pPr>
    </w:p>
    <w:p>
      <w:pPr>
        <w:jc w:val="both"/>
        <w:ind w:left="1300" w:right="2199" w:hanging="563"/>
        <w:spacing w:after="0" w:line="259"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Redemption Resolution has been duly adopted by the board of directors or other governing body of the Holder and is currently in full force and effect and has not been repealed, modified, or amended by the Holder.</w:t>
      </w: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5166995" cy="215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ARTICLE III</w:t>
      </w:r>
    </w:p>
    <w:p>
      <w:pPr>
        <w:spacing w:after="0" w:line="252"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REDEMPTION OF CLASS B STOCK AND CLASS C STOCK</w:t>
      </w:r>
    </w:p>
    <w:p>
      <w:pPr>
        <w:spacing w:after="0" w:line="200" w:lineRule="exact"/>
        <w:rPr>
          <w:sz w:val="20"/>
          <w:szCs w:val="20"/>
          <w:color w:val="auto"/>
        </w:rPr>
      </w:pPr>
    </w:p>
    <w:p>
      <w:pPr>
        <w:spacing w:after="0" w:line="214" w:lineRule="exact"/>
        <w:rPr>
          <w:sz w:val="20"/>
          <w:szCs w:val="20"/>
          <w:color w:val="auto"/>
        </w:rPr>
      </w:pPr>
    </w:p>
    <w:p>
      <w:pPr>
        <w:jc w:val="both"/>
        <w:ind w:left="80" w:right="2119" w:firstLine="622"/>
        <w:spacing w:after="0" w:line="339" w:lineRule="auto"/>
        <w:rPr>
          <w:sz w:val="20"/>
          <w:szCs w:val="20"/>
          <w:color w:val="auto"/>
        </w:rPr>
      </w:pPr>
      <w:r>
        <w:rPr>
          <w:rFonts w:ascii="Arial" w:cs="Arial" w:eastAsia="Arial" w:hAnsi="Arial"/>
          <w:sz w:val="16"/>
          <w:szCs w:val="16"/>
          <w:b w:val="1"/>
          <w:bCs w:val="1"/>
          <w:color w:val="auto"/>
        </w:rPr>
        <w:t xml:space="preserve">Section 3.1 </w:t>
      </w:r>
      <w:r>
        <w:rPr>
          <w:rFonts w:ascii="Arial" w:cs="Arial" w:eastAsia="Arial" w:hAnsi="Arial"/>
          <w:sz w:val="16"/>
          <w:szCs w:val="16"/>
          <w:b w:val="1"/>
          <w:bCs w:val="1"/>
          <w:i w:val="1"/>
          <w:iCs w:val="1"/>
          <w:u w:val="single" w:color="auto"/>
          <w:color w:val="auto"/>
        </w:rPr>
        <w:t>Delivery of Shares</w:t>
      </w:r>
      <w:r>
        <w:rPr>
          <w:rFonts w:ascii="Arial" w:cs="Arial" w:eastAsia="Arial" w:hAnsi="Arial"/>
          <w:sz w:val="16"/>
          <w:szCs w:val="16"/>
          <w:color w:val="auto"/>
        </w:rPr>
        <w:t>. The Holder hereby delivers all of its Class B Stock and/or Class C Stock</w:t>
      </w:r>
      <w:r>
        <w:rPr>
          <w:rFonts w:ascii="Arial" w:cs="Arial" w:eastAsia="Arial" w:hAnsi="Arial"/>
          <w:sz w:val="16"/>
          <w:szCs w:val="16"/>
          <w:b w:val="1"/>
          <w:bCs w:val="1"/>
          <w:color w:val="auto"/>
        </w:rPr>
        <w:t xml:space="preserve"> </w:t>
      </w:r>
      <w:r>
        <w:rPr>
          <w:rFonts w:ascii="Arial" w:cs="Arial" w:eastAsia="Arial" w:hAnsi="Arial"/>
          <w:sz w:val="16"/>
          <w:szCs w:val="16"/>
          <w:color w:val="auto"/>
        </w:rPr>
        <w:t>of the Bank, in the amount(s) specified on Schedule II hereto, for redemption and cancellation.</w:t>
      </w:r>
    </w:p>
    <w:p>
      <w:pPr>
        <w:spacing w:after="0" w:line="318" w:lineRule="exact"/>
        <w:rPr>
          <w:sz w:val="20"/>
          <w:szCs w:val="20"/>
          <w:color w:val="auto"/>
        </w:rPr>
      </w:pPr>
    </w:p>
    <w:p>
      <w:pPr>
        <w:jc w:val="both"/>
        <w:ind w:left="80" w:right="2119" w:firstLine="622"/>
        <w:spacing w:after="0" w:line="310" w:lineRule="auto"/>
        <w:rPr>
          <w:sz w:val="20"/>
          <w:szCs w:val="20"/>
          <w:color w:val="auto"/>
        </w:rPr>
      </w:pPr>
      <w:r>
        <w:rPr>
          <w:rFonts w:ascii="Arial" w:cs="Arial" w:eastAsia="Arial" w:hAnsi="Arial"/>
          <w:sz w:val="16"/>
          <w:szCs w:val="16"/>
          <w:b w:val="1"/>
          <w:bCs w:val="1"/>
          <w:color w:val="auto"/>
        </w:rPr>
        <w:t xml:space="preserve">Section 3.2 </w:t>
      </w:r>
      <w:r>
        <w:rPr>
          <w:rFonts w:ascii="Arial" w:cs="Arial" w:eastAsia="Arial" w:hAnsi="Arial"/>
          <w:sz w:val="16"/>
          <w:szCs w:val="16"/>
          <w:b w:val="1"/>
          <w:bCs w:val="1"/>
          <w:i w:val="1"/>
          <w:iCs w:val="1"/>
          <w:u w:val="single" w:color="auto"/>
          <w:color w:val="auto"/>
        </w:rPr>
        <w:t>Redemption of Class B Stock</w:t>
      </w:r>
      <w:r>
        <w:rPr>
          <w:rFonts w:ascii="Arial" w:cs="Arial" w:eastAsia="Arial" w:hAnsi="Arial"/>
          <w:sz w:val="16"/>
          <w:szCs w:val="16"/>
          <w:color w:val="auto"/>
        </w:rPr>
        <w:t>. From funds in the Liquidating Account, the Bank shall</w:t>
      </w:r>
      <w:r>
        <w:rPr>
          <w:rFonts w:ascii="Arial" w:cs="Arial" w:eastAsia="Arial" w:hAnsi="Arial"/>
          <w:sz w:val="16"/>
          <w:szCs w:val="16"/>
          <w:b w:val="1"/>
          <w:bCs w:val="1"/>
          <w:color w:val="auto"/>
        </w:rPr>
        <w:t xml:space="preserve"> </w:t>
      </w:r>
      <w:r>
        <w:rPr>
          <w:rFonts w:ascii="Arial" w:cs="Arial" w:eastAsia="Arial" w:hAnsi="Arial"/>
          <w:sz w:val="16"/>
          <w:szCs w:val="16"/>
          <w:color w:val="auto"/>
        </w:rPr>
        <w:t>redeem at par all of the Holder’s Class B Stock, in the amount specified in Schedule II hereto, pursuant to the terms of Section 411 of the Act and Section 2.2 of the Bylaws and shall cancel such Class B Stock.</w:t>
      </w:r>
    </w:p>
    <w:p>
      <w:pPr>
        <w:spacing w:after="0" w:line="327" w:lineRule="exact"/>
        <w:rPr>
          <w:sz w:val="20"/>
          <w:szCs w:val="20"/>
          <w:color w:val="auto"/>
        </w:rPr>
      </w:pPr>
    </w:p>
    <w:p>
      <w:pPr>
        <w:jc w:val="both"/>
        <w:ind w:left="80" w:right="2119" w:firstLine="622"/>
        <w:spacing w:after="0" w:line="301" w:lineRule="auto"/>
        <w:rPr>
          <w:sz w:val="20"/>
          <w:szCs w:val="20"/>
          <w:color w:val="auto"/>
        </w:rPr>
      </w:pPr>
      <w:r>
        <w:rPr>
          <w:rFonts w:ascii="Arial" w:cs="Arial" w:eastAsia="Arial" w:hAnsi="Arial"/>
          <w:sz w:val="16"/>
          <w:szCs w:val="16"/>
          <w:b w:val="1"/>
          <w:bCs w:val="1"/>
          <w:color w:val="auto"/>
        </w:rPr>
        <w:t xml:space="preserve">Section 3.3 </w:t>
      </w:r>
      <w:r>
        <w:rPr>
          <w:rFonts w:ascii="Arial" w:cs="Arial" w:eastAsia="Arial" w:hAnsi="Arial"/>
          <w:sz w:val="16"/>
          <w:szCs w:val="16"/>
          <w:b w:val="1"/>
          <w:bCs w:val="1"/>
          <w:i w:val="1"/>
          <w:iCs w:val="1"/>
          <w:u w:val="single" w:color="auto"/>
          <w:color w:val="auto"/>
        </w:rPr>
        <w:t>Redemption of Class C Stock</w:t>
      </w:r>
      <w:r>
        <w:rPr>
          <w:rFonts w:ascii="Arial" w:cs="Arial" w:eastAsia="Arial" w:hAnsi="Arial"/>
          <w:sz w:val="16"/>
          <w:szCs w:val="16"/>
          <w:color w:val="auto"/>
        </w:rPr>
        <w:t>. Pursuant to Section 411 of the Act and Section 2.2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Bylaws, after payment of all of the Bank’s liabilities, redemption of all outstanding Class A Stock, redemption of outstanding Class B Stock and monetary set aside for any unredeemed Class B Stock, all of the Holder’s Class C Stock shall be redeemed from the remaining funds in the Liquidating Account as follows:</w:t>
      </w:r>
    </w:p>
    <w:p>
      <w:pPr>
        <w:spacing w:after="0" w:line="352" w:lineRule="exact"/>
        <w:rPr>
          <w:sz w:val="20"/>
          <w:szCs w:val="20"/>
          <w:color w:val="auto"/>
        </w:rPr>
      </w:pPr>
    </w:p>
    <w:p>
      <w:pPr>
        <w:jc w:val="both"/>
        <w:ind w:left="1300" w:right="2179" w:hanging="563"/>
        <w:spacing w:after="0" w:line="370" w:lineRule="auto"/>
        <w:tabs>
          <w:tab w:leader="none" w:pos="13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If the funds remaining in the Liquidating Account are sufficient to redeem all outstanding Class C Stock at par, the Class C Stock shall be redeemed at par, as specified in Schedule II hereto; or</w:t>
      </w:r>
    </w:p>
    <w:p>
      <w:pPr>
        <w:spacing w:after="0" w:line="116" w:lineRule="exact"/>
        <w:rPr>
          <w:rFonts w:ascii="Arial" w:cs="Arial" w:eastAsia="Arial" w:hAnsi="Arial"/>
          <w:sz w:val="15"/>
          <w:szCs w:val="15"/>
          <w:color w:val="auto"/>
        </w:rPr>
      </w:pPr>
    </w:p>
    <w:p>
      <w:pPr>
        <w:ind w:left="1300" w:right="2479" w:hanging="563"/>
        <w:spacing w:after="0" w:line="259"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funds remaining in the Liquidating Account are insufficient to redeem all outstanding Class C Stock at par, the Class C Stock shall be redeemed, as determined by the following formula:</w:t>
      </w:r>
    </w:p>
    <w:p>
      <w:pPr>
        <w:spacing w:after="0" w:line="191" w:lineRule="exact"/>
        <w:rPr>
          <w:sz w:val="20"/>
          <w:szCs w:val="20"/>
          <w:color w:val="auto"/>
        </w:rPr>
      </w:pPr>
    </w:p>
    <w:p>
      <w:pPr>
        <w:jc w:val="center"/>
        <w:ind w:right="2099"/>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Cash Remainder in Liquidating Account x Holder’s number of Class C Stock</w:t>
      </w:r>
      <w:r>
        <w:rPr>
          <w:rFonts w:ascii="Arial" w:cs="Arial" w:eastAsia="Arial" w:hAnsi="Arial"/>
          <w:sz w:val="14"/>
          <w:szCs w:val="14"/>
          <w:color w:val="auto"/>
        </w:rPr>
        <w:t>)</w:t>
      </w:r>
    </w:p>
    <w:p>
      <w:pPr>
        <w:jc w:val="center"/>
        <w:ind w:right="2099"/>
        <w:spacing w:after="0"/>
        <w:rPr>
          <w:sz w:val="20"/>
          <w:szCs w:val="20"/>
          <w:color w:val="auto"/>
        </w:rPr>
      </w:pPr>
      <w:r>
        <w:rPr>
          <w:rFonts w:ascii="Arial" w:cs="Arial" w:eastAsia="Arial" w:hAnsi="Arial"/>
          <w:sz w:val="14"/>
          <w:szCs w:val="14"/>
          <w:color w:val="auto"/>
        </w:rPr>
        <w:t>Total outstanding number of Class C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Bank shall thereafter cancel such Class C Stock.</w:t>
      </w:r>
    </w:p>
    <w:p>
      <w:pPr>
        <w:sectPr>
          <w:pgSz w:w="11900" w:h="16838" w:orient="portrait"/>
          <w:cols w:equalWidth="0" w:num="1">
            <w:col w:w="10219"/>
          </w:cols>
          <w:pgMar w:left="240" w:top="125" w:right="1440" w:bottom="148" w:gutter="0" w:footer="0" w:header="0"/>
        </w:sectPr>
      </w:pPr>
    </w:p>
    <w:bookmarkStart w:id="124" w:name="page125"/>
    <w:bookmarkEnd w:id="124"/>
    <w:p>
      <w:pPr>
        <w:spacing w:after="0" w:line="142" w:lineRule="exact"/>
        <w:rPr>
          <w:sz w:val="20"/>
          <w:szCs w:val="20"/>
          <w:color w:val="auto"/>
        </w:rPr>
      </w:pPr>
    </w:p>
    <w:p>
      <w:pPr>
        <w:ind w:right="2119" w:firstLine="622"/>
        <w:spacing w:after="0" w:line="275" w:lineRule="auto"/>
        <w:rPr>
          <w:sz w:val="20"/>
          <w:szCs w:val="20"/>
          <w:color w:val="auto"/>
        </w:rPr>
      </w:pPr>
      <w:r>
        <w:rPr>
          <w:rFonts w:ascii="Arial" w:cs="Arial" w:eastAsia="Arial" w:hAnsi="Arial"/>
          <w:sz w:val="18"/>
          <w:szCs w:val="18"/>
          <w:b w:val="1"/>
          <w:bCs w:val="1"/>
          <w:color w:val="auto"/>
        </w:rPr>
        <w:t xml:space="preserve">Section 3.4 </w:t>
      </w:r>
      <w:r>
        <w:rPr>
          <w:rFonts w:ascii="Arial" w:cs="Arial" w:eastAsia="Arial" w:hAnsi="Arial"/>
          <w:sz w:val="18"/>
          <w:szCs w:val="18"/>
          <w:b w:val="1"/>
          <w:bCs w:val="1"/>
          <w:i w:val="1"/>
          <w:iCs w:val="1"/>
          <w:u w:val="single" w:color="auto"/>
          <w:color w:val="auto"/>
        </w:rPr>
        <w:t>Payment</w:t>
      </w:r>
      <w:r>
        <w:rPr>
          <w:rFonts w:ascii="Arial" w:cs="Arial" w:eastAsia="Arial" w:hAnsi="Arial"/>
          <w:sz w:val="18"/>
          <w:szCs w:val="18"/>
          <w:color w:val="auto"/>
        </w:rPr>
        <w:t>. All amounts to be paid to the Holder of Class B Stock and Class C Stock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paid as follows:</w:t>
      </w:r>
    </w:p>
    <w:p>
      <w:pPr>
        <w:spacing w:after="0" w:line="139" w:lineRule="exact"/>
        <w:rPr>
          <w:sz w:val="20"/>
          <w:szCs w:val="20"/>
          <w:color w:val="auto"/>
        </w:rPr>
      </w:pPr>
    </w:p>
    <w:p>
      <w:pPr>
        <w:ind w:left="1220" w:right="2279" w:hanging="563"/>
        <w:spacing w:after="0" w:line="268" w:lineRule="auto"/>
        <w:tabs>
          <w:tab w:leader="none" w:pos="1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Via wire transfer to the banking institution and account specified by the Holder on Schedule II hereto;</w:t>
      </w:r>
    </w:p>
    <w:p>
      <w:pPr>
        <w:spacing w:after="0" w:line="185" w:lineRule="exact"/>
        <w:rPr>
          <w:rFonts w:ascii="Arial" w:cs="Arial" w:eastAsia="Arial" w:hAnsi="Arial"/>
          <w:sz w:val="18"/>
          <w:szCs w:val="18"/>
          <w:color w:val="auto"/>
        </w:rPr>
      </w:pPr>
    </w:p>
    <w:p>
      <w:pPr>
        <w:ind w:left="1220" w:right="2319" w:hanging="563"/>
        <w:spacing w:after="0" w:line="335" w:lineRule="auto"/>
        <w:tabs>
          <w:tab w:leader="none" w:pos="12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No payments shall be made here under until one hundred and twenty (120) days from the date hereof; the Bank shall use reasonable best efforts to make payments on properly documented and undisputed claims received by such date within sixty (60) days there after; and</w:t>
      </w:r>
    </w:p>
    <w:p>
      <w:pPr>
        <w:spacing w:after="0" w:line="142" w:lineRule="exact"/>
        <w:rPr>
          <w:rFonts w:ascii="Arial" w:cs="Arial" w:eastAsia="Arial" w:hAnsi="Arial"/>
          <w:sz w:val="15"/>
          <w:szCs w:val="15"/>
          <w:color w:val="auto"/>
        </w:rPr>
      </w:pPr>
    </w:p>
    <w:p>
      <w:pPr>
        <w:ind w:left="1220" w:right="2339" w:hanging="563"/>
        <w:spacing w:after="0" w:line="306" w:lineRule="auto"/>
        <w:tabs>
          <w:tab w:leader="none" w:pos="12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Notwithstanding Paragraph 3.4(b), the Holder shall have no claim, with respect to the redemption of Class B or C Stock, to any amount other than that provided in Sections 3.2 and 3.3 hereof, and shall not be entitled to any interest or claims for payment delays.</w:t>
      </w:r>
    </w:p>
    <w:p>
      <w:pPr>
        <w:spacing w:after="0" w:line="155" w:lineRule="exact"/>
        <w:rPr>
          <w:sz w:val="20"/>
          <w:szCs w:val="20"/>
          <w:color w:val="auto"/>
        </w:rPr>
      </w:pPr>
    </w:p>
    <w:p>
      <w:pPr>
        <w:jc w:val="both"/>
        <w:ind w:right="2119" w:firstLine="622"/>
        <w:spacing w:after="0" w:line="262" w:lineRule="auto"/>
        <w:rPr>
          <w:sz w:val="20"/>
          <w:szCs w:val="20"/>
          <w:color w:val="auto"/>
        </w:rPr>
      </w:pPr>
      <w:r>
        <w:rPr>
          <w:rFonts w:ascii="Arial" w:cs="Arial" w:eastAsia="Arial" w:hAnsi="Arial"/>
          <w:sz w:val="18"/>
          <w:szCs w:val="18"/>
          <w:b w:val="1"/>
          <w:bCs w:val="1"/>
          <w:color w:val="auto"/>
        </w:rPr>
        <w:t xml:space="preserve">Section 3.5 </w:t>
      </w:r>
      <w:r>
        <w:rPr>
          <w:rFonts w:ascii="Arial" w:cs="Arial" w:eastAsia="Arial" w:hAnsi="Arial"/>
          <w:sz w:val="18"/>
          <w:szCs w:val="18"/>
          <w:b w:val="1"/>
          <w:bCs w:val="1"/>
          <w:i w:val="1"/>
          <w:iCs w:val="1"/>
          <w:u w:val="single" w:color="auto"/>
          <w:color w:val="auto"/>
        </w:rPr>
        <w:t>Release of Claims</w:t>
      </w:r>
      <w:r>
        <w:rPr>
          <w:rFonts w:ascii="Arial" w:cs="Arial" w:eastAsia="Arial" w:hAnsi="Arial"/>
          <w:sz w:val="18"/>
          <w:szCs w:val="18"/>
          <w:color w:val="auto"/>
        </w:rPr>
        <w:t>. By executing this Agreement, the Holder hereby acknowledges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agrees that the redemption and cancellation by the Bank of the Class B Stock and Class C Stock held by the Holder as contemplated by this Agreement constitutes the full and</w:t>
      </w:r>
    </w:p>
    <w:p>
      <w:pPr>
        <w:spacing w:after="0" w:line="382"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231775</wp:posOffset>
            </wp:positionV>
            <wp:extent cx="5166995" cy="215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2119"/>
        <w:spacing w:after="0" w:line="268" w:lineRule="auto"/>
        <w:rPr>
          <w:sz w:val="20"/>
          <w:szCs w:val="20"/>
          <w:color w:val="auto"/>
        </w:rPr>
      </w:pPr>
      <w:r>
        <w:rPr>
          <w:rFonts w:ascii="Arial" w:cs="Arial" w:eastAsia="Arial" w:hAnsi="Arial"/>
          <w:sz w:val="18"/>
          <w:szCs w:val="18"/>
          <w:color w:val="auto"/>
        </w:rPr>
        <w:t>complete satisfaction by the Bank of all of its obligations with respect to the redemption, payment and cancellation of the Class B Stock and Class C Stock owned by the Holder.</w:t>
      </w:r>
    </w:p>
    <w:p>
      <w:pPr>
        <w:spacing w:after="0" w:line="356" w:lineRule="exact"/>
        <w:rPr>
          <w:sz w:val="20"/>
          <w:szCs w:val="20"/>
          <w:color w:val="auto"/>
        </w:rPr>
      </w:pPr>
    </w:p>
    <w:p>
      <w:pPr>
        <w:jc w:val="center"/>
        <w:ind w:right="2179"/>
        <w:spacing w:after="0"/>
        <w:rPr>
          <w:sz w:val="20"/>
          <w:szCs w:val="20"/>
          <w:color w:val="auto"/>
        </w:rPr>
      </w:pPr>
      <w:r>
        <w:rPr>
          <w:rFonts w:ascii="Arial" w:cs="Arial" w:eastAsia="Arial" w:hAnsi="Arial"/>
          <w:sz w:val="18"/>
          <w:szCs w:val="18"/>
          <w:b w:val="1"/>
          <w:bCs w:val="1"/>
          <w:color w:val="auto"/>
        </w:rPr>
        <w:t>ARTICLE IV</w:t>
      </w:r>
    </w:p>
    <w:p>
      <w:pPr>
        <w:spacing w:after="0" w:line="198"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 FURTHER ADVANCES</w:t>
      </w:r>
    </w:p>
    <w:p>
      <w:pPr>
        <w:spacing w:after="0" w:line="225" w:lineRule="exact"/>
        <w:rPr>
          <w:sz w:val="20"/>
          <w:szCs w:val="20"/>
          <w:color w:val="auto"/>
        </w:rPr>
      </w:pPr>
    </w:p>
    <w:p>
      <w:pPr>
        <w:jc w:val="both"/>
        <w:ind w:right="2099" w:firstLine="622"/>
        <w:spacing w:after="0" w:line="310" w:lineRule="auto"/>
        <w:rPr>
          <w:sz w:val="20"/>
          <w:szCs w:val="20"/>
          <w:color w:val="auto"/>
        </w:rPr>
      </w:pPr>
      <w:r>
        <w:rPr>
          <w:rFonts w:ascii="Arial" w:cs="Arial" w:eastAsia="Arial" w:hAnsi="Arial"/>
          <w:sz w:val="16"/>
          <w:szCs w:val="16"/>
          <w:b w:val="1"/>
          <w:bCs w:val="1"/>
          <w:color w:val="auto"/>
        </w:rPr>
        <w:t xml:space="preserve">Section 4.1 </w:t>
      </w:r>
      <w:r>
        <w:rPr>
          <w:rFonts w:ascii="Arial" w:cs="Arial" w:eastAsia="Arial" w:hAnsi="Arial"/>
          <w:sz w:val="16"/>
          <w:szCs w:val="16"/>
          <w:b w:val="1"/>
          <w:bCs w:val="1"/>
          <w:i w:val="1"/>
          <w:iCs w:val="1"/>
          <w:u w:val="single" w:color="auto"/>
          <w:color w:val="auto"/>
        </w:rPr>
        <w:t>Liquidating Account</w:t>
      </w:r>
      <w:r>
        <w:rPr>
          <w:rFonts w:ascii="Arial" w:cs="Arial" w:eastAsia="Arial" w:hAnsi="Arial"/>
          <w:sz w:val="16"/>
          <w:szCs w:val="16"/>
          <w:color w:val="auto"/>
        </w:rPr>
        <w:t>. The Holder acknowledges and agrees that the Government, upon</w:t>
      </w:r>
      <w:r>
        <w:rPr>
          <w:rFonts w:ascii="Arial" w:cs="Arial" w:eastAsia="Arial" w:hAnsi="Arial"/>
          <w:sz w:val="16"/>
          <w:szCs w:val="16"/>
          <w:b w:val="1"/>
          <w:bCs w:val="1"/>
          <w:color w:val="auto"/>
        </w:rPr>
        <w:t xml:space="preserve"> </w:t>
      </w:r>
      <w:r>
        <w:rPr>
          <w:rFonts w:ascii="Arial" w:cs="Arial" w:eastAsia="Arial" w:hAnsi="Arial"/>
          <w:sz w:val="16"/>
          <w:szCs w:val="16"/>
          <w:color w:val="auto"/>
        </w:rPr>
        <w:t>acquisition of the Bank’s loan portfolio, shall make no further advances on the Liquidating Account Loan(s) and the unadvanced Liquidating Account Loan funds are hereby rescinded.</w:t>
      </w:r>
    </w:p>
    <w:p>
      <w:pPr>
        <w:spacing w:after="0" w:line="111" w:lineRule="exact"/>
        <w:rPr>
          <w:sz w:val="20"/>
          <w:szCs w:val="20"/>
          <w:color w:val="auto"/>
        </w:rPr>
      </w:pPr>
    </w:p>
    <w:p>
      <w:pPr>
        <w:jc w:val="both"/>
        <w:ind w:right="2119" w:firstLine="622"/>
        <w:spacing w:after="0" w:line="258" w:lineRule="auto"/>
        <w:rPr>
          <w:sz w:val="20"/>
          <w:szCs w:val="20"/>
          <w:color w:val="auto"/>
        </w:rPr>
      </w:pPr>
      <w:r>
        <w:rPr>
          <w:rFonts w:ascii="Arial" w:cs="Arial" w:eastAsia="Arial" w:hAnsi="Arial"/>
          <w:sz w:val="18"/>
          <w:szCs w:val="18"/>
          <w:b w:val="1"/>
          <w:bCs w:val="1"/>
          <w:color w:val="auto"/>
        </w:rPr>
        <w:t xml:space="preserve">Section 4.2 </w:t>
      </w:r>
      <w:r>
        <w:rPr>
          <w:rFonts w:ascii="Arial" w:cs="Arial" w:eastAsia="Arial" w:hAnsi="Arial"/>
          <w:sz w:val="18"/>
          <w:szCs w:val="18"/>
          <w:b w:val="1"/>
          <w:bCs w:val="1"/>
          <w:i w:val="1"/>
          <w:iCs w:val="1"/>
          <w:u w:val="single" w:color="auto"/>
          <w:color w:val="auto"/>
        </w:rPr>
        <w:t>Unadvanced Financing Account Loan Funds for Stock Purchases</w:t>
      </w:r>
      <w:r>
        <w:rPr>
          <w:rFonts w:ascii="Arial" w:cs="Arial" w:eastAsia="Arial" w:hAnsi="Arial"/>
          <w:sz w:val="18"/>
          <w:szCs w:val="18"/>
          <w:color w:val="auto"/>
        </w:rPr>
        <w:t>. The Holder</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acknowledges and agrees that the Government, upon liquidation or dissolution of the Bank, shall make no further advances on the portion of the Financing Account Loan(s) for purchases of Class B Stock and that such funds may be rescinded at the discretion of the Government.</w:t>
      </w:r>
    </w:p>
    <w:p>
      <w:pPr>
        <w:spacing w:after="0" w:line="163" w:lineRule="exact"/>
        <w:rPr>
          <w:sz w:val="20"/>
          <w:szCs w:val="20"/>
          <w:color w:val="auto"/>
        </w:rPr>
      </w:pPr>
    </w:p>
    <w:p>
      <w:pPr>
        <w:jc w:val="center"/>
        <w:ind w:right="2179"/>
        <w:spacing w:after="0"/>
        <w:rPr>
          <w:sz w:val="20"/>
          <w:szCs w:val="20"/>
          <w:color w:val="auto"/>
        </w:rPr>
      </w:pPr>
      <w:r>
        <w:rPr>
          <w:rFonts w:ascii="Arial" w:cs="Arial" w:eastAsia="Arial" w:hAnsi="Arial"/>
          <w:sz w:val="18"/>
          <w:szCs w:val="18"/>
          <w:b w:val="1"/>
          <w:bCs w:val="1"/>
          <w:color w:val="auto"/>
        </w:rPr>
        <w:t>ARTICLE V</w:t>
      </w:r>
    </w:p>
    <w:p>
      <w:pPr>
        <w:spacing w:after="0" w:line="185"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jc w:val="both"/>
        <w:ind w:right="2119" w:firstLine="622"/>
        <w:spacing w:after="0" w:line="310" w:lineRule="auto"/>
        <w:rPr>
          <w:sz w:val="20"/>
          <w:szCs w:val="20"/>
          <w:color w:val="auto"/>
        </w:rPr>
      </w:pPr>
      <w:r>
        <w:rPr>
          <w:rFonts w:ascii="Arial" w:cs="Arial" w:eastAsia="Arial" w:hAnsi="Arial"/>
          <w:sz w:val="16"/>
          <w:szCs w:val="16"/>
          <w:b w:val="1"/>
          <w:bCs w:val="1"/>
          <w:color w:val="auto"/>
        </w:rPr>
        <w:t xml:space="preserve">Section 5.1 </w:t>
      </w:r>
      <w:r>
        <w:rPr>
          <w:rFonts w:ascii="Arial" w:cs="Arial" w:eastAsia="Arial" w:hAnsi="Arial"/>
          <w:sz w:val="16"/>
          <w:szCs w:val="16"/>
          <w:b w:val="1"/>
          <w:bCs w:val="1"/>
          <w:i w:val="1"/>
          <w:iCs w:val="1"/>
          <w:u w:val="single" w:color="auto"/>
          <w:color w:val="auto"/>
        </w:rPr>
        <w:t>Entire Agreement</w:t>
      </w:r>
      <w:r>
        <w:rPr>
          <w:rFonts w:ascii="Arial" w:cs="Arial" w:eastAsia="Arial" w:hAnsi="Arial"/>
          <w:sz w:val="16"/>
          <w:szCs w:val="16"/>
          <w:color w:val="auto"/>
        </w:rPr>
        <w:t>. This Agreement, together with the attached documents, which are</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herein, embodies the entire agreement of the parties hereto in relation to the subject matter herein and supersedes all prior understandings or agreements, oral or written, between the parties.</w:t>
      </w:r>
    </w:p>
    <w:p>
      <w:pPr>
        <w:spacing w:after="0" w:line="124" w:lineRule="exact"/>
        <w:rPr>
          <w:sz w:val="20"/>
          <w:szCs w:val="20"/>
          <w:color w:val="auto"/>
        </w:rPr>
      </w:pPr>
    </w:p>
    <w:p>
      <w:pPr>
        <w:jc w:val="both"/>
        <w:ind w:right="2119" w:firstLine="622"/>
        <w:spacing w:after="0" w:line="310" w:lineRule="auto"/>
        <w:rPr>
          <w:sz w:val="20"/>
          <w:szCs w:val="20"/>
          <w:color w:val="auto"/>
        </w:rPr>
      </w:pPr>
      <w:r>
        <w:rPr>
          <w:rFonts w:ascii="Arial" w:cs="Arial" w:eastAsia="Arial" w:hAnsi="Arial"/>
          <w:sz w:val="16"/>
          <w:szCs w:val="16"/>
          <w:b w:val="1"/>
          <w:bCs w:val="1"/>
          <w:color w:val="auto"/>
        </w:rPr>
        <w:t xml:space="preserve">Section 5.2 </w:t>
      </w:r>
      <w:r>
        <w:rPr>
          <w:rFonts w:ascii="Arial" w:cs="Arial" w:eastAsia="Arial" w:hAnsi="Arial"/>
          <w:sz w:val="16"/>
          <w:szCs w:val="16"/>
          <w:b w:val="1"/>
          <w:bCs w:val="1"/>
          <w:i w:val="1"/>
          <w:iCs w:val="1"/>
          <w:u w:val="single" w:color="auto"/>
          <w:color w:val="auto"/>
        </w:rPr>
        <w:t>Headings</w:t>
      </w:r>
      <w:r>
        <w:rPr>
          <w:rFonts w:ascii="Arial" w:cs="Arial" w:eastAsia="Arial" w:hAnsi="Arial"/>
          <w:sz w:val="16"/>
          <w:szCs w:val="16"/>
          <w:color w:val="auto"/>
        </w:rPr>
        <w:t>. The headings and subheadings contained in this Agreement, except the terms</w:t>
      </w:r>
      <w:r>
        <w:rPr>
          <w:rFonts w:ascii="Arial" w:cs="Arial" w:eastAsia="Arial" w:hAnsi="Arial"/>
          <w:sz w:val="16"/>
          <w:szCs w:val="16"/>
          <w:b w:val="1"/>
          <w:bCs w:val="1"/>
          <w:color w:val="auto"/>
        </w:rPr>
        <w:t xml:space="preserve"> </w:t>
      </w:r>
      <w:r>
        <w:rPr>
          <w:rFonts w:ascii="Arial" w:cs="Arial" w:eastAsia="Arial" w:hAnsi="Arial"/>
          <w:sz w:val="16"/>
          <w:szCs w:val="16"/>
          <w:color w:val="auto"/>
        </w:rPr>
        <w:t>identified for definition in Article I and elsewhere in this Agreement, are inserted for convenience only and shall not affect the meaning or interpretation of this Agreement or any provision hereof.</w:t>
      </w:r>
    </w:p>
    <w:p>
      <w:pPr>
        <w:spacing w:after="0" w:line="111" w:lineRule="exact"/>
        <w:rPr>
          <w:sz w:val="20"/>
          <w:szCs w:val="20"/>
          <w:color w:val="auto"/>
        </w:rPr>
      </w:pPr>
    </w:p>
    <w:p>
      <w:pPr>
        <w:jc w:val="both"/>
        <w:ind w:right="2119" w:firstLine="622"/>
        <w:spacing w:after="0" w:line="262" w:lineRule="auto"/>
        <w:rPr>
          <w:sz w:val="20"/>
          <w:szCs w:val="20"/>
          <w:color w:val="auto"/>
        </w:rPr>
      </w:pPr>
      <w:r>
        <w:rPr>
          <w:rFonts w:ascii="Arial" w:cs="Arial" w:eastAsia="Arial" w:hAnsi="Arial"/>
          <w:sz w:val="18"/>
          <w:szCs w:val="18"/>
          <w:b w:val="1"/>
          <w:bCs w:val="1"/>
          <w:color w:val="auto"/>
        </w:rPr>
        <w:t xml:space="preserve">Section 5.3 </w:t>
      </w:r>
      <w:r>
        <w:rPr>
          <w:rFonts w:ascii="Arial" w:cs="Arial" w:eastAsia="Arial" w:hAnsi="Arial"/>
          <w:sz w:val="18"/>
          <w:szCs w:val="18"/>
          <w:b w:val="1"/>
          <w:bCs w:val="1"/>
          <w:i w:val="1"/>
          <w:iCs w:val="1"/>
          <w:u w:val="single" w:color="auto"/>
          <w:color w:val="auto"/>
        </w:rPr>
        <w:t>Counterparts</w:t>
      </w:r>
      <w:r>
        <w:rPr>
          <w:rFonts w:ascii="Arial" w:cs="Arial" w:eastAsia="Arial" w:hAnsi="Arial"/>
          <w:sz w:val="18"/>
          <w:szCs w:val="18"/>
          <w:color w:val="auto"/>
        </w:rPr>
        <w:t>. This Agreement may be executed in any number of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when so executed shall be deemed to be an original and all of which when taken together shall constitute one and the same Agreement.</w:t>
      </w:r>
    </w:p>
    <w:p>
      <w:pPr>
        <w:spacing w:after="0" w:line="159" w:lineRule="exact"/>
        <w:rPr>
          <w:sz w:val="20"/>
          <w:szCs w:val="20"/>
          <w:color w:val="auto"/>
        </w:rPr>
      </w:pPr>
    </w:p>
    <w:p>
      <w:pPr>
        <w:jc w:val="both"/>
        <w:ind w:right="2099" w:firstLine="622"/>
        <w:spacing w:after="0" w:line="301" w:lineRule="auto"/>
        <w:rPr>
          <w:sz w:val="20"/>
          <w:szCs w:val="20"/>
          <w:color w:val="auto"/>
        </w:rPr>
      </w:pPr>
      <w:r>
        <w:rPr>
          <w:rFonts w:ascii="Arial" w:cs="Arial" w:eastAsia="Arial" w:hAnsi="Arial"/>
          <w:sz w:val="16"/>
          <w:szCs w:val="16"/>
          <w:b w:val="1"/>
          <w:bCs w:val="1"/>
          <w:color w:val="auto"/>
        </w:rPr>
        <w:t xml:space="preserve">Section 5.4 </w:t>
      </w:r>
      <w:r>
        <w:rPr>
          <w:rFonts w:ascii="Arial" w:cs="Arial" w:eastAsia="Arial" w:hAnsi="Arial"/>
          <w:sz w:val="16"/>
          <w:szCs w:val="16"/>
          <w:b w:val="1"/>
          <w:bCs w:val="1"/>
          <w:i w:val="1"/>
          <w:iCs w:val="1"/>
          <w:u w:val="single" w:color="auto"/>
          <w:color w:val="auto"/>
        </w:rPr>
        <w:t>Governing Law</w:t>
      </w:r>
      <w:r>
        <w:rPr>
          <w:rFonts w:ascii="Arial" w:cs="Arial" w:eastAsia="Arial" w:hAnsi="Arial"/>
          <w:sz w:val="16"/>
          <w:szCs w:val="16"/>
          <w:color w:val="auto"/>
        </w:rPr>
        <w:t>. THIS AGREEMENT AND THE RIGHTS AND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SHALL BE GOVERNED BY AND CONSTRUED IN ACCORDANCE WITH THE FEDERAL LAW OF THE UNITED STATES OF AMERICA, AND IN THE ABSENCE OF CONTROLLING FEDERAL LAW, IN ACCORDANCE WITH THE LAWS OF THE DISTRICT OF COLUMBIA.</w:t>
      </w:r>
    </w:p>
    <w:p>
      <w:pPr>
        <w:spacing w:after="0" w:line="117" w:lineRule="exact"/>
        <w:rPr>
          <w:sz w:val="20"/>
          <w:szCs w:val="20"/>
          <w:color w:val="auto"/>
        </w:rPr>
      </w:pPr>
    </w:p>
    <w:p>
      <w:pPr>
        <w:jc w:val="both"/>
        <w:ind w:right="2099" w:firstLine="622"/>
        <w:spacing w:after="0" w:line="291" w:lineRule="auto"/>
        <w:rPr>
          <w:sz w:val="20"/>
          <w:szCs w:val="20"/>
          <w:color w:val="auto"/>
        </w:rPr>
      </w:pPr>
      <w:r>
        <w:rPr>
          <w:rFonts w:ascii="Arial" w:cs="Arial" w:eastAsia="Arial" w:hAnsi="Arial"/>
          <w:sz w:val="16"/>
          <w:szCs w:val="16"/>
          <w:b w:val="1"/>
          <w:bCs w:val="1"/>
          <w:color w:val="auto"/>
        </w:rPr>
        <w:t xml:space="preserve">Section 5.5 </w:t>
      </w:r>
      <w:r>
        <w:rPr>
          <w:rFonts w:ascii="Arial" w:cs="Arial" w:eastAsia="Arial" w:hAnsi="Arial"/>
          <w:sz w:val="16"/>
          <w:szCs w:val="16"/>
          <w:b w:val="1"/>
          <w:bCs w:val="1"/>
          <w:i w:val="1"/>
          <w:iCs w:val="1"/>
          <w:u w:val="single" w:color="auto"/>
          <w:color w:val="auto"/>
        </w:rPr>
        <w:t>Successors</w:t>
      </w:r>
      <w:r>
        <w:rPr>
          <w:rFonts w:ascii="Arial" w:cs="Arial" w:eastAsia="Arial" w:hAnsi="Arial"/>
          <w:sz w:val="16"/>
          <w:szCs w:val="16"/>
          <w:color w:val="auto"/>
        </w:rPr>
        <w:t>. All terms and conditions of this Agreement shall be binding on the successors</w:t>
      </w:r>
      <w:r>
        <w:rPr>
          <w:rFonts w:ascii="Arial" w:cs="Arial" w:eastAsia="Arial" w:hAnsi="Arial"/>
          <w:sz w:val="16"/>
          <w:szCs w:val="16"/>
          <w:b w:val="1"/>
          <w:bCs w:val="1"/>
          <w:color w:val="auto"/>
        </w:rPr>
        <w:t xml:space="preserve"> </w:t>
      </w:r>
      <w:r>
        <w:rPr>
          <w:rFonts w:ascii="Arial" w:cs="Arial" w:eastAsia="Arial" w:hAnsi="Arial"/>
          <w:sz w:val="16"/>
          <w:szCs w:val="16"/>
          <w:color w:val="auto"/>
        </w:rPr>
        <w:t>and assigns of the Bank and the Holder. Except as otherwise specifically provided in this Agreement, nothing expressed or referred to in this Agreement is intended or shall be construed to give any person other than the Bank or the Holder, and legal or equitable right, remedy or claim under or with respect to this Agreement or any provisions contained herein, it being the intention of the parties hereto that this Agreement, the obligations and statements of responsibilities hereunder, and all other conditions and provisions hereof are for the sole and exclusive benefit of the Bank and the Holder.</w:t>
      </w:r>
    </w:p>
    <w:p>
      <w:pPr>
        <w:spacing w:after="0" w:line="200" w:lineRule="exact"/>
        <w:rPr>
          <w:sz w:val="20"/>
          <w:szCs w:val="20"/>
          <w:color w:val="auto"/>
        </w:rPr>
      </w:pPr>
    </w:p>
    <w:p>
      <w:pPr>
        <w:spacing w:after="0" w:line="365"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231775</wp:posOffset>
            </wp:positionV>
            <wp:extent cx="5166995" cy="215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981" w:orient="portrait"/>
          <w:cols w:equalWidth="0" w:num="1">
            <w:col w:w="10139"/>
          </w:cols>
          <w:pgMar w:left="320" w:top="12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119" w:firstLine="622"/>
        <w:spacing w:after="0" w:line="378" w:lineRule="auto"/>
        <w:rPr>
          <w:sz w:val="20"/>
          <w:szCs w:val="20"/>
          <w:color w:val="auto"/>
        </w:rPr>
      </w:pPr>
      <w:r>
        <w:rPr>
          <w:rFonts w:ascii="Arial" w:cs="Arial" w:eastAsia="Arial" w:hAnsi="Arial"/>
          <w:sz w:val="15"/>
          <w:szCs w:val="15"/>
          <w:b w:val="1"/>
          <w:bCs w:val="1"/>
          <w:color w:val="auto"/>
        </w:rPr>
        <w:t xml:space="preserve">Section 5.6. </w:t>
      </w:r>
      <w:r>
        <w:rPr>
          <w:rFonts w:ascii="Arial" w:cs="Arial" w:eastAsia="Arial" w:hAnsi="Arial"/>
          <w:sz w:val="15"/>
          <w:szCs w:val="15"/>
          <w:b w:val="1"/>
          <w:bCs w:val="1"/>
          <w:i w:val="1"/>
          <w:iCs w:val="1"/>
          <w:u w:val="single" w:color="auto"/>
          <w:color w:val="auto"/>
        </w:rPr>
        <w:t>Modification; Assignment</w:t>
      </w:r>
      <w:r>
        <w:rPr>
          <w:rFonts w:ascii="Arial" w:cs="Arial" w:eastAsia="Arial" w:hAnsi="Arial"/>
          <w:sz w:val="15"/>
          <w:szCs w:val="15"/>
          <w:color w:val="auto"/>
        </w:rPr>
        <w:t>. No amendment or other modification, or assignment of any part</w:t>
      </w:r>
      <w:r>
        <w:rPr>
          <w:rFonts w:ascii="Arial" w:cs="Arial" w:eastAsia="Arial" w:hAnsi="Arial"/>
          <w:sz w:val="15"/>
          <w:szCs w:val="15"/>
          <w:b w:val="1"/>
          <w:bCs w:val="1"/>
          <w:color w:val="auto"/>
        </w:rPr>
        <w:t xml:space="preserve"> </w:t>
      </w:r>
      <w:r>
        <w:rPr>
          <w:rFonts w:ascii="Arial" w:cs="Arial" w:eastAsia="Arial" w:hAnsi="Arial"/>
          <w:sz w:val="15"/>
          <w:szCs w:val="15"/>
          <w:color w:val="auto"/>
        </w:rPr>
        <w:t>of this Agreement shall be effective except pursuant to a written agreement subscribed by the duly authorized</w:t>
      </w:r>
    </w:p>
    <w:p>
      <w:pPr>
        <w:sectPr>
          <w:pgSz w:w="11900" w:h="16981" w:orient="portrait"/>
          <w:cols w:equalWidth="0" w:num="1">
            <w:col w:w="10139"/>
          </w:cols>
          <w:pgMar w:left="320" w:top="125" w:right="1440" w:bottom="0" w:gutter="0" w:footer="0" w:header="0"/>
          <w:type w:val="continuous"/>
        </w:sectPr>
      </w:pPr>
    </w:p>
    <w:bookmarkStart w:id="125" w:name="page126"/>
    <w:bookmarkEnd w:id="125"/>
    <w:p>
      <w:pPr>
        <w:ind w:left="80"/>
        <w:spacing w:after="0"/>
        <w:rPr>
          <w:sz w:val="20"/>
          <w:szCs w:val="20"/>
          <w:color w:val="auto"/>
        </w:rPr>
      </w:pPr>
      <w:r>
        <w:rPr>
          <w:rFonts w:ascii="Arial" w:cs="Arial" w:eastAsia="Arial" w:hAnsi="Arial"/>
          <w:sz w:val="18"/>
          <w:szCs w:val="18"/>
          <w:color w:val="auto"/>
        </w:rPr>
        <w:t>representatives of the parties hereto.</w:t>
      </w:r>
    </w:p>
    <w:p>
      <w:pPr>
        <w:spacing w:after="0" w:line="395" w:lineRule="exact"/>
        <w:rPr>
          <w:sz w:val="20"/>
          <w:szCs w:val="20"/>
          <w:color w:val="auto"/>
        </w:rPr>
      </w:pPr>
    </w:p>
    <w:p>
      <w:pPr>
        <w:jc w:val="both"/>
        <w:ind w:left="80" w:right="2119" w:firstLine="622"/>
        <w:spacing w:after="0" w:line="258" w:lineRule="auto"/>
        <w:rPr>
          <w:sz w:val="20"/>
          <w:szCs w:val="20"/>
          <w:color w:val="auto"/>
        </w:rPr>
      </w:pPr>
      <w:r>
        <w:rPr>
          <w:rFonts w:ascii="Arial" w:cs="Arial" w:eastAsia="Arial" w:hAnsi="Arial"/>
          <w:sz w:val="18"/>
          <w:szCs w:val="18"/>
          <w:b w:val="1"/>
          <w:bCs w:val="1"/>
          <w:color w:val="auto"/>
        </w:rPr>
        <w:t xml:space="preserve">Section 5.7 </w:t>
      </w:r>
      <w:r>
        <w:rPr>
          <w:rFonts w:ascii="Arial" w:cs="Arial" w:eastAsia="Arial" w:hAnsi="Arial"/>
          <w:sz w:val="18"/>
          <w:szCs w:val="18"/>
          <w:b w:val="1"/>
          <w:bCs w:val="1"/>
          <w:i w:val="1"/>
          <w:iCs w:val="1"/>
          <w:u w:val="single" w:color="auto"/>
          <w:color w:val="auto"/>
        </w:rPr>
        <w:t>Remedies</w:t>
      </w:r>
      <w:r>
        <w:rPr>
          <w:rFonts w:ascii="Arial" w:cs="Arial" w:eastAsia="Arial" w:hAnsi="Arial"/>
          <w:sz w:val="18"/>
          <w:szCs w:val="18"/>
          <w:color w:val="auto"/>
        </w:rPr>
        <w:t>. The Bank may pursue all rights and remedies available to the Bank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this Agreement, including, but not limited to, a suit for specific performance, injunctive relief or damages in connection with any fraud, misrepresentation, misstatement made by the Holder in this Agreement (including Schedule II hereto).</w:t>
      </w:r>
    </w:p>
    <w:p>
      <w:pPr>
        <w:spacing w:after="0" w:line="379" w:lineRule="exact"/>
        <w:rPr>
          <w:sz w:val="20"/>
          <w:szCs w:val="20"/>
          <w:color w:val="auto"/>
        </w:rPr>
      </w:pPr>
    </w:p>
    <w:p>
      <w:pPr>
        <w:jc w:val="both"/>
        <w:ind w:left="80" w:right="2099" w:firstLine="622"/>
        <w:spacing w:after="0" w:line="293" w:lineRule="auto"/>
        <w:rPr>
          <w:sz w:val="20"/>
          <w:szCs w:val="20"/>
          <w:color w:val="auto"/>
        </w:rPr>
      </w:pPr>
      <w:r>
        <w:rPr>
          <w:rFonts w:ascii="Arial" w:cs="Arial" w:eastAsia="Arial" w:hAnsi="Arial"/>
          <w:sz w:val="16"/>
          <w:szCs w:val="16"/>
          <w:b w:val="1"/>
          <w:bCs w:val="1"/>
          <w:color w:val="auto"/>
        </w:rPr>
        <w:t xml:space="preserve">Section 5.8 </w:t>
      </w:r>
      <w:r>
        <w:rPr>
          <w:rFonts w:ascii="Arial" w:cs="Arial" w:eastAsia="Arial" w:hAnsi="Arial"/>
          <w:sz w:val="16"/>
          <w:szCs w:val="16"/>
          <w:b w:val="1"/>
          <w:bCs w:val="1"/>
          <w:i w:val="1"/>
          <w:iCs w:val="1"/>
          <w:u w:val="single" w:color="auto"/>
          <w:color w:val="auto"/>
        </w:rPr>
        <w:t>Notice</w:t>
      </w:r>
      <w:r>
        <w:rPr>
          <w:rFonts w:ascii="Arial" w:cs="Arial" w:eastAsia="Arial" w:hAnsi="Arial"/>
          <w:sz w:val="16"/>
          <w:szCs w:val="16"/>
          <w:color w:val="auto"/>
        </w:rPr>
        <w:t>. All notices and other communications hereunder to be made to the parties shall be in</w:t>
      </w:r>
      <w:r>
        <w:rPr>
          <w:rFonts w:ascii="Arial" w:cs="Arial" w:eastAsia="Arial" w:hAnsi="Arial"/>
          <w:sz w:val="16"/>
          <w:szCs w:val="16"/>
          <w:b w:val="1"/>
          <w:bCs w:val="1"/>
          <w:color w:val="auto"/>
        </w:rPr>
        <w:t xml:space="preserve"> </w:t>
      </w:r>
      <w:r>
        <w:rPr>
          <w:rFonts w:ascii="Arial" w:cs="Arial" w:eastAsia="Arial" w:hAnsi="Arial"/>
          <w:sz w:val="16"/>
          <w:szCs w:val="16"/>
          <w:color w:val="auto"/>
        </w:rPr>
        <w:t>writing and shall be addressed as specified below as appropriate. The address, telephone number, or facsimile number for either party may be changed at any time and from time to time upon written notice given by such changing party to the other party. A properly addressed notice or other communication shall be deemed to have been delivered at the time it is sent by facsimile (fax) transmission, provided that the original of such faxed notice or other communication shall have been received within five (5) business days.</w:t>
      </w:r>
    </w:p>
    <w:p>
      <w:pPr>
        <w:spacing w:after="0" w:line="346"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auto"/>
        </w:rPr>
        <w:t>The Bank</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United States Department of Agriculture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1400 Independence Avenue, S.W.</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Washington, D.C. 20250-I 500</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Attention: Governor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Fax : (202) 720-0810</w:t>
      </w:r>
    </w:p>
    <w:p>
      <w:pPr>
        <w:spacing w:after="0" w:line="200" w:lineRule="exact"/>
        <w:rPr>
          <w:sz w:val="20"/>
          <w:szCs w:val="20"/>
          <w:color w:val="auto"/>
        </w:rPr>
      </w:pPr>
    </w:p>
    <w:p>
      <w:pPr>
        <w:spacing w:after="0" w:line="221"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auto"/>
        </w:rPr>
        <w:t>The Holder</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listed on Schedule II</w:t>
      </w:r>
    </w:p>
    <w:p>
      <w:pPr>
        <w:spacing w:after="0" w:line="199" w:lineRule="exact"/>
        <w:rPr>
          <w:sz w:val="20"/>
          <w:szCs w:val="20"/>
          <w:color w:val="auto"/>
        </w:rPr>
      </w:pPr>
    </w:p>
    <w:p>
      <w:pPr>
        <w:jc w:val="both"/>
        <w:ind w:left="80" w:right="2119" w:firstLine="622"/>
        <w:spacing w:after="0" w:line="262" w:lineRule="auto"/>
        <w:rPr>
          <w:sz w:val="20"/>
          <w:szCs w:val="20"/>
          <w:color w:val="auto"/>
        </w:rPr>
      </w:pPr>
      <w:r>
        <w:rPr>
          <w:rFonts w:ascii="Arial" w:cs="Arial" w:eastAsia="Arial" w:hAnsi="Arial"/>
          <w:sz w:val="18"/>
          <w:szCs w:val="18"/>
          <w:b w:val="1"/>
          <w:bCs w:val="1"/>
          <w:color w:val="auto"/>
        </w:rPr>
        <w:t xml:space="preserve">Section 5.9 </w:t>
      </w:r>
      <w:r>
        <w:rPr>
          <w:rFonts w:ascii="Arial" w:cs="Arial" w:eastAsia="Arial" w:hAnsi="Arial"/>
          <w:sz w:val="18"/>
          <w:szCs w:val="18"/>
          <w:b w:val="1"/>
          <w:bCs w:val="1"/>
          <w:i w:val="1"/>
          <w:iCs w:val="1"/>
          <w:u w:val="single" w:color="auto"/>
          <w:color w:val="auto"/>
        </w:rPr>
        <w:t>Severability</w:t>
      </w:r>
      <w:r>
        <w:rPr>
          <w:rFonts w:ascii="Arial" w:cs="Arial" w:eastAsia="Arial" w:hAnsi="Arial"/>
          <w:sz w:val="18"/>
          <w:szCs w:val="18"/>
          <w:color w:val="auto"/>
        </w:rPr>
        <w:t>. If any provision of this Agreement is declared invalid or unenforceable, then,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extent possible, all of the remaining provisions of this Agreement shall remain in full force and effect and shall be binding upon the parties hereto.</w:t>
      </w:r>
    </w:p>
    <w:p>
      <w:pPr>
        <w:spacing w:after="0" w:line="200" w:lineRule="exact"/>
        <w:rPr>
          <w:sz w:val="20"/>
          <w:szCs w:val="20"/>
          <w:color w:val="auto"/>
        </w:rPr>
      </w:pPr>
    </w:p>
    <w:p>
      <w:pPr>
        <w:spacing w:after="0" w:line="384"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5166995" cy="215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80" w:right="2119" w:firstLine="622"/>
        <w:spacing w:after="0" w:line="275" w:lineRule="auto"/>
        <w:rPr>
          <w:sz w:val="20"/>
          <w:szCs w:val="20"/>
          <w:color w:val="auto"/>
        </w:rPr>
      </w:pPr>
      <w:r>
        <w:rPr>
          <w:rFonts w:ascii="Arial" w:cs="Arial" w:eastAsia="Arial" w:hAnsi="Arial"/>
          <w:sz w:val="18"/>
          <w:szCs w:val="18"/>
          <w:b w:val="1"/>
          <w:bCs w:val="1"/>
          <w:color w:val="auto"/>
        </w:rPr>
        <w:t>IN WITNESSES WHEREOF</w:t>
      </w:r>
      <w:r>
        <w:rPr>
          <w:rFonts w:ascii="Arial" w:cs="Arial" w:eastAsia="Arial" w:hAnsi="Arial"/>
          <w:sz w:val="18"/>
          <w:szCs w:val="18"/>
          <w:color w:val="auto"/>
        </w:rPr>
        <w:t>, the parties here to have caused this Agreement to be duly executed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day and year first above written.</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640" w:type="dxa"/>
            <w:vAlign w:val="bottom"/>
            <w:gridSpan w:val="4"/>
          </w:tcPr>
          <w:p>
            <w:pPr>
              <w:ind w:left="800"/>
              <w:spacing w:after="0"/>
              <w:rPr>
                <w:sz w:val="20"/>
                <w:szCs w:val="20"/>
                <w:color w:val="auto"/>
              </w:rPr>
            </w:pPr>
            <w:r>
              <w:rPr>
                <w:rFonts w:ascii="Arial" w:cs="Arial" w:eastAsia="Arial" w:hAnsi="Arial"/>
                <w:sz w:val="18"/>
                <w:szCs w:val="18"/>
                <w:color w:val="auto"/>
              </w:rPr>
              <w:t>SHENANDOAH TELEPHONE COMPANY</w:t>
            </w:r>
          </w:p>
        </w:tc>
      </w:tr>
      <w:tr>
        <w:trPr>
          <w:trHeight w:val="394"/>
        </w:trPr>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640" w:type="dxa"/>
            <w:vAlign w:val="bottom"/>
            <w:gridSpan w:val="4"/>
          </w:tcPr>
          <w:p>
            <w:pPr>
              <w:ind w:left="800"/>
              <w:spacing w:after="0"/>
              <w:rPr>
                <w:sz w:val="20"/>
                <w:szCs w:val="20"/>
                <w:color w:val="auto"/>
              </w:rPr>
            </w:pPr>
            <w:r>
              <w:rPr>
                <w:rFonts w:ascii="Arial" w:cs="Arial" w:eastAsia="Arial" w:hAnsi="Arial"/>
                <w:sz w:val="18"/>
                <w:szCs w:val="18"/>
                <w:color w:val="auto"/>
              </w:rPr>
              <w:t>By: [ILLEGIBLE]</w:t>
            </w:r>
          </w:p>
        </w:tc>
      </w:tr>
      <w:tr>
        <w:trPr>
          <w:trHeight w:val="20"/>
        </w:trPr>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8"/>
        </w:trPr>
        <w:tc>
          <w:tcPr>
            <w:tcW w:w="1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640" w:type="dxa"/>
            <w:vAlign w:val="bottom"/>
            <w:gridSpan w:val="4"/>
          </w:tcPr>
          <w:p>
            <w:pPr>
              <w:ind w:left="800"/>
              <w:spacing w:after="0"/>
              <w:rPr>
                <w:sz w:val="20"/>
                <w:szCs w:val="20"/>
                <w:color w:val="auto"/>
              </w:rPr>
            </w:pPr>
            <w:r>
              <w:rPr>
                <w:rFonts w:ascii="Arial" w:cs="Arial" w:eastAsia="Arial" w:hAnsi="Arial"/>
                <w:sz w:val="18"/>
                <w:szCs w:val="18"/>
                <w:color w:val="auto"/>
              </w:rPr>
              <w:t>Name:</w:t>
            </w:r>
          </w:p>
        </w:tc>
      </w:tr>
      <w:tr>
        <w:trPr>
          <w:trHeight w:val="222"/>
        </w:trPr>
        <w:tc>
          <w:tcPr>
            <w:tcW w:w="1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640" w:type="dxa"/>
            <w:vAlign w:val="bottom"/>
            <w:gridSpan w:val="4"/>
          </w:tcPr>
          <w:p>
            <w:pPr>
              <w:ind w:left="800"/>
              <w:spacing w:after="0"/>
              <w:rPr>
                <w:sz w:val="20"/>
                <w:szCs w:val="20"/>
                <w:color w:val="auto"/>
              </w:rPr>
            </w:pPr>
            <w:r>
              <w:rPr>
                <w:rFonts w:ascii="Arial" w:cs="Arial" w:eastAsia="Arial" w:hAnsi="Arial"/>
                <w:sz w:val="18"/>
                <w:szCs w:val="18"/>
                <w:color w:val="auto"/>
              </w:rPr>
              <w:t>Title:</w:t>
            </w:r>
          </w:p>
        </w:tc>
      </w:tr>
      <w:tr>
        <w:trPr>
          <w:trHeight w:val="432"/>
        </w:trPr>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640" w:type="dxa"/>
            <w:vAlign w:val="bottom"/>
            <w:gridSpan w:val="4"/>
          </w:tcPr>
          <w:p>
            <w:pPr>
              <w:ind w:left="800"/>
              <w:spacing w:after="0"/>
              <w:rPr>
                <w:sz w:val="20"/>
                <w:szCs w:val="20"/>
                <w:color w:val="auto"/>
              </w:rPr>
            </w:pPr>
            <w:r>
              <w:rPr>
                <w:rFonts w:ascii="Arial" w:cs="Arial" w:eastAsia="Arial" w:hAnsi="Arial"/>
                <w:sz w:val="18"/>
                <w:szCs w:val="18"/>
                <w:color w:val="auto"/>
              </w:rPr>
              <w:t>RURAL TELEPHONE BANK</w:t>
            </w:r>
          </w:p>
        </w:tc>
      </w:tr>
      <w:tr>
        <w:trPr>
          <w:trHeight w:val="394"/>
        </w:trPr>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640" w:type="dxa"/>
            <w:vAlign w:val="bottom"/>
            <w:gridSpan w:val="4"/>
          </w:tcPr>
          <w:p>
            <w:pPr>
              <w:ind w:left="800"/>
              <w:spacing w:after="0"/>
              <w:rPr>
                <w:sz w:val="20"/>
                <w:szCs w:val="20"/>
                <w:color w:val="auto"/>
              </w:rPr>
            </w:pPr>
            <w:r>
              <w:rPr>
                <w:rFonts w:ascii="Arial" w:cs="Arial" w:eastAsia="Arial" w:hAnsi="Arial"/>
                <w:sz w:val="18"/>
                <w:szCs w:val="18"/>
                <w:color w:val="auto"/>
              </w:rPr>
              <w:t>By: [ILLEGIBLE]</w:t>
            </w:r>
          </w:p>
        </w:tc>
      </w:tr>
      <w:tr>
        <w:trPr>
          <w:trHeight w:val="235"/>
        </w:trPr>
        <w:tc>
          <w:tcPr>
            <w:tcW w:w="1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1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w w:val="90"/>
              </w:rPr>
              <w:t>as Chairman of the Rural Telephone Bank</w:t>
            </w:r>
          </w:p>
        </w:tc>
        <w:tc>
          <w:tcPr>
            <w:tcW w:w="380" w:type="dxa"/>
            <w:vAlign w:val="bottom"/>
          </w:tcPr>
          <w:p>
            <w:pPr>
              <w:spacing w:after="0"/>
              <w:rPr>
                <w:sz w:val="20"/>
                <w:szCs w:val="20"/>
                <w:color w:val="auto"/>
              </w:rPr>
            </w:pPr>
          </w:p>
        </w:tc>
      </w:tr>
      <w:tr>
        <w:trPr>
          <w:trHeight w:val="648"/>
        </w:trPr>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40" w:type="dxa"/>
            <w:vAlign w:val="bottom"/>
            <w:gridSpan w:val="2"/>
          </w:tcPr>
          <w:p>
            <w:pPr>
              <w:jc w:val="center"/>
              <w:ind w:left="1472"/>
              <w:spacing w:after="0"/>
              <w:rPr>
                <w:sz w:val="20"/>
                <w:szCs w:val="20"/>
                <w:color w:val="auto"/>
              </w:rPr>
            </w:pPr>
            <w:r>
              <w:rPr>
                <w:rFonts w:ascii="Arial" w:cs="Arial" w:eastAsia="Arial" w:hAnsi="Arial"/>
                <w:sz w:val="18"/>
                <w:szCs w:val="18"/>
                <w:color w:val="auto"/>
                <w:w w:val="79"/>
              </w:rPr>
              <w:t>7</w:t>
            </w:r>
          </w:p>
        </w:tc>
        <w:tc>
          <w:tcPr>
            <w:tcW w:w="2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63"/>
        </w:trPr>
        <w:tc>
          <w:tcPr>
            <w:tcW w:w="12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r>
      <w:tr>
        <w:trPr>
          <w:trHeight w:val="751"/>
        </w:trPr>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640" w:type="dxa"/>
            <w:vAlign w:val="bottom"/>
            <w:gridSpan w:val="4"/>
          </w:tcPr>
          <w:p>
            <w:pPr>
              <w:jc w:val="center"/>
              <w:ind w:right="3520"/>
              <w:spacing w:after="0"/>
              <w:rPr>
                <w:sz w:val="20"/>
                <w:szCs w:val="20"/>
                <w:color w:val="auto"/>
              </w:rPr>
            </w:pPr>
            <w:r>
              <w:rPr>
                <w:rFonts w:ascii="Arial" w:cs="Arial" w:eastAsia="Arial" w:hAnsi="Arial"/>
                <w:sz w:val="18"/>
                <w:szCs w:val="18"/>
                <w:b w:val="1"/>
                <w:bCs w:val="1"/>
                <w:color w:val="auto"/>
                <w:w w:val="99"/>
              </w:rPr>
              <w:t>SCHEDULE I</w:t>
            </w:r>
          </w:p>
        </w:tc>
      </w:tr>
      <w:tr>
        <w:trPr>
          <w:trHeight w:val="501"/>
        </w:trPr>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180" w:type="dxa"/>
            <w:vAlign w:val="bottom"/>
            <w:gridSpan w:val="5"/>
          </w:tcPr>
          <w:p>
            <w:pPr>
              <w:jc w:val="center"/>
              <w:ind w:right="1980"/>
              <w:spacing w:after="0"/>
              <w:rPr>
                <w:sz w:val="20"/>
                <w:szCs w:val="20"/>
                <w:color w:val="auto"/>
              </w:rPr>
            </w:pPr>
            <w:r>
              <w:rPr>
                <w:rFonts w:ascii="Arial" w:cs="Arial" w:eastAsia="Arial" w:hAnsi="Arial"/>
                <w:sz w:val="18"/>
                <w:szCs w:val="18"/>
                <w:b w:val="1"/>
                <w:bCs w:val="1"/>
                <w:color w:val="auto"/>
                <w:w w:val="99"/>
              </w:rPr>
              <w:t>LIQUIDATING ACCOUNT LOANS</w:t>
            </w:r>
          </w:p>
        </w:tc>
      </w:tr>
      <w:tr>
        <w:trPr>
          <w:trHeight w:val="228"/>
        </w:trPr>
        <w:tc>
          <w:tcPr>
            <w:tcW w:w="1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180" w:type="dxa"/>
            <w:vAlign w:val="bottom"/>
            <w:gridSpan w:val="5"/>
          </w:tcPr>
          <w:p>
            <w:pPr>
              <w:jc w:val="center"/>
              <w:ind w:right="1980"/>
              <w:spacing w:after="0"/>
              <w:rPr>
                <w:sz w:val="20"/>
                <w:szCs w:val="20"/>
                <w:color w:val="auto"/>
              </w:rPr>
            </w:pPr>
            <w:r>
              <w:rPr>
                <w:rFonts w:ascii="Arial" w:cs="Arial" w:eastAsia="Arial" w:hAnsi="Arial"/>
                <w:sz w:val="18"/>
                <w:szCs w:val="18"/>
                <w:b w:val="1"/>
                <w:bCs w:val="1"/>
                <w:color w:val="auto"/>
              </w:rPr>
              <w:t>OF THE HOLDER</w:t>
            </w:r>
          </w:p>
        </w:tc>
      </w:tr>
      <w:tr>
        <w:trPr>
          <w:trHeight w:val="394"/>
        </w:trPr>
        <w:tc>
          <w:tcPr>
            <w:tcW w:w="1960" w:type="dxa"/>
            <w:vAlign w:val="bottom"/>
            <w:gridSpan w:val="2"/>
          </w:tcPr>
          <w:p>
            <w:pPr>
              <w:spacing w:after="0"/>
              <w:rPr>
                <w:sz w:val="20"/>
                <w:szCs w:val="20"/>
                <w:color w:val="auto"/>
              </w:rPr>
            </w:pPr>
            <w:r>
              <w:rPr>
                <w:rFonts w:ascii="Arial" w:cs="Arial" w:eastAsia="Arial" w:hAnsi="Arial"/>
                <w:sz w:val="18"/>
                <w:szCs w:val="18"/>
                <w:color w:val="auto"/>
              </w:rPr>
              <w:t>Loan Designation</w:t>
            </w:r>
          </w:p>
        </w:tc>
        <w:tc>
          <w:tcPr>
            <w:tcW w:w="1540" w:type="dxa"/>
            <w:vAlign w:val="bottom"/>
          </w:tcPr>
          <w:p>
            <w:pPr>
              <w:spacing w:after="0"/>
              <w:rPr>
                <w:sz w:val="24"/>
                <w:szCs w:val="24"/>
                <w:color w:val="auto"/>
              </w:rPr>
            </w:pPr>
          </w:p>
        </w:tc>
        <w:tc>
          <w:tcPr>
            <w:tcW w:w="4640" w:type="dxa"/>
            <w:vAlign w:val="bottom"/>
            <w:gridSpan w:val="4"/>
          </w:tcPr>
          <w:p>
            <w:pPr>
              <w:spacing w:after="0"/>
              <w:rPr>
                <w:sz w:val="20"/>
                <w:szCs w:val="20"/>
                <w:color w:val="auto"/>
              </w:rPr>
            </w:pPr>
            <w:r>
              <w:rPr>
                <w:rFonts w:ascii="Arial" w:cs="Arial" w:eastAsia="Arial" w:hAnsi="Arial"/>
                <w:sz w:val="18"/>
                <w:szCs w:val="18"/>
                <w:color w:val="auto"/>
              </w:rPr>
              <w:t>Balance of Unadvanced Funds as of October 1, 2005</w:t>
            </w:r>
          </w:p>
        </w:tc>
      </w:tr>
      <w:tr>
        <w:trPr>
          <w:trHeight w:val="248"/>
        </w:trPr>
        <w:tc>
          <w:tcPr>
            <w:tcW w:w="1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None</w:t>
            </w:r>
          </w:p>
        </w:tc>
        <w:tc>
          <w:tcPr>
            <w:tcW w:w="7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620" w:type="dxa"/>
            <w:vAlign w:val="bottom"/>
            <w:tcBorders>
              <w:top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864"/>
        </w:trPr>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40" w:type="dxa"/>
            <w:vAlign w:val="bottom"/>
            <w:gridSpan w:val="2"/>
          </w:tcPr>
          <w:p>
            <w:pPr>
              <w:jc w:val="center"/>
              <w:ind w:left="1472"/>
              <w:spacing w:after="0"/>
              <w:rPr>
                <w:sz w:val="20"/>
                <w:szCs w:val="20"/>
                <w:color w:val="auto"/>
              </w:rPr>
            </w:pPr>
            <w:r>
              <w:rPr>
                <w:rFonts w:ascii="Arial" w:cs="Arial" w:eastAsia="Arial" w:hAnsi="Arial"/>
                <w:sz w:val="18"/>
                <w:szCs w:val="18"/>
                <w:color w:val="auto"/>
                <w:w w:val="79"/>
              </w:rPr>
              <w:t>8</w:t>
            </w:r>
          </w:p>
        </w:tc>
        <w:tc>
          <w:tcPr>
            <w:tcW w:w="2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579"/>
        </w:trPr>
        <w:tc>
          <w:tcPr>
            <w:tcW w:w="12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-2303780</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-2303780</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31" w:right="1440" w:bottom="195" w:gutter="0" w:footer="0" w:header="0"/>
        </w:sectPr>
      </w:pPr>
    </w:p>
    <w:bookmarkStart w:id="126" w:name="page127"/>
    <w:bookmarkEnd w:id="126"/>
    <w:p>
      <w:pPr>
        <w:jc w:val="right"/>
        <w:ind w:right="209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CERTIFICATION</w:t>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 Christopher E. French, certify that:</w:t>
      </w:r>
    </w:p>
    <w:p>
      <w:pPr>
        <w:spacing w:after="0" w:line="158" w:lineRule="exact"/>
        <w:rPr>
          <w:sz w:val="20"/>
          <w:szCs w:val="20"/>
          <w:color w:val="auto"/>
        </w:rPr>
      </w:pPr>
    </w:p>
    <w:p>
      <w:pPr>
        <w:ind w:left="820" w:hanging="812"/>
        <w:spacing w:after="0"/>
        <w:tabs>
          <w:tab w:leader="none" w:pos="8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Shenandoah Telecommunications Company, Inc.;</w:t>
      </w:r>
    </w:p>
    <w:p>
      <w:pPr>
        <w:spacing w:after="0" w:line="180" w:lineRule="exact"/>
        <w:rPr>
          <w:rFonts w:ascii="Arial" w:cs="Arial" w:eastAsia="Arial" w:hAnsi="Arial"/>
          <w:sz w:val="16"/>
          <w:szCs w:val="16"/>
          <w:color w:val="auto"/>
        </w:rPr>
      </w:pPr>
    </w:p>
    <w:p>
      <w:pPr>
        <w:jc w:val="both"/>
        <w:ind w:left="820" w:right="2199" w:hanging="812"/>
        <w:spacing w:after="0" w:line="306" w:lineRule="auto"/>
        <w:tabs>
          <w:tab w:leader="none" w:pos="8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6"/>
          <w:szCs w:val="16"/>
          <w:color w:val="auto"/>
        </w:rPr>
      </w:pPr>
    </w:p>
    <w:p>
      <w:pPr>
        <w:ind w:left="820" w:right="2119" w:hanging="812"/>
        <w:spacing w:after="0" w:line="306" w:lineRule="auto"/>
        <w:tabs>
          <w:tab w:leader="none" w:pos="8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6"/>
          <w:szCs w:val="16"/>
          <w:color w:val="auto"/>
        </w:rPr>
      </w:pPr>
    </w:p>
    <w:p>
      <w:pPr>
        <w:ind w:left="820" w:right="2119" w:hanging="812"/>
        <w:spacing w:after="0" w:line="256"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820" w:right="2239" w:hanging="2"/>
        <w:spacing w:after="0" w:line="298" w:lineRule="auto"/>
        <w:tabs>
          <w:tab w:leader="none" w:pos="1059"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9" w:lineRule="exact"/>
        <w:rPr>
          <w:rFonts w:ascii="Arial" w:cs="Arial" w:eastAsia="Arial" w:hAnsi="Arial"/>
          <w:sz w:val="16"/>
          <w:szCs w:val="16"/>
          <w:color w:val="auto"/>
        </w:rPr>
      </w:pPr>
    </w:p>
    <w:p>
      <w:pPr>
        <w:ind w:left="820" w:right="2159" w:hanging="2"/>
        <w:spacing w:after="0" w:line="298" w:lineRule="auto"/>
        <w:tabs>
          <w:tab w:leader="none" w:pos="1069"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9" w:lineRule="exact"/>
        <w:rPr>
          <w:rFonts w:ascii="Arial" w:cs="Arial" w:eastAsia="Arial" w:hAnsi="Arial"/>
          <w:sz w:val="16"/>
          <w:szCs w:val="16"/>
          <w:color w:val="auto"/>
        </w:rPr>
      </w:pPr>
    </w:p>
    <w:p>
      <w:pPr>
        <w:jc w:val="both"/>
        <w:ind w:left="820" w:right="2279" w:hanging="2"/>
        <w:spacing w:after="0" w:line="306" w:lineRule="auto"/>
        <w:tabs>
          <w:tab w:leader="none" w:pos="1059"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6"/>
          <w:szCs w:val="16"/>
          <w:color w:val="auto"/>
        </w:rPr>
      </w:pPr>
    </w:p>
    <w:p>
      <w:pPr>
        <w:ind w:left="820" w:right="2279" w:hanging="2"/>
        <w:spacing w:after="0" w:line="298" w:lineRule="auto"/>
        <w:tabs>
          <w:tab w:leader="none" w:pos="1069" w:val="left"/>
        </w:tabs>
        <w:numPr>
          <w:ilvl w:val="1"/>
          <w:numId w:val="4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9" w:lineRule="exact"/>
        <w:rPr>
          <w:rFonts w:ascii="Arial" w:cs="Arial" w:eastAsia="Arial" w:hAnsi="Arial"/>
          <w:sz w:val="16"/>
          <w:szCs w:val="16"/>
          <w:color w:val="auto"/>
        </w:rPr>
      </w:pPr>
    </w:p>
    <w:p>
      <w:pPr>
        <w:ind w:left="820" w:right="2199" w:hanging="812"/>
        <w:spacing w:after="0" w:line="306" w:lineRule="auto"/>
        <w:tabs>
          <w:tab w:leader="none" w:pos="8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6"/>
          <w:szCs w:val="16"/>
          <w:color w:val="auto"/>
        </w:rPr>
      </w:pPr>
    </w:p>
    <w:p>
      <w:pPr>
        <w:ind w:left="820" w:right="2139" w:hanging="2"/>
        <w:spacing w:after="0" w:line="259" w:lineRule="auto"/>
        <w:tabs>
          <w:tab w:leader="none" w:pos="1059"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6" w:lineRule="exact"/>
        <w:rPr>
          <w:rFonts w:ascii="Arial" w:cs="Arial" w:eastAsia="Arial" w:hAnsi="Arial"/>
          <w:sz w:val="18"/>
          <w:szCs w:val="18"/>
          <w:color w:val="auto"/>
        </w:rPr>
      </w:pPr>
    </w:p>
    <w:p>
      <w:pPr>
        <w:ind w:left="820" w:right="2539" w:hanging="2"/>
        <w:spacing w:after="0" w:line="268" w:lineRule="auto"/>
        <w:tabs>
          <w:tab w:leader="none" w:pos="1069"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 CHRISTOPHER E. FRENCH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80010</wp:posOffset>
            </wp:positionV>
            <wp:extent cx="2795905"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1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Christopher E. French, President and Chief Executive Officer</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Date: March 21,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5166995" cy="469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127" w:name="page128"/>
    <w:bookmarkEnd w:id="127"/>
    <w:p>
      <w:pPr>
        <w:jc w:val="right"/>
        <w:ind w:right="209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CERTIFICATION</w:t>
      </w: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Earle A. MacKenzie, certify that:</w:t>
      </w:r>
    </w:p>
    <w:p>
      <w:pPr>
        <w:spacing w:after="0" w:line="158" w:lineRule="exact"/>
        <w:rPr>
          <w:sz w:val="20"/>
          <w:szCs w:val="20"/>
          <w:color w:val="auto"/>
        </w:rPr>
      </w:pPr>
    </w:p>
    <w:p>
      <w:pPr>
        <w:ind w:left="420" w:hanging="412"/>
        <w:spacing w:after="0"/>
        <w:tabs>
          <w:tab w:leader="none" w:pos="4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Shenandoah Telecommunications Company, Inc.;</w:t>
      </w:r>
    </w:p>
    <w:p>
      <w:pPr>
        <w:spacing w:after="0" w:line="180" w:lineRule="exact"/>
        <w:rPr>
          <w:rFonts w:ascii="Arial" w:cs="Arial" w:eastAsia="Arial" w:hAnsi="Arial"/>
          <w:sz w:val="16"/>
          <w:szCs w:val="16"/>
          <w:color w:val="auto"/>
        </w:rPr>
      </w:pPr>
    </w:p>
    <w:p>
      <w:pPr>
        <w:ind w:left="420" w:right="2219" w:hanging="412"/>
        <w:spacing w:after="0" w:line="306" w:lineRule="auto"/>
        <w:tabs>
          <w:tab w:leader="none" w:pos="4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6"/>
          <w:szCs w:val="16"/>
          <w:color w:val="auto"/>
        </w:rPr>
      </w:pPr>
    </w:p>
    <w:p>
      <w:pPr>
        <w:ind w:left="420" w:right="2419" w:hanging="412"/>
        <w:spacing w:after="0" w:line="259" w:lineRule="auto"/>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6" w:lineRule="exact"/>
        <w:rPr>
          <w:rFonts w:ascii="Arial" w:cs="Arial" w:eastAsia="Arial" w:hAnsi="Arial"/>
          <w:sz w:val="18"/>
          <w:szCs w:val="18"/>
          <w:color w:val="auto"/>
        </w:rPr>
      </w:pPr>
    </w:p>
    <w:p>
      <w:pPr>
        <w:ind w:left="420" w:right="2319" w:hanging="412"/>
        <w:spacing w:after="0" w:line="256" w:lineRule="auto"/>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420" w:right="2179" w:hanging="7"/>
        <w:spacing w:after="0" w:line="256" w:lineRule="auto"/>
        <w:tabs>
          <w:tab w:leader="none" w:pos="659"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420" w:right="2319" w:hanging="7"/>
        <w:spacing w:after="0" w:line="298" w:lineRule="auto"/>
        <w:tabs>
          <w:tab w:leader="none" w:pos="669"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9" w:lineRule="exact"/>
        <w:rPr>
          <w:rFonts w:ascii="Arial" w:cs="Arial" w:eastAsia="Arial" w:hAnsi="Arial"/>
          <w:sz w:val="16"/>
          <w:szCs w:val="16"/>
          <w:color w:val="auto"/>
        </w:rPr>
      </w:pPr>
    </w:p>
    <w:p>
      <w:pPr>
        <w:ind w:left="420" w:right="2239" w:hanging="7"/>
        <w:spacing w:after="0" w:line="259" w:lineRule="auto"/>
        <w:tabs>
          <w:tab w:leader="none" w:pos="659"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6" w:lineRule="exact"/>
        <w:rPr>
          <w:rFonts w:ascii="Arial" w:cs="Arial" w:eastAsia="Arial" w:hAnsi="Arial"/>
          <w:sz w:val="18"/>
          <w:szCs w:val="18"/>
          <w:color w:val="auto"/>
        </w:rPr>
      </w:pPr>
    </w:p>
    <w:p>
      <w:pPr>
        <w:ind w:left="420" w:right="2239" w:hanging="7"/>
        <w:spacing w:after="0" w:line="256" w:lineRule="auto"/>
        <w:tabs>
          <w:tab w:leader="none" w:pos="669"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420" w:right="2599" w:hanging="412"/>
        <w:spacing w:after="0" w:line="306" w:lineRule="auto"/>
        <w:tabs>
          <w:tab w:leader="none" w:pos="4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6"/>
          <w:szCs w:val="16"/>
          <w:color w:val="auto"/>
        </w:rPr>
      </w:pPr>
    </w:p>
    <w:p>
      <w:pPr>
        <w:ind w:left="420" w:right="2279" w:hanging="7"/>
        <w:spacing w:after="0" w:line="259" w:lineRule="auto"/>
        <w:tabs>
          <w:tab w:leader="none" w:pos="659"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6" w:lineRule="exact"/>
        <w:rPr>
          <w:rFonts w:ascii="Arial" w:cs="Arial" w:eastAsia="Arial" w:hAnsi="Arial"/>
          <w:sz w:val="18"/>
          <w:szCs w:val="18"/>
          <w:color w:val="auto"/>
        </w:rPr>
      </w:pPr>
    </w:p>
    <w:p>
      <w:pPr>
        <w:ind w:left="420" w:right="2159" w:hanging="7"/>
        <w:spacing w:after="0" w:line="268" w:lineRule="auto"/>
        <w:tabs>
          <w:tab w:leader="none" w:pos="669"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 EARLE A. MACKENZIE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80010</wp:posOffset>
            </wp:positionV>
            <wp:extent cx="343916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219" w:lineRule="exact"/>
        <w:rPr>
          <w:sz w:val="20"/>
          <w:szCs w:val="20"/>
          <w:color w:val="auto"/>
        </w:rPr>
      </w:pPr>
    </w:p>
    <w:p>
      <w:pPr>
        <w:ind w:left="420" w:right="4539"/>
        <w:spacing w:after="0" w:line="268" w:lineRule="auto"/>
        <w:rPr>
          <w:sz w:val="20"/>
          <w:szCs w:val="20"/>
          <w:color w:val="auto"/>
        </w:rPr>
      </w:pPr>
      <w:r>
        <w:rPr>
          <w:rFonts w:ascii="Arial" w:cs="Arial" w:eastAsia="Arial" w:hAnsi="Arial"/>
          <w:sz w:val="18"/>
          <w:szCs w:val="18"/>
          <w:color w:val="auto"/>
        </w:rPr>
        <w:t>Earle A. MacKenzie, Executive Vice President and Chief Financial Officer Date: March 21,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5166995" cy="469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2159"/>
        <w:spacing w:after="0"/>
        <w:rPr>
          <w:sz w:val="20"/>
          <w:szCs w:val="20"/>
          <w:color w:val="auto"/>
        </w:rPr>
      </w:pPr>
      <w:r>
        <w:rPr>
          <w:rFonts w:ascii="Arial" w:cs="Arial" w:eastAsia="Arial" w:hAnsi="Arial"/>
          <w:sz w:val="18"/>
          <w:szCs w:val="18"/>
          <w:b w:val="1"/>
          <w:bCs w:val="1"/>
          <w:color w:val="auto"/>
        </w:rPr>
        <w:t>Written Statement of Chief Executive Officer and Chief Financial Officer</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9" w:lineRule="exact"/>
        <w:rPr>
          <w:sz w:val="20"/>
          <w:szCs w:val="20"/>
          <w:color w:val="auto"/>
        </w:rPr>
      </w:pPr>
    </w:p>
    <w:p>
      <w:pPr>
        <w:ind w:right="2219" w:firstLine="439"/>
        <w:spacing w:after="0" w:line="259" w:lineRule="auto"/>
        <w:rPr>
          <w:sz w:val="20"/>
          <w:szCs w:val="20"/>
          <w:color w:val="auto"/>
        </w:rPr>
      </w:pPr>
      <w:r>
        <w:rPr>
          <w:rFonts w:ascii="Arial" w:cs="Arial" w:eastAsia="Arial" w:hAnsi="Arial"/>
          <w:sz w:val="18"/>
          <w:szCs w:val="18"/>
          <w:color w:val="auto"/>
        </w:rPr>
        <w:t>Each of the undersigned, the President and Chief Executive Officer and the Executive Vice President and Chief Financial Officer, of Shenandoah Telecommunications Company (the “Company”), hereby certifies that, on the date hereof:</w:t>
      </w:r>
    </w:p>
    <w:p>
      <w:pPr>
        <w:spacing w:after="0" w:line="194" w:lineRule="exact"/>
        <w:rPr>
          <w:sz w:val="20"/>
          <w:szCs w:val="20"/>
          <w:color w:val="auto"/>
        </w:rPr>
      </w:pPr>
    </w:p>
    <w:p>
      <w:pPr>
        <w:ind w:right="2179" w:firstLine="447"/>
        <w:spacing w:after="0" w:line="259" w:lineRule="auto"/>
        <w:tabs>
          <w:tab w:leader="none" w:pos="107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2005 filed on the date hereof with the Securities and Exchange Commission (the “Report”) fully complies with the requirements of Section 13(a) or 15(d) of the Securities Exchange Act of 1934; and</w:t>
      </w:r>
    </w:p>
    <w:p>
      <w:pPr>
        <w:spacing w:after="0" w:line="194" w:lineRule="exact"/>
        <w:rPr>
          <w:rFonts w:ascii="Arial" w:cs="Arial" w:eastAsia="Arial" w:hAnsi="Arial"/>
          <w:sz w:val="18"/>
          <w:szCs w:val="18"/>
          <w:color w:val="auto"/>
        </w:rPr>
      </w:pPr>
    </w:p>
    <w:p>
      <w:pPr>
        <w:ind w:right="2219" w:firstLine="447"/>
        <w:spacing w:after="0" w:line="268" w:lineRule="auto"/>
        <w:tabs>
          <w:tab w:leader="none" w:pos="1083"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 of operations of the Company.</w:t>
      </w:r>
    </w:p>
    <w:p>
      <w:pPr>
        <w:spacing w:after="0" w:line="199"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/S/CHRISTOPHER E. FRENCH</w:t>
      </w:r>
    </w:p>
    <w:p>
      <w:pPr>
        <w:spacing w:after="0" w:line="3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Christopher E. French</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President and Chief Executive</w:t>
      </w:r>
    </w:p>
    <w:p>
      <w:pPr>
        <w:spacing w:after="0" w:line="3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March 21, 2006</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/S/EARLE A. MACKENZIE</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Earle A. MacKenzie</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March 21, 2006</w:t>
      </w:r>
    </w:p>
    <w:p>
      <w:pPr>
        <w:spacing w:after="0" w:line="367" w:lineRule="exact"/>
        <w:rPr>
          <w:sz w:val="20"/>
          <w:szCs w:val="20"/>
          <w:color w:val="auto"/>
        </w:rPr>
      </w:pPr>
    </w:p>
    <w:p>
      <w:pPr>
        <w:ind w:right="2159"/>
        <w:spacing w:after="0" w:line="291" w:lineRule="auto"/>
        <w:rPr>
          <w:sz w:val="20"/>
          <w:szCs w:val="20"/>
          <w:color w:val="auto"/>
        </w:rPr>
      </w:pPr>
      <w:r>
        <w:rPr>
          <w:rFonts w:ascii="Arial" w:cs="Arial" w:eastAsia="Arial" w:hAnsi="Arial"/>
          <w:sz w:val="16"/>
          <w:szCs w:val="16"/>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66995" cy="469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5166995" cy="46990"/>
                    </a:xfrm>
                    <a:prstGeom prst="rect">
                      <a:avLst/>
                    </a:prstGeom>
                    <a:noFill/>
                  </pic:spPr>
                </pic:pic>
              </a:graphicData>
            </a:graphic>
          </wp:anchor>
        </w:drawing>
      </w:r>
    </w:p>
    <w:sectPr>
      <w:pgSz w:w="11900" w:h="16838" w:orient="portrait"/>
      <w:cols w:equalWidth="0" w:num="1">
        <w:col w:w="10219"/>
      </w:cols>
      <w:pgMar w:left="240" w:top="5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x"/>
      <w:numFmt w:val="bullet"/>
      <w:start w:val="1"/>
    </w:lvl>
  </w:abstractNum>
  <w:abstractNum w:abstractNumId="1">
    <w:nsid w:val="721DA317"/>
    <w:multiLevelType w:val="hybridMultilevel"/>
    <w:lvl w:ilvl="0">
      <w:lvlJc w:val="left"/>
      <w:lvlText w:val="o"/>
      <w:numFmt w:val="bullet"/>
      <w:start w:val="1"/>
    </w:lvl>
  </w:abstractNum>
  <w:abstractNum w:abstractNumId="2">
    <w:nsid w:val="2443A858"/>
    <w:multiLevelType w:val="hybridMultilevel"/>
    <w:lvl w:ilvl="0">
      <w:lvlJc w:val="left"/>
      <w:lvlText w:val="%1."/>
      <w:numFmt w:val="decimal"/>
      <w:start w:val="5"/>
    </w:lvl>
  </w:abstractNum>
  <w:abstractNum w:abstractNumId="3">
    <w:nsid w:val="2D1D5AE9"/>
    <w:multiLevelType w:val="hybridMultilevel"/>
    <w:lvl w:ilvl="0">
      <w:lvlJc w:val="left"/>
      <w:lvlText w:val="%1."/>
      <w:numFmt w:val="decimal"/>
      <w:start w:val="12"/>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1)"/>
      <w:numFmt w:val="lowerLetter"/>
      <w:start w:val="1"/>
    </w:lvl>
  </w:abstractNum>
  <w:abstractNum w:abstractNumId="12">
    <w:nsid w:val="71F32454"/>
    <w:multiLevelType w:val="hybridMultilevel"/>
    <w:lvl w:ilvl="0">
      <w:lvlJc w:val="left"/>
      <w:lvlText w:val="(%1)"/>
      <w:numFmt w:val="lowerLetter"/>
      <w:start w:val="2"/>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lowerLetter"/>
      <w:start w:val="1"/>
    </w:lvl>
  </w:abstractNum>
  <w:abstractNum w:abstractNumId="19">
    <w:nsid w:val="7C3DBD3D"/>
    <w:multiLevelType w:val="hybridMultilevel"/>
    <w:lvl w:ilvl="0">
      <w:lvlJc w:val="left"/>
      <w:lvlText w:val="(%1)"/>
      <w:numFmt w:val="lowerLetter"/>
      <w:start w:val="2"/>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1)"/>
      <w:numFmt w:val="lowerLetter"/>
      <w:start w:val="3"/>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1."/>
      <w:numFmt w:val="decimal"/>
      <w:start w:val="1"/>
    </w:lvl>
    <w:lvl w:ilvl="1">
      <w:lvlJc w:val="left"/>
      <w:lvlText w:val="(%2)"/>
      <w:numFmt w:val="lowerLetter"/>
      <w:start w:val="1"/>
    </w:lvl>
  </w:abstractNum>
  <w:abstractNum w:abstractNumId="32">
    <w:nsid w:val="7724C67E"/>
    <w:multiLevelType w:val="hybridMultilevel"/>
    <w:lvl w:ilvl="0">
      <w:lvlJc w:val="left"/>
      <w:lvlText w:val="%1"/>
      <w:numFmt w:val="decimal"/>
      <w:start w:val="1"/>
    </w:lvl>
    <w:lvl w:ilvl="1">
      <w:lvlJc w:val="left"/>
      <w:lvlText w:val="(%2)"/>
      <w:numFmt w:val="lowerLetter"/>
      <w:start w:val="4"/>
    </w:lvl>
  </w:abstractNum>
  <w:abstractNum w:abstractNumId="33">
    <w:nsid w:val="5C482A97"/>
    <w:multiLevelType w:val="hybridMultilevel"/>
    <w:lvl w:ilvl="0">
      <w:lvlJc w:val="left"/>
      <w:lvlText w:val="%1."/>
      <w:numFmt w:val="decimal"/>
      <w:start w:val="3"/>
    </w:lvl>
    <w:lvl w:ilvl="1">
      <w:lvlJc w:val="left"/>
      <w:lvlText w:val="%2"/>
      <w:numFmt w:val="lowerLetter"/>
      <w:start w:val="1"/>
    </w:lvl>
  </w:abstractNum>
  <w:abstractNum w:abstractNumId="34">
    <w:nsid w:val="2463B9EA"/>
    <w:multiLevelType w:val="hybridMultilevel"/>
    <w:lvl w:ilvl="0">
      <w:lvlJc w:val="left"/>
      <w:lvlText w:val="%1."/>
      <w:numFmt w:val="decimal"/>
      <w:start w:val="5"/>
    </w:lvl>
  </w:abstractNum>
  <w:abstractNum w:abstractNumId="35">
    <w:nsid w:val="5E884ADC"/>
    <w:multiLevelType w:val="hybridMultilevel"/>
    <w:lvl w:ilvl="0">
      <w:lvlJc w:val="left"/>
      <w:lvlText w:val="%1."/>
      <w:numFmt w:val="decimal"/>
      <w:start w:val="10"/>
    </w:lvl>
  </w:abstractNum>
  <w:abstractNum w:abstractNumId="36">
    <w:nsid w:val="51EAD36B"/>
    <w:multiLevelType w:val="hybridMultilevel"/>
    <w:lvl w:ilvl="0">
      <w:lvlJc w:val="left"/>
      <w:lvlText w:val="(%1)"/>
      <w:numFmt w:val="lowerLetter"/>
      <w:start w:val="1"/>
    </w:lvl>
  </w:abstractNum>
  <w:abstractNum w:abstractNumId="37">
    <w:nsid w:val="2D517796"/>
    <w:multiLevelType w:val="hybridMultilevel"/>
    <w:lvl w:ilvl="0">
      <w:lvlJc w:val="left"/>
      <w:lvlText w:val="(%1)"/>
      <w:numFmt w:val="lowerLetter"/>
      <w:start w:val="1"/>
    </w:lvl>
  </w:abstractNum>
  <w:abstractNum w:abstractNumId="38">
    <w:nsid w:val="580BD78F"/>
    <w:multiLevelType w:val="hybridMultilevel"/>
    <w:lvl w:ilvl="0">
      <w:lvlJc w:val="left"/>
      <w:lvlText w:val="(%1)"/>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2019-12-13T10:47:49Z</dcterms:created>
  <dcterms:modified xsi:type="dcterms:W3CDTF">2019-12-13T10:47:49Z</dcterms:modified>
</cp:coreProperties>
</file>