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SCHEDULE 14A</w:t>
      </w:r>
    </w:p>
    <w:p>
      <w:pPr>
        <w:spacing w:after="0" w:line="235"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 Exchange Act of 1934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Filed by the Registrant </w:t>
      </w:r>
      <w:r>
        <w:rPr>
          <w:rFonts w:ascii="Wingdings" w:cs="Wingdings" w:eastAsia="Wingdings" w:hAnsi="Wingdings"/>
          <w:sz w:val="17"/>
          <w:szCs w:val="17"/>
          <w:b w:val="1"/>
          <w:bCs w:val="1"/>
          <w:color w:val="auto"/>
        </w:rPr>
        <w:t>x</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Wingdings" w:cs="Wingdings" w:eastAsia="Wingdings" w:hAnsi="Wingdings"/>
          <w:sz w:val="17"/>
          <w:szCs w:val="17"/>
          <w:b w:val="1"/>
          <w:bCs w:val="1"/>
          <w:color w:val="auto"/>
        </w:rPr>
        <w:t>o</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56" w:lineRule="exact"/>
        <w:rPr>
          <w:sz w:val="24"/>
          <w:szCs w:val="24"/>
          <w:color w:val="auto"/>
        </w:rPr>
      </w:pPr>
    </w:p>
    <w:p>
      <w:pPr>
        <w:ind w:left="2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color w:val="auto"/>
        </w:rPr>
        <w:t>Preliminary Proxy Statement</w:t>
      </w:r>
    </w:p>
    <w:p>
      <w:pPr>
        <w:spacing w:after="0" w:line="28" w:lineRule="exact"/>
        <w:rPr>
          <w:sz w:val="24"/>
          <w:szCs w:val="24"/>
          <w:color w:val="auto"/>
        </w:rPr>
      </w:pPr>
    </w:p>
    <w:p>
      <w:pPr>
        <w:ind w:left="2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color w:val="auto"/>
        </w:rPr>
        <w:t>Confidential, For Use of the Commission Only (as permitted by Rule 14a-6(e)(2))</w:t>
      </w:r>
    </w:p>
    <w:p>
      <w:pPr>
        <w:spacing w:after="0" w:line="24" w:lineRule="exact"/>
        <w:rPr>
          <w:sz w:val="24"/>
          <w:szCs w:val="24"/>
          <w:color w:val="auto"/>
        </w:rPr>
      </w:pPr>
    </w:p>
    <w:p>
      <w:pPr>
        <w:ind w:left="20"/>
        <w:spacing w:after="0"/>
        <w:rPr>
          <w:sz w:val="20"/>
          <w:szCs w:val="20"/>
          <w:color w:val="auto"/>
        </w:rPr>
      </w:pPr>
      <w:r>
        <w:rPr>
          <w:rFonts w:ascii="Wingdings" w:cs="Wingdings" w:eastAsia="Wingdings" w:hAnsi="Wingdings"/>
          <w:sz w:val="17"/>
          <w:szCs w:val="17"/>
          <w:b w:val="1"/>
          <w:bCs w:val="1"/>
          <w:color w:val="auto"/>
        </w:rPr>
        <w:t xml:space="preserve">x </w:t>
      </w:r>
      <w:r>
        <w:rPr>
          <w:rFonts w:ascii="Times New Roman" w:cs="Times New Roman" w:eastAsia="Times New Roman" w:hAnsi="Times New Roman"/>
          <w:sz w:val="17"/>
          <w:szCs w:val="17"/>
          <w:color w:val="auto"/>
        </w:rPr>
        <w:t>Definitive Proxy Statement</w:t>
      </w:r>
    </w:p>
    <w:p>
      <w:pPr>
        <w:spacing w:after="0" w:line="24" w:lineRule="exact"/>
        <w:rPr>
          <w:sz w:val="24"/>
          <w:szCs w:val="24"/>
          <w:color w:val="auto"/>
        </w:rPr>
      </w:pPr>
    </w:p>
    <w:p>
      <w:pPr>
        <w:ind w:left="2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color w:val="auto"/>
        </w:rPr>
        <w:t>Definitive Additional Materials</w:t>
      </w:r>
    </w:p>
    <w:p>
      <w:pPr>
        <w:spacing w:after="0" w:line="24" w:lineRule="exact"/>
        <w:rPr>
          <w:sz w:val="24"/>
          <w:szCs w:val="24"/>
          <w:color w:val="auto"/>
        </w:rPr>
      </w:pPr>
    </w:p>
    <w:p>
      <w:pPr>
        <w:ind w:left="2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color w:val="auto"/>
        </w:rPr>
        <w:t>Soliciting Material Pursuant to §240.14a-12</w:t>
      </w:r>
    </w:p>
    <w:p>
      <w:pPr>
        <w:spacing w:after="0" w:line="19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1"/>
          <w:szCs w:val="41"/>
          <w:b w:val="1"/>
          <w:bCs w:val="1"/>
          <w:color w:val="auto"/>
        </w:rPr>
        <w:t>Shenandoah Telecommunications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8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52"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56" w:lineRule="exact"/>
        <w:rPr>
          <w:sz w:val="24"/>
          <w:szCs w:val="24"/>
          <w:color w:val="auto"/>
        </w:rPr>
      </w:pPr>
    </w:p>
    <w:p>
      <w:pPr>
        <w:ind w:left="680" w:hanging="273"/>
        <w:spacing w:after="0"/>
        <w:tabs>
          <w:tab w:leader="none" w:pos="68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No fee required.</w:t>
      </w:r>
    </w:p>
    <w:p>
      <w:pPr>
        <w:spacing w:after="0" w:line="165" w:lineRule="exact"/>
        <w:rPr>
          <w:sz w:val="24"/>
          <w:szCs w:val="24"/>
          <w:color w:val="auto"/>
        </w:rPr>
      </w:pPr>
    </w:p>
    <w:p>
      <w:pPr>
        <w:ind w:left="640" w:hanging="233"/>
        <w:spacing w:after="0"/>
        <w:tabs>
          <w:tab w:leader="none" w:pos="64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Fee paid previously with preliminary materials.</w:t>
      </w:r>
    </w:p>
    <w:p>
      <w:pPr>
        <w:spacing w:after="0" w:line="165" w:lineRule="exact"/>
        <w:rPr>
          <w:rFonts w:ascii="Wingdings" w:cs="Wingdings" w:eastAsia="Wingdings" w:hAnsi="Wingdings"/>
          <w:sz w:val="17"/>
          <w:szCs w:val="17"/>
          <w:b w:val="1"/>
          <w:bCs w:val="1"/>
          <w:color w:val="auto"/>
        </w:rPr>
      </w:pPr>
    </w:p>
    <w:p>
      <w:pPr>
        <w:ind w:left="640" w:hanging="233"/>
        <w:spacing w:after="0"/>
        <w:tabs>
          <w:tab w:leader="none" w:pos="64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864235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254635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0139"/>
          </w:cols>
          <w:pgMar w:left="320" w:top="996" w:right="1440" w:bottom="1440" w:gutter="0" w:footer="0" w:header="0"/>
        </w:sectPr>
      </w:pPr>
    </w:p>
    <w:bookmarkStart w:id="1" w:name="page2"/>
    <w:bookmarkEnd w:id="1"/>
    <w:p>
      <w:pPr>
        <w:spacing w:after="0" w:line="2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2440305</wp:posOffset>
            </wp:positionH>
            <wp:positionV relativeFrom="page">
              <wp:posOffset>481965</wp:posOffset>
            </wp:positionV>
            <wp:extent cx="2677160" cy="433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677160" cy="43370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SHENANDOAH TELECOMMUNICATIONS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500 Shentel Way</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Edinburg, Virginia 22824</w:t>
      </w:r>
    </w:p>
    <w:p>
      <w:pPr>
        <w:spacing w:after="0" w:line="1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ANNUAL MEETING OF SHAREHOLDERS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April 21, 2026</w:t>
      </w:r>
    </w:p>
    <w:p>
      <w:pPr>
        <w:spacing w:after="0" w:line="3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our shareholders: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Notice is hereby given that the 2026 annual meeting of shareholders of Shenandoah Telecommunications Company will be held in the auditorium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offices at 500 Shentel Way, Edinburg, Virginia 22824 on Tuesday, April 21, 2026, at 11:00 a.m., Eastern Time, for the following purposes:</w:t>
      </w:r>
    </w:p>
    <w:p>
      <w:pPr>
        <w:ind w:left="1240" w:right="200" w:hanging="618"/>
        <w:spacing w:after="0" w:line="243" w:lineRule="auto"/>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 proposal to elect the following directors of the Company to the Board of Directors of the Company (the “Board”): Matthew S. DeNichilo, Kenneth L. Quaglio and Michael A. Rhymes as Class 1 directors for a term expiring at the annual meeting of shareholders in the year 2029 (collectively, the “Nominees”);</w:t>
      </w:r>
    </w:p>
    <w:p>
      <w:pPr>
        <w:spacing w:after="0" w:line="71"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Audit Committee’s selection of RSM US LLP as the Company’s independent registered public accounting firm for 2026;</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approve, in a non-binding vote, the Company’s named executive officer compensation; and</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act upon any other business as may properly come before the meeting or any adjournment or postponement thereof.</w:t>
      </w:r>
    </w:p>
    <w:p>
      <w:pPr>
        <w:spacing w:after="0" w:line="217" w:lineRule="exact"/>
        <w:rPr>
          <w:sz w:val="20"/>
          <w:szCs w:val="20"/>
          <w:color w:val="auto"/>
        </w:rPr>
      </w:pPr>
    </w:p>
    <w:p>
      <w:pPr>
        <w:ind w:right="740" w:firstLine="619"/>
        <w:spacing w:after="0" w:line="287" w:lineRule="auto"/>
        <w:rPr>
          <w:sz w:val="20"/>
          <w:szCs w:val="20"/>
          <w:color w:val="auto"/>
        </w:rPr>
      </w:pPr>
      <w:r>
        <w:rPr>
          <w:rFonts w:ascii="Times New Roman" w:cs="Times New Roman" w:eastAsia="Times New Roman" w:hAnsi="Times New Roman"/>
          <w:sz w:val="17"/>
          <w:szCs w:val="17"/>
          <w:color w:val="auto"/>
        </w:rPr>
        <w:t>Only shareholders of record at the close of business on February 23, 2026 will be entitled to notice of, and to vote at, the annual meeting or any adjournment or postponement thereof. All shareholders are cordially invited to attend this meeting. A light lunch will be provided.</w:t>
      </w:r>
    </w:p>
    <w:p>
      <w:pPr>
        <w:spacing w:after="0" w:line="151"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Shareholders who wish to submit questions may do so in writing in advance of the Annual Meeting on our pre-meeting forum at www.proxyvote.com using their control number.</w:t>
      </w:r>
    </w:p>
    <w:p>
      <w:pPr>
        <w:spacing w:after="0" w:line="151"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We have elected to furnish certain proxy materials to our shareholders electronically, so that we can provide our shareholders with the information they need while also reducing our costs of printing and delivery and the environmental impact of our annual meeting.</w:t>
      </w:r>
    </w:p>
    <w:p>
      <w:pPr>
        <w:spacing w:after="0" w:line="15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Your vote is very important to us. Whether or not you plan to attend the meeting in-person, your shares should be represented and voted. Please promptly vote your proxy. You may vote online at www.proxyvote.com where you will need to enter the control number provided in the proxy materials, and then follow the instructions provided. Submitting your proxy online, by telephone or by mail before the annual meeting will not preclude you from voting in-person during the annual meeting if you should decide to attend.</w:t>
      </w:r>
    </w:p>
    <w:p>
      <w:pPr>
        <w:spacing w:after="0" w:line="5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82550</wp:posOffset>
            </wp:positionV>
            <wp:extent cx="1358900" cy="229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8900" cy="22923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Angela M. Olsen</w:t>
      </w:r>
    </w:p>
    <w:p>
      <w:pPr>
        <w:spacing w:after="0" w:line="2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i w:val="1"/>
          <w:iCs w:val="1"/>
          <w:color w:val="auto"/>
        </w:rPr>
        <w:t>Secretary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March 9, 2026</w:t>
      </w:r>
    </w:p>
    <w:p>
      <w:pPr>
        <w:spacing w:after="0" w:line="213"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the availability of proxy materials for the 2026 annual meeting of shareholders to be held on April 21, 2026: </w:t>
      </w:r>
      <w:r>
        <w:rPr>
          <w:rFonts w:ascii="Times New Roman" w:cs="Times New Roman" w:eastAsia="Times New Roman" w:hAnsi="Times New Roman"/>
          <w:sz w:val="17"/>
          <w:szCs w:val="17"/>
          <w:color w:val="auto"/>
        </w:rPr>
        <w:t>The Company’s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Statement and Annual Report on Form 10-K for the fiscal year ended December 31, 2025 are available electronically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418465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7"/>
        </w:trPr>
        <w:tc>
          <w:tcPr>
            <w:tcW w:w="8800" w:type="dxa"/>
            <w:vAlign w:val="bottom"/>
          </w:tcPr>
          <w:p>
            <w:pPr>
              <w:ind w:left="47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PROXY STATEMENT SUMMARY</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0" w:type="dxa"/>
            <w:vAlign w:val="bottom"/>
          </w:tcPr>
          <w:p>
            <w:pPr>
              <w:spacing w:after="0"/>
              <w:rPr>
                <w:sz w:val="1"/>
                <w:szCs w:val="1"/>
                <w:color w:val="auto"/>
              </w:rPr>
            </w:pPr>
          </w:p>
        </w:tc>
      </w:tr>
      <w:tr>
        <w:trPr>
          <w:trHeight w:val="30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GENERAL INFORMATION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0" w:type="dxa"/>
            <w:vAlign w:val="bottom"/>
          </w:tcPr>
          <w:p>
            <w:pPr>
              <w:spacing w:after="0"/>
              <w:rPr>
                <w:sz w:val="1"/>
                <w:szCs w:val="1"/>
                <w:color w:val="auto"/>
              </w:rPr>
            </w:pPr>
          </w:p>
        </w:tc>
      </w:tr>
      <w:tr>
        <w:trPr>
          <w:trHeight w:val="30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SECURITY OWNERSHIP</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0" w:type="dxa"/>
            <w:vAlign w:val="bottom"/>
          </w:tcPr>
          <w:p>
            <w:pPr>
              <w:spacing w:after="0"/>
              <w:rPr>
                <w:sz w:val="1"/>
                <w:szCs w:val="1"/>
                <w:color w:val="auto"/>
              </w:rPr>
            </w:pPr>
          </w:p>
        </w:tc>
      </w:tr>
      <w:tr>
        <w:trPr>
          <w:trHeight w:val="30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PROPOSAL NO. 1</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0" w:type="dxa"/>
            <w:vAlign w:val="bottom"/>
          </w:tcPr>
          <w:p>
            <w:pPr>
              <w:spacing w:after="0"/>
              <w:rPr>
                <w:sz w:val="1"/>
                <w:szCs w:val="1"/>
                <w:color w:val="auto"/>
              </w:rPr>
            </w:pPr>
          </w:p>
        </w:tc>
      </w:tr>
      <w:tr>
        <w:trPr>
          <w:trHeight w:val="30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BOARD AND BOARD COMMITTEE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0" w:type="dxa"/>
            <w:vAlign w:val="bottom"/>
          </w:tcPr>
          <w:p>
            <w:pPr>
              <w:spacing w:after="0"/>
              <w:rPr>
                <w:sz w:val="1"/>
                <w:szCs w:val="1"/>
                <w:color w:val="auto"/>
              </w:rPr>
            </w:pPr>
          </w:p>
        </w:tc>
      </w:tr>
      <w:tr>
        <w:trPr>
          <w:trHeight w:val="305"/>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Information About Nominees and Continuing Directors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 Independence</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Shareholder Communications with the Board of Directors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Meetings of the Board of Directors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Committees of the Board of Directors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Leadership Structure of the Board of Directors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Board Size and Diversity</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Board and Committee Self-Evaluations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Role of the Board of Directors in Risk Oversight</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3"/>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 Compensation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30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CORPORATE SOCIAL AND ENVIRONMENTAL RESPONSIBILITY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0" w:type="dxa"/>
            <w:vAlign w:val="bottom"/>
          </w:tcPr>
          <w:p>
            <w:pPr>
              <w:spacing w:after="0"/>
              <w:rPr>
                <w:sz w:val="1"/>
                <w:szCs w:val="1"/>
                <w:color w:val="auto"/>
              </w:rPr>
            </w:pPr>
          </w:p>
        </w:tc>
      </w:tr>
      <w:tr>
        <w:trPr>
          <w:trHeight w:val="30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EXECUTIVE COMPENSATION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0" w:type="dxa"/>
            <w:vAlign w:val="bottom"/>
          </w:tcPr>
          <w:p>
            <w:pPr>
              <w:spacing w:after="0"/>
              <w:rPr>
                <w:sz w:val="1"/>
                <w:szCs w:val="1"/>
                <w:color w:val="auto"/>
              </w:rPr>
            </w:pPr>
          </w:p>
        </w:tc>
      </w:tr>
      <w:tr>
        <w:trPr>
          <w:trHeight w:val="305"/>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Discussion and Analysis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Base Salaries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Annual Incentive Bonuses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Long-Term Equity-Based Compensation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 Ownership Guidelines and Anti-Hedging Policy</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Retirement Compensation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Summary Compensation Table</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Grants of Plan-Based Awards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Outstanding Equity Awards at Fiscal Year-End</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Option Exercises and Stock Vested</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Nonqualified Deferred Compensation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Severance Arrangements with our Named Executive Officers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Potential Payments Upon Termination or Change in Control</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 Ratio Disclosure</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9"/>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Committee Report</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3"/>
        </w:trPr>
        <w:tc>
          <w:tcPr>
            <w:tcW w:w="8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 Versus Performance</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309"/>
        </w:trPr>
        <w:tc>
          <w:tcPr>
            <w:tcW w:w="8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w:t>
            </w:r>
          </w:p>
        </w:tc>
        <w:tc>
          <w:tcPr>
            <w:tcW w:w="0" w:type="dxa"/>
            <w:vAlign w:val="bottom"/>
          </w:tcPr>
          <w:p>
            <w:pPr>
              <w:spacing w:after="0"/>
              <w:rPr>
                <w:sz w:val="1"/>
                <w:szCs w:val="1"/>
                <w:color w:val="auto"/>
              </w:rPr>
            </w:pPr>
          </w:p>
        </w:tc>
      </w:tr>
      <w:tr>
        <w:trPr>
          <w:trHeight w:val="219"/>
        </w:trPr>
        <w:tc>
          <w:tcPr>
            <w:tcW w:w="8800" w:type="dxa"/>
            <w:vAlign w:val="bottom"/>
            <w:vMerge w:val="continue"/>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w:t>
            </w:r>
          </w:p>
        </w:tc>
        <w:tc>
          <w:tcPr>
            <w:tcW w:w="0" w:type="dxa"/>
            <w:vAlign w:val="bottom"/>
          </w:tcPr>
          <w:p>
            <w:pPr>
              <w:spacing w:after="0"/>
              <w:rPr>
                <w:sz w:val="1"/>
                <w:szCs w:val="1"/>
                <w:color w:val="auto"/>
              </w:rPr>
            </w:pPr>
          </w:p>
        </w:tc>
      </w:tr>
      <w:tr>
        <w:trPr>
          <w:trHeight w:val="30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PROPOSAL NO. 2</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w:t>
            </w:r>
          </w:p>
        </w:tc>
        <w:tc>
          <w:tcPr>
            <w:tcW w:w="0" w:type="dxa"/>
            <w:vAlign w:val="bottom"/>
          </w:tcPr>
          <w:p>
            <w:pPr>
              <w:spacing w:after="0"/>
              <w:rPr>
                <w:sz w:val="1"/>
                <w:szCs w:val="1"/>
                <w:color w:val="auto"/>
              </w:rPr>
            </w:pPr>
          </w:p>
        </w:tc>
      </w:tr>
      <w:tr>
        <w:trPr>
          <w:trHeight w:val="30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w:t>
            </w:r>
          </w:p>
        </w:tc>
        <w:tc>
          <w:tcPr>
            <w:tcW w:w="0" w:type="dxa"/>
            <w:vAlign w:val="bottom"/>
          </w:tcPr>
          <w:p>
            <w:pPr>
              <w:spacing w:after="0"/>
              <w:rPr>
                <w:sz w:val="1"/>
                <w:szCs w:val="1"/>
                <w:color w:val="auto"/>
              </w:rPr>
            </w:pPr>
          </w:p>
        </w:tc>
      </w:tr>
      <w:tr>
        <w:trPr>
          <w:trHeight w:val="30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PROPOSAL NO. 3</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w:t>
            </w:r>
          </w:p>
        </w:tc>
        <w:tc>
          <w:tcPr>
            <w:tcW w:w="0" w:type="dxa"/>
            <w:vAlign w:val="bottom"/>
          </w:tcPr>
          <w:p>
            <w:pPr>
              <w:spacing w:after="0"/>
              <w:rPr>
                <w:sz w:val="1"/>
                <w:szCs w:val="1"/>
                <w:color w:val="auto"/>
              </w:rPr>
            </w:pPr>
          </w:p>
        </w:tc>
      </w:tr>
      <w:tr>
        <w:trPr>
          <w:trHeight w:val="30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SHAREHOLDER PROPOSALS FOR THE ANNUAL MEETING IN 2026</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w:t>
            </w:r>
          </w:p>
        </w:tc>
        <w:tc>
          <w:tcPr>
            <w:tcW w:w="0" w:type="dxa"/>
            <w:vAlign w:val="bottom"/>
          </w:tcPr>
          <w:p>
            <w:pPr>
              <w:spacing w:after="0"/>
              <w:rPr>
                <w:sz w:val="1"/>
                <w:szCs w:val="1"/>
                <w:color w:val="auto"/>
              </w:rPr>
            </w:pPr>
          </w:p>
        </w:tc>
      </w:tr>
      <w:tr>
        <w:trPr>
          <w:trHeight w:val="30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w:t>
            </w:r>
          </w:p>
        </w:tc>
        <w:tc>
          <w:tcPr>
            <w:tcW w:w="0" w:type="dxa"/>
            <w:vAlign w:val="bottom"/>
          </w:tcPr>
          <w:p>
            <w:pPr>
              <w:spacing w:after="0"/>
              <w:rPr>
                <w:sz w:val="1"/>
                <w:szCs w:val="1"/>
                <w:color w:val="auto"/>
              </w:rPr>
            </w:pPr>
          </w:p>
        </w:tc>
      </w:tr>
      <w:tr>
        <w:trPr>
          <w:trHeight w:val="1062"/>
        </w:trPr>
        <w:tc>
          <w:tcPr>
            <w:tcW w:w="88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2198370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PROXY STATEMENT SUMMARY</w:t>
      </w:r>
    </w:p>
    <w:p>
      <w:pPr>
        <w:spacing w:after="0" w:line="234"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17"/>
          <w:szCs w:val="17"/>
          <w:color w:val="auto"/>
        </w:rPr>
        <w:t>This summary highlights certain information contained elsewhere in the accompanying proxy statement, but does not contain all of the information you should consider before voting your shares. For more complete information regarding the proposals to be voted upon at the 2026 annual meeting of shareholders and our fiscal year 2025 performance, please review the entire proxy statement and our Annual Report on Form 10-K for the fiscal year ended December 31, 2025. We use the terms “Shentel,” the “Company,” “we,” “our” and “us” in this summary to refer to Shenandoah Telecommunications Company. Website references throughout this proxy statement are provided for convenience only, and the content on the referenced websites is not incorporated by reference into this document.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Meeting</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48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Date:</w:t>
            </w:r>
          </w:p>
        </w:tc>
        <w:tc>
          <w:tcPr>
            <w:tcW w:w="152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April 21, 2026</w:t>
            </w:r>
          </w:p>
        </w:tc>
        <w:tc>
          <w:tcPr>
            <w:tcW w:w="22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0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w w:val="91"/>
              </w:rPr>
              <w:t>Time:</w:t>
            </w:r>
          </w:p>
        </w:tc>
        <w:tc>
          <w:tcPr>
            <w:tcW w:w="15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11:00 a.m. (Eastern Time)</w:t>
            </w:r>
          </w:p>
        </w:tc>
        <w:tc>
          <w:tcPr>
            <w:tcW w:w="2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4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500 Shentel Way, Edinburg, Virginia 22824</w:t>
            </w:r>
          </w:p>
        </w:tc>
        <w:tc>
          <w:tcPr>
            <w:tcW w:w="20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Record Date:</w:t>
            </w:r>
          </w:p>
        </w:tc>
        <w:tc>
          <w:tcPr>
            <w:tcW w:w="4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Shareholders of record at the close of business on February 23, 2026</w:t>
            </w:r>
          </w:p>
        </w:tc>
        <w:tc>
          <w:tcPr>
            <w:tcW w:w="20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3"/>
        </w:trPr>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Voting Matters</w:t>
            </w:r>
          </w:p>
        </w:tc>
        <w:tc>
          <w:tcPr>
            <w:tcW w:w="2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00" w:type="dxa"/>
            <w:vAlign w:val="bottom"/>
            <w:tcBorders>
              <w:lef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Proposals</w:t>
            </w:r>
          </w:p>
        </w:tc>
        <w:tc>
          <w:tcPr>
            <w:tcW w:w="246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7"/>
                <w:szCs w:val="17"/>
                <w:b w:val="1"/>
                <w:bCs w:val="1"/>
                <w:color w:val="auto"/>
                <w:w w:val="99"/>
              </w:rPr>
              <w:t>Required</w:t>
            </w:r>
          </w:p>
        </w:tc>
        <w:tc>
          <w:tcPr>
            <w:tcW w:w="240" w:type="dxa"/>
            <w:vAlign w:val="bottom"/>
          </w:tcPr>
          <w:p>
            <w:pPr>
              <w:spacing w:after="0"/>
              <w:rPr>
                <w:sz w:val="14"/>
                <w:szCs w:val="14"/>
                <w:color w:val="auto"/>
              </w:rPr>
            </w:pPr>
          </w:p>
        </w:tc>
        <w:tc>
          <w:tcPr>
            <w:tcW w:w="2040" w:type="dxa"/>
            <w:vAlign w:val="bottom"/>
            <w:tcBorders>
              <w:right w:val="single" w:sz="8" w:color="auto"/>
            </w:tcBorders>
          </w:tcPr>
          <w:p>
            <w:pPr>
              <w:jc w:val="center"/>
              <w:ind w:right="174"/>
              <w:spacing w:after="0" w:line="166" w:lineRule="exact"/>
              <w:rPr>
                <w:sz w:val="20"/>
                <w:szCs w:val="20"/>
                <w:color w:val="auto"/>
              </w:rPr>
            </w:pPr>
            <w:r>
              <w:rPr>
                <w:rFonts w:ascii="Times New Roman" w:cs="Times New Roman" w:eastAsia="Times New Roman" w:hAnsi="Times New Roman"/>
                <w:sz w:val="17"/>
                <w:szCs w:val="17"/>
                <w:b w:val="1"/>
                <w:bCs w:val="1"/>
                <w:color w:val="auto"/>
              </w:rPr>
              <w:t>Board</w:t>
            </w:r>
          </w:p>
        </w:tc>
        <w:tc>
          <w:tcPr>
            <w:tcW w:w="2260" w:type="dxa"/>
            <w:vAlign w:val="bottom"/>
            <w:tcBorders>
              <w:right w:val="single" w:sz="8" w:color="auto"/>
            </w:tcBorders>
            <w:gridSpan w:val="3"/>
          </w:tcPr>
          <w:p>
            <w:pPr>
              <w:jc w:val="center"/>
              <w:ind w:right="20"/>
              <w:spacing w:after="0" w:line="166" w:lineRule="exact"/>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37"/>
        </w:trPr>
        <w:tc>
          <w:tcPr>
            <w:tcW w:w="2000" w:type="dxa"/>
            <w:vAlign w:val="bottom"/>
            <w:tcBorders>
              <w:left w:val="single" w:sz="8" w:color="auto"/>
            </w:tcBorders>
            <w:gridSpan w:val="2"/>
            <w:vMerge w:val="continue"/>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Approval</w:t>
            </w:r>
          </w:p>
        </w:tc>
        <w:tc>
          <w:tcPr>
            <w:tcW w:w="240" w:type="dxa"/>
            <w:vAlign w:val="bottom"/>
          </w:tcPr>
          <w:p>
            <w:pPr>
              <w:spacing w:after="0"/>
              <w:rPr>
                <w:sz w:val="11"/>
                <w:szCs w:val="11"/>
                <w:color w:val="auto"/>
              </w:rPr>
            </w:pPr>
          </w:p>
        </w:tc>
        <w:tc>
          <w:tcPr>
            <w:tcW w:w="2040" w:type="dxa"/>
            <w:vAlign w:val="bottom"/>
            <w:tcBorders>
              <w:right w:val="single" w:sz="8" w:color="auto"/>
            </w:tcBorders>
            <w:vMerge w:val="restart"/>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Recommendation</w:t>
            </w:r>
          </w:p>
        </w:tc>
        <w:tc>
          <w:tcPr>
            <w:tcW w:w="226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Reference</w:t>
            </w:r>
          </w:p>
        </w:tc>
        <w:tc>
          <w:tcPr>
            <w:tcW w:w="0" w:type="dxa"/>
            <w:vAlign w:val="bottom"/>
          </w:tcPr>
          <w:p>
            <w:pPr>
              <w:spacing w:after="0"/>
              <w:rPr>
                <w:sz w:val="1"/>
                <w:szCs w:val="1"/>
                <w:color w:val="auto"/>
              </w:rPr>
            </w:pPr>
          </w:p>
        </w:tc>
      </w:tr>
      <w:tr>
        <w:trPr>
          <w:trHeight w:val="90"/>
        </w:trPr>
        <w:tc>
          <w:tcPr>
            <w:tcW w:w="480" w:type="dxa"/>
            <w:vAlign w:val="bottom"/>
            <w:tcBorders>
              <w:left w:val="single" w:sz="8" w:color="auto"/>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2260" w:type="dxa"/>
            <w:vAlign w:val="bottom"/>
            <w:tcBorders>
              <w:bottom w:val="single" w:sz="8" w:color="auto"/>
              <w:right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40" w:type="dxa"/>
            <w:vAlign w:val="bottom"/>
            <w:tcBorders>
              <w:bottom w:val="single" w:sz="8" w:color="auto"/>
              <w:right w:val="single" w:sz="8" w:color="auto"/>
            </w:tcBorders>
            <w:vMerge w:val="continue"/>
          </w:tcPr>
          <w:p>
            <w:pPr>
              <w:spacing w:after="0"/>
              <w:rPr>
                <w:sz w:val="7"/>
                <w:szCs w:val="7"/>
                <w:color w:val="auto"/>
              </w:rPr>
            </w:pPr>
          </w:p>
        </w:tc>
        <w:tc>
          <w:tcPr>
            <w:tcW w:w="2260" w:type="dxa"/>
            <w:vAlign w:val="bottom"/>
            <w:tcBorders>
              <w:bottom w:val="single" w:sz="8" w:color="auto"/>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1.</w:t>
            </w:r>
          </w:p>
        </w:tc>
        <w:tc>
          <w:tcPr>
            <w:tcW w:w="15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Election of directors</w:t>
            </w:r>
          </w:p>
        </w:tc>
        <w:tc>
          <w:tcPr>
            <w:tcW w:w="246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7"/>
                <w:szCs w:val="17"/>
                <w:color w:val="auto"/>
                <w:w w:val="99"/>
              </w:rPr>
              <w:t>Majority of Votes Cast</w:t>
            </w:r>
          </w:p>
        </w:tc>
        <w:tc>
          <w:tcPr>
            <w:tcW w:w="240" w:type="dxa"/>
            <w:vAlign w:val="bottom"/>
          </w:tcPr>
          <w:p>
            <w:pPr>
              <w:spacing w:after="0"/>
              <w:rPr>
                <w:sz w:val="14"/>
                <w:szCs w:val="14"/>
                <w:color w:val="auto"/>
              </w:rPr>
            </w:pPr>
          </w:p>
        </w:tc>
        <w:tc>
          <w:tcPr>
            <w:tcW w:w="2040" w:type="dxa"/>
            <w:vAlign w:val="bottom"/>
            <w:tcBorders>
              <w:right w:val="single" w:sz="8" w:color="auto"/>
            </w:tcBorders>
          </w:tcPr>
          <w:p>
            <w:pPr>
              <w:jc w:val="center"/>
              <w:ind w:right="174"/>
              <w:spacing w:after="0" w:line="170" w:lineRule="exact"/>
              <w:rPr>
                <w:sz w:val="20"/>
                <w:szCs w:val="20"/>
                <w:color w:val="auto"/>
              </w:rPr>
            </w:pPr>
            <w:r>
              <w:rPr>
                <w:rFonts w:ascii="Times New Roman" w:cs="Times New Roman" w:eastAsia="Times New Roman" w:hAnsi="Times New Roman"/>
                <w:sz w:val="17"/>
                <w:szCs w:val="17"/>
                <w:color w:val="auto"/>
              </w:rPr>
              <w:t>FOR each</w:t>
            </w:r>
          </w:p>
        </w:tc>
        <w:tc>
          <w:tcPr>
            <w:tcW w:w="1200" w:type="dxa"/>
            <w:vAlign w:val="bottom"/>
            <w:gridSpan w:val="2"/>
            <w:vMerge w:val="restart"/>
          </w:tcPr>
          <w:p>
            <w:pPr>
              <w:jc w:val="center"/>
              <w:ind w:left="954"/>
              <w:spacing w:after="0"/>
              <w:rPr>
                <w:sz w:val="20"/>
                <w:szCs w:val="20"/>
                <w:color w:val="auto"/>
              </w:rPr>
            </w:pPr>
            <w:r>
              <w:rPr>
                <w:rFonts w:ascii="Times New Roman" w:cs="Times New Roman" w:eastAsia="Times New Roman" w:hAnsi="Times New Roman"/>
                <w:sz w:val="17"/>
                <w:szCs w:val="17"/>
                <w:color w:val="0000FF"/>
                <w:w w:val="93"/>
              </w:rPr>
              <w:t>10</w:t>
            </w: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480" w:type="dxa"/>
            <w:vAlign w:val="bottom"/>
            <w:tcBorders>
              <w:left w:val="single" w:sz="8" w:color="auto"/>
              <w:right w:val="single" w:sz="8" w:color="auto"/>
            </w:tcBorders>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4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for Each Nominee</w:t>
            </w:r>
          </w:p>
        </w:tc>
        <w:tc>
          <w:tcPr>
            <w:tcW w:w="240" w:type="dxa"/>
            <w:vAlign w:val="bottom"/>
          </w:tcPr>
          <w:p>
            <w:pPr>
              <w:spacing w:after="0"/>
              <w:rPr>
                <w:sz w:val="8"/>
                <w:szCs w:val="8"/>
                <w:color w:val="auto"/>
              </w:rPr>
            </w:pPr>
          </w:p>
        </w:tc>
        <w:tc>
          <w:tcPr>
            <w:tcW w:w="2040" w:type="dxa"/>
            <w:vAlign w:val="bottom"/>
            <w:tcBorders>
              <w:right w:val="single" w:sz="8" w:color="auto"/>
            </w:tcBorders>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w w:val="98"/>
              </w:rPr>
              <w:t>nominee</w:t>
            </w:r>
          </w:p>
        </w:tc>
        <w:tc>
          <w:tcPr>
            <w:tcW w:w="1200" w:type="dxa"/>
            <w:vAlign w:val="bottom"/>
            <w:gridSpan w:val="2"/>
            <w:vMerge w:val="continue"/>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80" w:type="dxa"/>
            <w:vAlign w:val="bottom"/>
            <w:tcBorders>
              <w:left w:val="single" w:sz="8" w:color="auto"/>
              <w:bottom w:val="single" w:sz="8" w:color="auto"/>
              <w:right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260" w:type="dxa"/>
            <w:vAlign w:val="bottom"/>
            <w:tcBorders>
              <w:bottom w:val="single" w:sz="8" w:color="auto"/>
              <w:right w:val="single" w:sz="8" w:color="auto"/>
            </w:tcBorders>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40" w:type="dxa"/>
            <w:vAlign w:val="bottom"/>
            <w:tcBorders>
              <w:bottom w:val="single" w:sz="8" w:color="auto"/>
              <w:right w:val="single" w:sz="8" w:color="auto"/>
            </w:tcBorders>
            <w:vMerge w:val="continue"/>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Borders>
              <w:top w:val="single" w:sz="8" w:color="0000FF"/>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48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7"/>
                <w:szCs w:val="17"/>
                <w:color w:val="auto"/>
              </w:rPr>
              <w:t>2.</w:t>
            </w:r>
          </w:p>
        </w:tc>
        <w:tc>
          <w:tcPr>
            <w:tcW w:w="3980" w:type="dxa"/>
            <w:vAlign w:val="bottom"/>
            <w:tcBorders>
              <w:right w:val="single" w:sz="8" w:color="auto"/>
            </w:tcBorders>
            <w:gridSpan w:val="2"/>
          </w:tcPr>
          <w:p>
            <w:pPr>
              <w:spacing w:after="0" w:line="173" w:lineRule="exact"/>
              <w:rPr>
                <w:sz w:val="20"/>
                <w:szCs w:val="20"/>
                <w:color w:val="auto"/>
              </w:rPr>
            </w:pPr>
            <w:r>
              <w:rPr>
                <w:rFonts w:ascii="Times New Roman" w:cs="Times New Roman" w:eastAsia="Times New Roman" w:hAnsi="Times New Roman"/>
                <w:sz w:val="17"/>
                <w:szCs w:val="17"/>
                <w:color w:val="auto"/>
              </w:rPr>
              <w:t>Ratification of auditors</w:t>
            </w:r>
          </w:p>
        </w:tc>
        <w:tc>
          <w:tcPr>
            <w:tcW w:w="22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7"/>
                <w:szCs w:val="17"/>
                <w:color w:val="auto"/>
                <w:w w:val="99"/>
              </w:rPr>
              <w:t>Majority of Votes Cast</w:t>
            </w:r>
          </w:p>
        </w:tc>
        <w:tc>
          <w:tcPr>
            <w:tcW w:w="240" w:type="dxa"/>
            <w:vAlign w:val="bottom"/>
          </w:tcPr>
          <w:p>
            <w:pPr>
              <w:spacing w:after="0"/>
              <w:rPr>
                <w:sz w:val="15"/>
                <w:szCs w:val="15"/>
                <w:color w:val="auto"/>
              </w:rPr>
            </w:pPr>
          </w:p>
        </w:tc>
        <w:tc>
          <w:tcPr>
            <w:tcW w:w="2040" w:type="dxa"/>
            <w:vAlign w:val="bottom"/>
            <w:tcBorders>
              <w:right w:val="single" w:sz="8" w:color="auto"/>
            </w:tcBorders>
          </w:tcPr>
          <w:p>
            <w:pPr>
              <w:jc w:val="center"/>
              <w:ind w:right="174"/>
              <w:spacing w:after="0" w:line="173" w:lineRule="exact"/>
              <w:rPr>
                <w:sz w:val="20"/>
                <w:szCs w:val="20"/>
                <w:color w:val="auto"/>
              </w:rPr>
            </w:pPr>
            <w:r>
              <w:rPr>
                <w:rFonts w:ascii="Times New Roman" w:cs="Times New Roman" w:eastAsia="Times New Roman" w:hAnsi="Times New Roman"/>
                <w:sz w:val="17"/>
                <w:szCs w:val="17"/>
                <w:color w:val="auto"/>
              </w:rPr>
              <w:t>FOR</w:t>
            </w:r>
          </w:p>
        </w:tc>
        <w:tc>
          <w:tcPr>
            <w:tcW w:w="1200" w:type="dxa"/>
            <w:vAlign w:val="bottom"/>
            <w:gridSpan w:val="2"/>
          </w:tcPr>
          <w:p>
            <w:pPr>
              <w:jc w:val="center"/>
              <w:ind w:left="954"/>
              <w:spacing w:after="0" w:line="173" w:lineRule="exact"/>
              <w:rPr>
                <w:sz w:val="20"/>
                <w:szCs w:val="20"/>
                <w:color w:val="auto"/>
              </w:rPr>
            </w:pPr>
            <w:r>
              <w:rPr>
                <w:rFonts w:ascii="Times New Roman" w:cs="Times New Roman" w:eastAsia="Times New Roman" w:hAnsi="Times New Roman"/>
                <w:sz w:val="17"/>
                <w:szCs w:val="17"/>
                <w:color w:val="0000FF"/>
                <w:w w:val="93"/>
              </w:rPr>
              <w:t>44</w:t>
            </w: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80" w:type="dxa"/>
            <w:vAlign w:val="bottom"/>
            <w:tcBorders>
              <w:left w:val="single" w:sz="8" w:color="auto"/>
              <w:right w:val="single" w:sz="8" w:color="auto"/>
            </w:tcBorders>
          </w:tcPr>
          <w:p>
            <w:pPr>
              <w:ind w:left="40"/>
              <w:spacing w:after="0" w:line="172" w:lineRule="exact"/>
              <w:rPr>
                <w:sz w:val="20"/>
                <w:szCs w:val="20"/>
                <w:color w:val="auto"/>
              </w:rPr>
            </w:pPr>
            <w:r>
              <w:rPr>
                <w:rFonts w:ascii="Times New Roman" w:cs="Times New Roman" w:eastAsia="Times New Roman" w:hAnsi="Times New Roman"/>
                <w:sz w:val="17"/>
                <w:szCs w:val="17"/>
                <w:color w:val="auto"/>
              </w:rPr>
              <w:t>3.</w:t>
            </w:r>
          </w:p>
        </w:tc>
        <w:tc>
          <w:tcPr>
            <w:tcW w:w="3980" w:type="dxa"/>
            <w:vAlign w:val="bottom"/>
            <w:tcBorders>
              <w:right w:val="single" w:sz="8" w:color="auto"/>
            </w:tcBorders>
            <w:gridSpan w:val="2"/>
          </w:tcPr>
          <w:p>
            <w:pPr>
              <w:spacing w:after="0" w:line="172" w:lineRule="exact"/>
              <w:rPr>
                <w:sz w:val="20"/>
                <w:szCs w:val="20"/>
                <w:color w:val="auto"/>
              </w:rPr>
            </w:pPr>
            <w:r>
              <w:rPr>
                <w:rFonts w:ascii="Times New Roman" w:cs="Times New Roman" w:eastAsia="Times New Roman" w:hAnsi="Times New Roman"/>
                <w:sz w:val="17"/>
                <w:szCs w:val="17"/>
                <w:color w:val="auto"/>
              </w:rPr>
              <w:t>Advisory vote to approve executive compensation</w:t>
            </w:r>
          </w:p>
        </w:tc>
        <w:tc>
          <w:tcPr>
            <w:tcW w:w="226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color w:val="auto"/>
                <w:w w:val="99"/>
              </w:rPr>
              <w:t>Majority of Votes Cast</w:t>
            </w:r>
          </w:p>
        </w:tc>
        <w:tc>
          <w:tcPr>
            <w:tcW w:w="240" w:type="dxa"/>
            <w:vAlign w:val="bottom"/>
          </w:tcPr>
          <w:p>
            <w:pPr>
              <w:spacing w:after="0"/>
              <w:rPr>
                <w:sz w:val="14"/>
                <w:szCs w:val="14"/>
                <w:color w:val="auto"/>
              </w:rPr>
            </w:pPr>
          </w:p>
        </w:tc>
        <w:tc>
          <w:tcPr>
            <w:tcW w:w="2040" w:type="dxa"/>
            <w:vAlign w:val="bottom"/>
            <w:tcBorders>
              <w:right w:val="single" w:sz="8" w:color="auto"/>
            </w:tcBorders>
          </w:tcPr>
          <w:p>
            <w:pPr>
              <w:jc w:val="center"/>
              <w:ind w:right="174"/>
              <w:spacing w:after="0" w:line="172" w:lineRule="exact"/>
              <w:rPr>
                <w:sz w:val="20"/>
                <w:szCs w:val="20"/>
                <w:color w:val="auto"/>
              </w:rPr>
            </w:pPr>
            <w:r>
              <w:rPr>
                <w:rFonts w:ascii="Times New Roman" w:cs="Times New Roman" w:eastAsia="Times New Roman" w:hAnsi="Times New Roman"/>
                <w:sz w:val="17"/>
                <w:szCs w:val="17"/>
                <w:color w:val="auto"/>
              </w:rPr>
              <w:t>FOR</w:t>
            </w:r>
          </w:p>
        </w:tc>
        <w:tc>
          <w:tcPr>
            <w:tcW w:w="1200" w:type="dxa"/>
            <w:vAlign w:val="bottom"/>
            <w:gridSpan w:val="2"/>
          </w:tcPr>
          <w:p>
            <w:pPr>
              <w:jc w:val="center"/>
              <w:ind w:left="954"/>
              <w:spacing w:after="0" w:line="172" w:lineRule="exact"/>
              <w:rPr>
                <w:sz w:val="20"/>
                <w:szCs w:val="20"/>
                <w:color w:val="auto"/>
              </w:rPr>
            </w:pPr>
            <w:r>
              <w:rPr>
                <w:rFonts w:ascii="Times New Roman" w:cs="Times New Roman" w:eastAsia="Times New Roman" w:hAnsi="Times New Roman"/>
                <w:sz w:val="17"/>
                <w:szCs w:val="17"/>
                <w:color w:val="0000FF"/>
                <w:w w:val="93"/>
              </w:rPr>
              <w:t>47</w:t>
            </w: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 Highlights</w:t>
      </w:r>
    </w:p>
    <w:p>
      <w:pPr>
        <w:spacing w:after="0" w:line="221" w:lineRule="exact"/>
        <w:rPr>
          <w:sz w:val="20"/>
          <w:szCs w:val="20"/>
          <w:color w:val="auto"/>
        </w:rPr>
      </w:pPr>
    </w:p>
    <w:p>
      <w:pPr>
        <w:ind w:right="520" w:firstLine="619"/>
        <w:spacing w:after="0" w:line="287" w:lineRule="auto"/>
        <w:rPr>
          <w:sz w:val="20"/>
          <w:szCs w:val="20"/>
          <w:color w:val="auto"/>
        </w:rPr>
      </w:pPr>
      <w:r>
        <w:rPr>
          <w:rFonts w:ascii="Times New Roman" w:cs="Times New Roman" w:eastAsia="Times New Roman" w:hAnsi="Times New Roman"/>
          <w:sz w:val="17"/>
          <w:szCs w:val="17"/>
          <w:color w:val="auto"/>
        </w:rPr>
        <w:t>Shentel is committed to strong corporate governance practices and policies, which promote both the long-term interests of our shareholders and the accountability of the Board of Directors and management. The following table summarizes certain of our corporate governance practices and policies: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550"/>
        </w:trPr>
        <w:tc>
          <w:tcPr>
            <w:tcW w:w="1040" w:type="dxa"/>
            <w:vAlign w:val="bottom"/>
            <w:tcBorders>
              <w:top w:val="single" w:sz="8" w:color="auto"/>
              <w:left w:val="single" w:sz="8" w:color="auto"/>
              <w:bottom w:val="single" w:sz="8" w:color="auto"/>
              <w:right w:val="single" w:sz="8" w:color="auto"/>
            </w:tcBorders>
            <w:shd w:val="clear" w:color="auto" w:fill="BCBDC0"/>
          </w:tcPr>
          <w:p>
            <w:pPr>
              <w:ind w:left="320"/>
              <w:spacing w:after="0" w:line="481" w:lineRule="exact"/>
              <w:rPr>
                <w:sz w:val="20"/>
                <w:szCs w:val="20"/>
                <w:color w:val="auto"/>
              </w:rPr>
            </w:pPr>
            <w:r>
              <w:rPr>
                <w:rFonts w:ascii="MS PGothic" w:cs="MS PGothic" w:eastAsia="MS PGothic" w:hAnsi="MS PGothic"/>
                <w:sz w:val="48"/>
                <w:szCs w:val="48"/>
                <w:color w:val="auto"/>
                <w:highlight w:val="black"/>
              </w:rPr>
              <w:t>✔</w:t>
            </w:r>
          </w:p>
        </w:tc>
        <w:tc>
          <w:tcPr>
            <w:tcW w:w="4600" w:type="dxa"/>
            <w:vAlign w:val="bottom"/>
            <w:tcBorders>
              <w:top w:val="single" w:sz="8" w:color="auto"/>
              <w:bottom w:val="single" w:sz="8" w:color="auto"/>
              <w:right w:val="single" w:sz="8" w:color="auto"/>
            </w:tcBorders>
            <w:shd w:val="clear" w:color="auto" w:fill="BCBDC0"/>
          </w:tcPr>
          <w:p>
            <w:pPr>
              <w:ind w:left="20"/>
              <w:spacing w:after="0"/>
              <w:rPr>
                <w:sz w:val="20"/>
                <w:szCs w:val="20"/>
                <w:color w:val="auto"/>
              </w:rPr>
            </w:pPr>
            <w:r>
              <w:rPr>
                <w:rFonts w:ascii="Times New Roman" w:cs="Times New Roman" w:eastAsia="Times New Roman" w:hAnsi="Times New Roman"/>
                <w:sz w:val="17"/>
                <w:szCs w:val="17"/>
                <w:color w:val="auto"/>
              </w:rPr>
              <w:t>Majority voting for director elections</w:t>
            </w:r>
          </w:p>
        </w:tc>
        <w:tc>
          <w:tcPr>
            <w:tcW w:w="1020" w:type="dxa"/>
            <w:vAlign w:val="bottom"/>
            <w:tcBorders>
              <w:top w:val="single" w:sz="8" w:color="auto"/>
              <w:bottom w:val="single" w:sz="8" w:color="auto"/>
              <w:right w:val="single" w:sz="8" w:color="auto"/>
            </w:tcBorders>
            <w:shd w:val="clear" w:color="auto" w:fill="BCBDC0"/>
          </w:tcPr>
          <w:p>
            <w:pPr>
              <w:ind w:left="300"/>
              <w:spacing w:after="0" w:line="481" w:lineRule="exact"/>
              <w:rPr>
                <w:sz w:val="20"/>
                <w:szCs w:val="20"/>
                <w:color w:val="auto"/>
              </w:rPr>
            </w:pPr>
            <w:r>
              <w:rPr>
                <w:rFonts w:ascii="MS PGothic" w:cs="MS PGothic" w:eastAsia="MS PGothic" w:hAnsi="MS PGothic"/>
                <w:sz w:val="48"/>
                <w:szCs w:val="48"/>
                <w:color w:val="auto"/>
                <w:highlight w:val="black"/>
              </w:rPr>
              <w:t>✔</w:t>
            </w:r>
          </w:p>
        </w:tc>
        <w:tc>
          <w:tcPr>
            <w:tcW w:w="4600" w:type="dxa"/>
            <w:vAlign w:val="bottom"/>
            <w:tcBorders>
              <w:top w:val="single" w:sz="8" w:color="auto"/>
              <w:bottom w:val="single" w:sz="8" w:color="auto"/>
              <w:right w:val="single" w:sz="8" w:color="auto"/>
            </w:tcBorders>
            <w:shd w:val="clear" w:color="auto" w:fill="BCBDC0"/>
          </w:tcPr>
          <w:p>
            <w:pPr>
              <w:ind w:left="20"/>
              <w:spacing w:after="0"/>
              <w:rPr>
                <w:sz w:val="20"/>
                <w:szCs w:val="20"/>
                <w:color w:val="auto"/>
              </w:rPr>
            </w:pPr>
            <w:r>
              <w:rPr>
                <w:rFonts w:ascii="Times New Roman" w:cs="Times New Roman" w:eastAsia="Times New Roman" w:hAnsi="Times New Roman"/>
                <w:sz w:val="17"/>
                <w:szCs w:val="17"/>
                <w:color w:val="auto"/>
              </w:rPr>
              <w:t>Active shareholder engagement</w:t>
            </w:r>
          </w:p>
        </w:tc>
        <w:tc>
          <w:tcPr>
            <w:tcW w:w="0" w:type="dxa"/>
            <w:vAlign w:val="bottom"/>
          </w:tcPr>
          <w:p>
            <w:pPr>
              <w:spacing w:after="0"/>
              <w:rPr>
                <w:sz w:val="1"/>
                <w:szCs w:val="1"/>
                <w:color w:val="auto"/>
              </w:rPr>
            </w:pPr>
          </w:p>
        </w:tc>
      </w:tr>
      <w:tr>
        <w:trPr>
          <w:trHeight w:val="225"/>
        </w:trPr>
        <w:tc>
          <w:tcPr>
            <w:tcW w:w="1040" w:type="dxa"/>
            <w:vAlign w:val="bottom"/>
            <w:tcBorders>
              <w:left w:val="single" w:sz="8" w:color="auto"/>
              <w:right w:val="single" w:sz="8" w:color="auto"/>
            </w:tcBorders>
            <w:vMerge w:val="restart"/>
          </w:tcPr>
          <w:p>
            <w:pPr>
              <w:ind w:left="320"/>
              <w:spacing w:after="0" w:line="481" w:lineRule="exact"/>
              <w:rPr>
                <w:sz w:val="20"/>
                <w:szCs w:val="20"/>
                <w:color w:val="auto"/>
              </w:rPr>
            </w:pPr>
            <w:r>
              <w:rPr>
                <w:rFonts w:ascii="MS PGothic" w:cs="MS PGothic" w:eastAsia="MS PGothic" w:hAnsi="MS PGothic"/>
                <w:sz w:val="48"/>
                <w:szCs w:val="48"/>
                <w:color w:val="auto"/>
                <w:highlight w:val="black"/>
              </w:rPr>
              <w:t>✔</w:t>
            </w:r>
          </w:p>
        </w:tc>
        <w:tc>
          <w:tcPr>
            <w:tcW w:w="4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Independent directors regularly meet without management</w:t>
            </w:r>
          </w:p>
        </w:tc>
        <w:tc>
          <w:tcPr>
            <w:tcW w:w="1020" w:type="dxa"/>
            <w:vAlign w:val="bottom"/>
            <w:tcBorders>
              <w:right w:val="single" w:sz="8" w:color="auto"/>
            </w:tcBorders>
            <w:vMerge w:val="restart"/>
          </w:tcPr>
          <w:p>
            <w:pPr>
              <w:ind w:left="300"/>
              <w:spacing w:after="0" w:line="481" w:lineRule="exact"/>
              <w:rPr>
                <w:sz w:val="20"/>
                <w:szCs w:val="20"/>
                <w:color w:val="auto"/>
              </w:rPr>
            </w:pPr>
            <w:r>
              <w:rPr>
                <w:rFonts w:ascii="MS PGothic" w:cs="MS PGothic" w:eastAsia="MS PGothic" w:hAnsi="MS PGothic"/>
                <w:sz w:val="48"/>
                <w:szCs w:val="48"/>
                <w:color w:val="auto"/>
                <w:highlight w:val="black"/>
              </w:rPr>
              <w:t>✔</w:t>
            </w:r>
          </w:p>
        </w:tc>
        <w:tc>
          <w:tcPr>
            <w:tcW w:w="4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Policies prohibiting hedging of Company shares</w:t>
            </w:r>
          </w:p>
        </w:tc>
        <w:tc>
          <w:tcPr>
            <w:tcW w:w="0" w:type="dxa"/>
            <w:vAlign w:val="bottom"/>
          </w:tcPr>
          <w:p>
            <w:pPr>
              <w:spacing w:after="0"/>
              <w:rPr>
                <w:sz w:val="1"/>
                <w:szCs w:val="1"/>
                <w:color w:val="auto"/>
              </w:rPr>
            </w:pPr>
          </w:p>
        </w:tc>
      </w:tr>
      <w:tr>
        <w:trPr>
          <w:trHeight w:val="142"/>
        </w:trPr>
        <w:tc>
          <w:tcPr>
            <w:tcW w:w="1040" w:type="dxa"/>
            <w:vAlign w:val="bottom"/>
            <w:tcBorders>
              <w:left w:val="single" w:sz="8" w:color="auto"/>
              <w:right w:val="single" w:sz="8" w:color="auto"/>
            </w:tcBorders>
            <w:vMerge w:val="continue"/>
          </w:tcPr>
          <w:p>
            <w:pPr>
              <w:spacing w:after="0"/>
              <w:rPr>
                <w:sz w:val="12"/>
                <w:szCs w:val="12"/>
                <w:color w:val="auto"/>
              </w:rPr>
            </w:pPr>
          </w:p>
        </w:tc>
        <w:tc>
          <w:tcPr>
            <w:tcW w:w="4600" w:type="dxa"/>
            <w:vAlign w:val="bottom"/>
            <w:tcBorders>
              <w:right w:val="single" w:sz="8" w:color="auto"/>
            </w:tcBorders>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auto"/>
              </w:rPr>
              <w:t>present</w:t>
            </w:r>
          </w:p>
        </w:tc>
        <w:tc>
          <w:tcPr>
            <w:tcW w:w="1020" w:type="dxa"/>
            <w:vAlign w:val="bottom"/>
            <w:tcBorders>
              <w:right w:val="single" w:sz="8" w:color="auto"/>
            </w:tcBorders>
            <w:vMerge w:val="continue"/>
          </w:tcPr>
          <w:p>
            <w:pPr>
              <w:spacing w:after="0"/>
              <w:rPr>
                <w:sz w:val="12"/>
                <w:szCs w:val="12"/>
                <w:color w:val="auto"/>
              </w:rPr>
            </w:pPr>
          </w:p>
        </w:tc>
        <w:tc>
          <w:tcPr>
            <w:tcW w:w="46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1040" w:type="dxa"/>
            <w:vAlign w:val="bottom"/>
            <w:tcBorders>
              <w:left w:val="single" w:sz="8" w:color="auto"/>
              <w:right w:val="single" w:sz="8" w:color="auto"/>
            </w:tcBorders>
            <w:vMerge w:val="continue"/>
          </w:tcPr>
          <w:p>
            <w:pPr>
              <w:spacing w:after="0"/>
              <w:rPr>
                <w:sz w:val="4"/>
                <w:szCs w:val="4"/>
                <w:color w:val="auto"/>
              </w:rPr>
            </w:pPr>
          </w:p>
        </w:tc>
        <w:tc>
          <w:tcPr>
            <w:tcW w:w="460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4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0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46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vMerge w:val="continue"/>
          </w:tcPr>
          <w:p>
            <w:pPr>
              <w:spacing w:after="0"/>
              <w:rPr>
                <w:sz w:val="8"/>
                <w:szCs w:val="8"/>
                <w:color w:val="auto"/>
              </w:rPr>
            </w:pPr>
          </w:p>
        </w:tc>
        <w:tc>
          <w:tcPr>
            <w:tcW w:w="4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040" w:type="dxa"/>
            <w:vAlign w:val="bottom"/>
            <w:tcBorders>
              <w:left w:val="single" w:sz="8" w:color="auto"/>
              <w:right w:val="single" w:sz="8" w:color="auto"/>
            </w:tcBorders>
            <w:vMerge w:val="restart"/>
            <w:shd w:val="clear" w:color="auto" w:fill="BCBDC0"/>
          </w:tcPr>
          <w:p>
            <w:pPr>
              <w:ind w:left="320"/>
              <w:spacing w:after="0" w:line="481" w:lineRule="exact"/>
              <w:rPr>
                <w:sz w:val="20"/>
                <w:szCs w:val="20"/>
                <w:color w:val="auto"/>
              </w:rPr>
            </w:pPr>
            <w:r>
              <w:rPr>
                <w:rFonts w:ascii="MS PGothic" w:cs="MS PGothic" w:eastAsia="MS PGothic" w:hAnsi="MS PGothic"/>
                <w:sz w:val="48"/>
                <w:szCs w:val="48"/>
                <w:color w:val="auto"/>
                <w:highlight w:val="black"/>
              </w:rPr>
              <w:t>✔</w:t>
            </w:r>
          </w:p>
        </w:tc>
        <w:tc>
          <w:tcPr>
            <w:tcW w:w="4600" w:type="dxa"/>
            <w:vAlign w:val="bottom"/>
            <w:tcBorders>
              <w:right w:val="single" w:sz="8" w:color="auto"/>
            </w:tcBorders>
            <w:shd w:val="clear" w:color="auto" w:fill="BCBDC0"/>
          </w:tcPr>
          <w:p>
            <w:pPr>
              <w:ind w:left="20"/>
              <w:spacing w:after="0"/>
              <w:rPr>
                <w:sz w:val="20"/>
                <w:szCs w:val="20"/>
                <w:color w:val="auto"/>
              </w:rPr>
            </w:pPr>
            <w:r>
              <w:rPr>
                <w:rFonts w:ascii="Times New Roman" w:cs="Times New Roman" w:eastAsia="Times New Roman" w:hAnsi="Times New Roman"/>
                <w:sz w:val="17"/>
                <w:szCs w:val="17"/>
                <w:color w:val="auto"/>
              </w:rPr>
              <w:t>Board regularly assesses its performance through board and</w:t>
            </w:r>
          </w:p>
        </w:tc>
        <w:tc>
          <w:tcPr>
            <w:tcW w:w="1020" w:type="dxa"/>
            <w:vAlign w:val="bottom"/>
            <w:tcBorders>
              <w:right w:val="single" w:sz="8" w:color="auto"/>
            </w:tcBorders>
            <w:vMerge w:val="restart"/>
            <w:shd w:val="clear" w:color="auto" w:fill="BCBDC0"/>
          </w:tcPr>
          <w:p>
            <w:pPr>
              <w:ind w:left="300"/>
              <w:spacing w:after="0" w:line="481" w:lineRule="exact"/>
              <w:rPr>
                <w:sz w:val="20"/>
                <w:szCs w:val="20"/>
                <w:color w:val="auto"/>
              </w:rPr>
            </w:pPr>
            <w:r>
              <w:rPr>
                <w:rFonts w:ascii="MS PGothic" w:cs="MS PGothic" w:eastAsia="MS PGothic" w:hAnsi="MS PGothic"/>
                <w:sz w:val="48"/>
                <w:szCs w:val="48"/>
                <w:color w:val="auto"/>
                <w:highlight w:val="black"/>
              </w:rPr>
              <w:t>✔</w:t>
            </w:r>
          </w:p>
        </w:tc>
        <w:tc>
          <w:tcPr>
            <w:tcW w:w="4600" w:type="dxa"/>
            <w:vAlign w:val="bottom"/>
            <w:tcBorders>
              <w:right w:val="single" w:sz="8" w:color="auto"/>
            </w:tcBorders>
            <w:shd w:val="clear" w:color="auto" w:fill="BCBDC0"/>
          </w:tcPr>
          <w:p>
            <w:pPr>
              <w:ind w:left="20"/>
              <w:spacing w:after="0"/>
              <w:rPr>
                <w:sz w:val="20"/>
                <w:szCs w:val="20"/>
                <w:color w:val="auto"/>
              </w:rPr>
            </w:pPr>
            <w:r>
              <w:rPr>
                <w:rFonts w:ascii="Times New Roman" w:cs="Times New Roman" w:eastAsia="Times New Roman" w:hAnsi="Times New Roman"/>
                <w:sz w:val="17"/>
                <w:szCs w:val="17"/>
                <w:color w:val="auto"/>
              </w:rPr>
              <w:t>Board is 90.90% independent (CEO is only management director)</w:t>
            </w:r>
          </w:p>
        </w:tc>
        <w:tc>
          <w:tcPr>
            <w:tcW w:w="0" w:type="dxa"/>
            <w:vAlign w:val="bottom"/>
          </w:tcPr>
          <w:p>
            <w:pPr>
              <w:spacing w:after="0"/>
              <w:rPr>
                <w:sz w:val="1"/>
                <w:szCs w:val="1"/>
                <w:color w:val="auto"/>
              </w:rPr>
            </w:pPr>
          </w:p>
        </w:tc>
      </w:tr>
      <w:tr>
        <w:trPr>
          <w:trHeight w:val="193"/>
        </w:trPr>
        <w:tc>
          <w:tcPr>
            <w:tcW w:w="1040" w:type="dxa"/>
            <w:vAlign w:val="bottom"/>
            <w:tcBorders>
              <w:left w:val="single" w:sz="8" w:color="auto"/>
              <w:right w:val="single" w:sz="8" w:color="auto"/>
            </w:tcBorders>
            <w:vMerge w:val="continue"/>
            <w:shd w:val="clear" w:color="auto" w:fill="BCBDC0"/>
          </w:tcPr>
          <w:p>
            <w:pPr>
              <w:spacing w:after="0"/>
              <w:rPr>
                <w:sz w:val="16"/>
                <w:szCs w:val="16"/>
                <w:color w:val="auto"/>
              </w:rPr>
            </w:pPr>
          </w:p>
        </w:tc>
        <w:tc>
          <w:tcPr>
            <w:tcW w:w="4600" w:type="dxa"/>
            <w:vAlign w:val="bottom"/>
            <w:tcBorders>
              <w:right w:val="single" w:sz="8" w:color="auto"/>
            </w:tcBorders>
            <w:shd w:val="clear" w:color="auto" w:fill="BCBDC0"/>
          </w:tcPr>
          <w:p>
            <w:pPr>
              <w:ind w:left="20"/>
              <w:spacing w:after="0" w:line="194" w:lineRule="exact"/>
              <w:rPr>
                <w:sz w:val="20"/>
                <w:szCs w:val="20"/>
                <w:color w:val="auto"/>
              </w:rPr>
            </w:pPr>
            <w:r>
              <w:rPr>
                <w:rFonts w:ascii="Times New Roman" w:cs="Times New Roman" w:eastAsia="Times New Roman" w:hAnsi="Times New Roman"/>
                <w:sz w:val="17"/>
                <w:szCs w:val="17"/>
                <w:color w:val="auto"/>
              </w:rPr>
              <w:t>committee self-evaluations</w:t>
            </w:r>
          </w:p>
        </w:tc>
        <w:tc>
          <w:tcPr>
            <w:tcW w:w="1020" w:type="dxa"/>
            <w:vAlign w:val="bottom"/>
            <w:tcBorders>
              <w:right w:val="single" w:sz="8" w:color="auto"/>
            </w:tcBorders>
            <w:vMerge w:val="continue"/>
            <w:shd w:val="clear" w:color="auto" w:fill="BCBDC0"/>
          </w:tcPr>
          <w:p>
            <w:pPr>
              <w:spacing w:after="0"/>
              <w:rPr>
                <w:sz w:val="16"/>
                <w:szCs w:val="16"/>
                <w:color w:val="auto"/>
              </w:rPr>
            </w:pPr>
          </w:p>
        </w:tc>
        <w:tc>
          <w:tcPr>
            <w:tcW w:w="4600" w:type="dxa"/>
            <w:vAlign w:val="bottom"/>
            <w:tcBorders>
              <w:right w:val="single" w:sz="8" w:color="auto"/>
            </w:tcBorders>
            <w:shd w:val="clear" w:color="auto" w:fill="BCBDC0"/>
          </w:tcPr>
          <w:p>
            <w:pPr>
              <w:ind w:left="20"/>
              <w:spacing w:after="0" w:line="194" w:lineRule="exact"/>
              <w:rPr>
                <w:sz w:val="20"/>
                <w:szCs w:val="20"/>
                <w:color w:val="auto"/>
              </w:rPr>
            </w:pPr>
            <w:r>
              <w:rPr>
                <w:rFonts w:ascii="Times New Roman" w:cs="Times New Roman" w:eastAsia="Times New Roman" w:hAnsi="Times New Roman"/>
                <w:sz w:val="17"/>
                <w:szCs w:val="17"/>
                <w:color w:val="auto"/>
              </w:rPr>
              <w:t>and 36% female/minority</w:t>
            </w:r>
          </w:p>
        </w:tc>
        <w:tc>
          <w:tcPr>
            <w:tcW w:w="0" w:type="dxa"/>
            <w:vAlign w:val="bottom"/>
          </w:tcPr>
          <w:p>
            <w:pPr>
              <w:spacing w:after="0"/>
              <w:rPr>
                <w:sz w:val="1"/>
                <w:szCs w:val="1"/>
                <w:color w:val="auto"/>
              </w:rPr>
            </w:pPr>
          </w:p>
        </w:tc>
      </w:tr>
      <w:tr>
        <w:trPr>
          <w:trHeight w:val="103"/>
        </w:trPr>
        <w:tc>
          <w:tcPr>
            <w:tcW w:w="1040" w:type="dxa"/>
            <w:vAlign w:val="bottom"/>
            <w:tcBorders>
              <w:left w:val="single" w:sz="8" w:color="auto"/>
              <w:bottom w:val="single" w:sz="8" w:color="auto"/>
              <w:right w:val="single" w:sz="8" w:color="auto"/>
            </w:tcBorders>
            <w:vMerge w:val="continue"/>
            <w:shd w:val="clear" w:color="auto" w:fill="BCBDC0"/>
          </w:tcPr>
          <w:p>
            <w:pPr>
              <w:spacing w:after="0"/>
              <w:rPr>
                <w:sz w:val="8"/>
                <w:szCs w:val="8"/>
                <w:color w:val="auto"/>
              </w:rPr>
            </w:pPr>
          </w:p>
        </w:tc>
        <w:tc>
          <w:tcPr>
            <w:tcW w:w="4600" w:type="dxa"/>
            <w:vAlign w:val="bottom"/>
            <w:tcBorders>
              <w:bottom w:val="single" w:sz="8" w:color="auto"/>
              <w:right w:val="single" w:sz="8" w:color="auto"/>
            </w:tcBorders>
            <w:shd w:val="clear" w:color="auto" w:fill="BCBDC0"/>
          </w:tcPr>
          <w:p>
            <w:pPr>
              <w:spacing w:after="0"/>
              <w:rPr>
                <w:sz w:val="8"/>
                <w:szCs w:val="8"/>
                <w:color w:val="auto"/>
              </w:rPr>
            </w:pPr>
          </w:p>
        </w:tc>
        <w:tc>
          <w:tcPr>
            <w:tcW w:w="1020" w:type="dxa"/>
            <w:vAlign w:val="bottom"/>
            <w:tcBorders>
              <w:bottom w:val="single" w:sz="8" w:color="auto"/>
              <w:right w:val="single" w:sz="8" w:color="auto"/>
            </w:tcBorders>
            <w:vMerge w:val="continue"/>
            <w:shd w:val="clear" w:color="auto" w:fill="BCBDC0"/>
          </w:tcPr>
          <w:p>
            <w:pPr>
              <w:spacing w:after="0"/>
              <w:rPr>
                <w:sz w:val="8"/>
                <w:szCs w:val="8"/>
                <w:color w:val="auto"/>
              </w:rPr>
            </w:pPr>
          </w:p>
        </w:tc>
        <w:tc>
          <w:tcPr>
            <w:tcW w:w="4600" w:type="dxa"/>
            <w:vAlign w:val="bottom"/>
            <w:tcBorders>
              <w:bottom w:val="single" w:sz="8" w:color="auto"/>
              <w:right w:val="single" w:sz="8" w:color="auto"/>
            </w:tcBorders>
            <w:shd w:val="clear" w:color="auto" w:fill="BCBDC0"/>
          </w:tcPr>
          <w:p>
            <w:pPr>
              <w:spacing w:after="0"/>
              <w:rPr>
                <w:sz w:val="8"/>
                <w:szCs w:val="8"/>
                <w:color w:val="auto"/>
              </w:rPr>
            </w:pPr>
          </w:p>
        </w:tc>
        <w:tc>
          <w:tcPr>
            <w:tcW w:w="0" w:type="dxa"/>
            <w:vAlign w:val="bottom"/>
          </w:tcPr>
          <w:p>
            <w:pPr>
              <w:spacing w:after="0"/>
              <w:rPr>
                <w:sz w:val="1"/>
                <w:szCs w:val="1"/>
                <w:color w:val="auto"/>
              </w:rPr>
            </w:pPr>
          </w:p>
        </w:tc>
      </w:tr>
      <w:tr>
        <w:trPr>
          <w:trHeight w:val="521"/>
        </w:trPr>
        <w:tc>
          <w:tcPr>
            <w:tcW w:w="1040" w:type="dxa"/>
            <w:vAlign w:val="bottom"/>
            <w:tcBorders>
              <w:left w:val="single" w:sz="8" w:color="auto"/>
              <w:bottom w:val="single" w:sz="8" w:color="auto"/>
              <w:right w:val="single" w:sz="8" w:color="auto"/>
            </w:tcBorders>
          </w:tcPr>
          <w:p>
            <w:pPr>
              <w:ind w:left="320"/>
              <w:spacing w:after="0" w:line="481" w:lineRule="exact"/>
              <w:rPr>
                <w:sz w:val="20"/>
                <w:szCs w:val="20"/>
                <w:color w:val="auto"/>
              </w:rPr>
            </w:pPr>
            <w:r>
              <w:rPr>
                <w:rFonts w:ascii="MS PGothic" w:cs="MS PGothic" w:eastAsia="MS PGothic" w:hAnsi="MS PGothic"/>
                <w:sz w:val="48"/>
                <w:szCs w:val="48"/>
                <w:color w:val="auto"/>
                <w:highlight w:val="black"/>
              </w:rPr>
              <w:t>✔</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Board committees consist solely of independent directors</w:t>
            </w:r>
          </w:p>
        </w:tc>
        <w:tc>
          <w:tcPr>
            <w:tcW w:w="1020" w:type="dxa"/>
            <w:vAlign w:val="bottom"/>
            <w:tcBorders>
              <w:bottom w:val="single" w:sz="8" w:color="auto"/>
              <w:right w:val="single" w:sz="8" w:color="auto"/>
            </w:tcBorders>
          </w:tcPr>
          <w:p>
            <w:pPr>
              <w:ind w:left="300"/>
              <w:spacing w:after="0" w:line="481" w:lineRule="exact"/>
              <w:rPr>
                <w:sz w:val="20"/>
                <w:szCs w:val="20"/>
                <w:color w:val="auto"/>
              </w:rPr>
            </w:pPr>
            <w:r>
              <w:rPr>
                <w:rFonts w:ascii="MS PGothic" w:cs="MS PGothic" w:eastAsia="MS PGothic" w:hAnsi="MS PGothic"/>
                <w:sz w:val="48"/>
                <w:szCs w:val="48"/>
                <w:color w:val="auto"/>
                <w:highlight w:val="black"/>
              </w:rPr>
              <w:t>✔</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 poison pill</w:t>
            </w:r>
          </w:p>
        </w:tc>
        <w:tc>
          <w:tcPr>
            <w:tcW w:w="0" w:type="dxa"/>
            <w:vAlign w:val="bottom"/>
          </w:tcPr>
          <w:p>
            <w:pPr>
              <w:spacing w:after="0"/>
              <w:rPr>
                <w:sz w:val="1"/>
                <w:szCs w:val="1"/>
                <w:color w:val="auto"/>
              </w:rPr>
            </w:pPr>
          </w:p>
        </w:tc>
      </w:tr>
      <w:tr>
        <w:trPr>
          <w:trHeight w:val="521"/>
        </w:trPr>
        <w:tc>
          <w:tcPr>
            <w:tcW w:w="1040" w:type="dxa"/>
            <w:vAlign w:val="bottom"/>
            <w:tcBorders>
              <w:left w:val="single" w:sz="8" w:color="auto"/>
              <w:bottom w:val="single" w:sz="8" w:color="auto"/>
              <w:right w:val="single" w:sz="8" w:color="auto"/>
            </w:tcBorders>
            <w:shd w:val="clear" w:color="auto" w:fill="BCBDC0"/>
          </w:tcPr>
          <w:p>
            <w:pPr>
              <w:ind w:left="320"/>
              <w:spacing w:after="0" w:line="481" w:lineRule="exact"/>
              <w:rPr>
                <w:sz w:val="20"/>
                <w:szCs w:val="20"/>
                <w:color w:val="auto"/>
              </w:rPr>
            </w:pPr>
            <w:r>
              <w:rPr>
                <w:rFonts w:ascii="MS PGothic" w:cs="MS PGothic" w:eastAsia="MS PGothic" w:hAnsi="MS PGothic"/>
                <w:sz w:val="48"/>
                <w:szCs w:val="48"/>
                <w:color w:val="auto"/>
                <w:highlight w:val="black"/>
              </w:rPr>
              <w:t>✔</w:t>
            </w:r>
          </w:p>
        </w:tc>
        <w:tc>
          <w:tcPr>
            <w:tcW w:w="4600" w:type="dxa"/>
            <w:vAlign w:val="bottom"/>
            <w:tcBorders>
              <w:bottom w:val="single" w:sz="8" w:color="auto"/>
              <w:right w:val="single" w:sz="8" w:color="auto"/>
            </w:tcBorders>
            <w:shd w:val="clear" w:color="auto" w:fill="BCBDC0"/>
          </w:tcPr>
          <w:p>
            <w:pPr>
              <w:ind w:left="20"/>
              <w:spacing w:after="0"/>
              <w:rPr>
                <w:sz w:val="20"/>
                <w:szCs w:val="20"/>
                <w:color w:val="auto"/>
              </w:rPr>
            </w:pPr>
            <w:r>
              <w:rPr>
                <w:rFonts w:ascii="Times New Roman" w:cs="Times New Roman" w:eastAsia="Times New Roman" w:hAnsi="Times New Roman"/>
                <w:sz w:val="17"/>
                <w:szCs w:val="17"/>
                <w:color w:val="auto"/>
              </w:rPr>
              <w:t>Robust stock ownership guidelines</w:t>
            </w:r>
          </w:p>
        </w:tc>
        <w:tc>
          <w:tcPr>
            <w:tcW w:w="1020" w:type="dxa"/>
            <w:vAlign w:val="bottom"/>
            <w:tcBorders>
              <w:bottom w:val="single" w:sz="8" w:color="auto"/>
              <w:right w:val="single" w:sz="8" w:color="auto"/>
            </w:tcBorders>
            <w:shd w:val="clear" w:color="auto" w:fill="BCBDC0"/>
          </w:tcPr>
          <w:p>
            <w:pPr>
              <w:spacing w:after="0"/>
              <w:rPr>
                <w:sz w:val="24"/>
                <w:szCs w:val="24"/>
                <w:color w:val="auto"/>
              </w:rPr>
            </w:pPr>
          </w:p>
        </w:tc>
        <w:tc>
          <w:tcPr>
            <w:tcW w:w="4600" w:type="dxa"/>
            <w:vAlign w:val="bottom"/>
            <w:tcBorders>
              <w:bottom w:val="single" w:sz="8" w:color="auto"/>
              <w:right w:val="single" w:sz="8" w:color="auto"/>
            </w:tcBorders>
            <w:shd w:val="clear" w:color="auto" w:fill="BCBDC0"/>
          </w:tcPr>
          <w:p>
            <w:pPr>
              <w:spacing w:after="0"/>
              <w:rPr>
                <w:sz w:val="24"/>
                <w:szCs w:val="24"/>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We value an open and active dialogue with our shareholders. We strive to foster strong shareholder relationships that lead to a mutual understanding of issues and approaches. During 2025, members of our management team continued to meet and communicate with many of our shareholders to ensure that we fully understand our shareholders’ views with respect to governance and compensation-related matters.</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099"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21"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The following table contains information, as of February 23, 2026, about each member of the Board of Directors of Shentel, including Matthew S. DeNichilo and Kenneth L. Quaglio, currently Class 1 directors whose terms are set to expire at the 2026 annual meeting of shareholders, and Michael A. Rhymes, currently a Class 2 director whose term is set to expire at the 2027 and is being nominated as a Class 1 director in order to rebalance the distribution of directors across classes, and who have been nominated for reelection to the Board to serve three-year terms expiring at the annual meeting of shareholders in 2029.</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17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right w:val="single" w:sz="8" w:color="auto"/>
            </w:tcBorders>
          </w:tcPr>
          <w:p>
            <w:pPr>
              <w:spacing w:after="0"/>
              <w:rPr>
                <w:sz w:val="20"/>
                <w:szCs w:val="20"/>
                <w:color w:val="auto"/>
              </w:rPr>
            </w:pPr>
          </w:p>
        </w:tc>
        <w:tc>
          <w:tcPr>
            <w:tcW w:w="102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Borders>
              <w:top w:val="single" w:sz="8" w:color="auto"/>
              <w:bottom w:val="single" w:sz="8" w:color="auto"/>
              <w:right w:val="single" w:sz="8" w:color="auto"/>
            </w:tcBorders>
          </w:tcPr>
          <w:p>
            <w:pPr>
              <w:spacing w:after="0"/>
              <w:rPr>
                <w:sz w:val="20"/>
                <w:szCs w:val="20"/>
                <w:color w:val="auto"/>
              </w:rPr>
            </w:pPr>
          </w:p>
        </w:tc>
        <w:tc>
          <w:tcPr>
            <w:tcW w:w="1280" w:type="dxa"/>
            <w:vAlign w:val="bottom"/>
            <w:tcBorders>
              <w:top w:val="single" w:sz="8" w:color="auto"/>
              <w:bottom w:val="single" w:sz="8" w:color="auto"/>
              <w:right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306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Committee Memberships</w:t>
            </w:r>
          </w:p>
        </w:tc>
        <w:tc>
          <w:tcPr>
            <w:tcW w:w="0" w:type="dxa"/>
            <w:vAlign w:val="bottom"/>
          </w:tcPr>
          <w:p>
            <w:pPr>
              <w:spacing w:after="0"/>
              <w:rPr>
                <w:sz w:val="1"/>
                <w:szCs w:val="1"/>
                <w:color w:val="auto"/>
              </w:rPr>
            </w:pPr>
          </w:p>
        </w:tc>
      </w:tr>
      <w:tr>
        <w:trPr>
          <w:trHeight w:val="160"/>
        </w:trPr>
        <w:tc>
          <w:tcPr>
            <w:tcW w:w="1740" w:type="dxa"/>
            <w:vAlign w:val="bottom"/>
            <w:tcBorders>
              <w:left w:val="single" w:sz="8" w:color="auto"/>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2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Audit</w:t>
            </w:r>
          </w:p>
        </w:tc>
        <w:tc>
          <w:tcPr>
            <w:tcW w:w="11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Nominating &amp;</w:t>
            </w:r>
          </w:p>
        </w:tc>
        <w:tc>
          <w:tcPr>
            <w:tcW w:w="0" w:type="dxa"/>
            <w:vAlign w:val="bottom"/>
          </w:tcPr>
          <w:p>
            <w:pPr>
              <w:spacing w:after="0"/>
              <w:rPr>
                <w:sz w:val="1"/>
                <w:szCs w:val="1"/>
                <w:color w:val="auto"/>
              </w:rPr>
            </w:pPr>
          </w:p>
        </w:tc>
      </w:tr>
      <w:tr>
        <w:trPr>
          <w:trHeight w:val="168"/>
        </w:trPr>
        <w:tc>
          <w:tcPr>
            <w:tcW w:w="1740" w:type="dxa"/>
            <w:vAlign w:val="bottom"/>
            <w:tcBorders>
              <w:left w:val="single" w:sz="8" w:color="auto"/>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Director</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w:t>
            </w:r>
          </w:p>
        </w:tc>
        <w:tc>
          <w:tcPr>
            <w:tcW w:w="128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Committee</w:t>
            </w:r>
          </w:p>
        </w:tc>
        <w:tc>
          <w:tcPr>
            <w:tcW w:w="11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40" w:type="dxa"/>
            <w:vAlign w:val="bottom"/>
            <w:tcBorders>
              <w:left w:val="single" w:sz="8" w:color="auto"/>
              <w:right w:val="single" w:sz="8" w:color="auto"/>
            </w:tcBorders>
            <w:vMerge w:val="restart"/>
          </w:tcPr>
          <w:p>
            <w:pPr>
              <w:ind w:left="6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Age</w:t>
            </w:r>
          </w:p>
        </w:tc>
        <w:tc>
          <w:tcPr>
            <w:tcW w:w="8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2460" w:type="dxa"/>
            <w:vAlign w:val="bottom"/>
            <w:tcBorders>
              <w:right w:val="single" w:sz="8" w:color="auto"/>
            </w:tcBorders>
            <w:vMerge w:val="continue"/>
          </w:tcPr>
          <w:p>
            <w:pPr>
              <w:spacing w:after="0"/>
              <w:rPr>
                <w:sz w:val="15"/>
                <w:szCs w:val="15"/>
                <w:color w:val="auto"/>
              </w:rPr>
            </w:pPr>
          </w:p>
        </w:tc>
        <w:tc>
          <w:tcPr>
            <w:tcW w:w="12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Financial</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Audit</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4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Corporate</w:t>
            </w:r>
          </w:p>
        </w:tc>
        <w:tc>
          <w:tcPr>
            <w:tcW w:w="0" w:type="dxa"/>
            <w:vAlign w:val="bottom"/>
          </w:tcPr>
          <w:p>
            <w:pPr>
              <w:spacing w:after="0"/>
              <w:rPr>
                <w:sz w:val="1"/>
                <w:szCs w:val="1"/>
                <w:color w:val="auto"/>
              </w:rPr>
            </w:pPr>
          </w:p>
        </w:tc>
      </w:tr>
      <w:tr>
        <w:trPr>
          <w:trHeight w:val="219"/>
        </w:trPr>
        <w:tc>
          <w:tcPr>
            <w:tcW w:w="17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Since</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Occupation</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Expert</w:t>
            </w:r>
          </w:p>
        </w:tc>
        <w:tc>
          <w:tcPr>
            <w:tcW w:w="1140" w:type="dxa"/>
            <w:vAlign w:val="bottom"/>
            <w:tcBorders>
              <w:bottom w:val="single" w:sz="8" w:color="auto"/>
              <w:right w:val="single" w:sz="8" w:color="auto"/>
            </w:tcBorders>
            <w:vMerge w:val="continue"/>
          </w:tcPr>
          <w:p>
            <w:pPr>
              <w:spacing w:after="0"/>
              <w:rPr>
                <w:sz w:val="19"/>
                <w:szCs w:val="19"/>
                <w:color w:val="auto"/>
              </w:rPr>
            </w:pPr>
          </w:p>
        </w:tc>
        <w:tc>
          <w:tcPr>
            <w:tcW w:w="1580" w:type="dxa"/>
            <w:vAlign w:val="bottom"/>
            <w:tcBorders>
              <w:bottom w:val="single" w:sz="8" w:color="auto"/>
              <w:right w:val="single" w:sz="8" w:color="auto"/>
            </w:tcBorders>
            <w:vMerge w:val="continue"/>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Governance</w:t>
            </w:r>
          </w:p>
        </w:tc>
        <w:tc>
          <w:tcPr>
            <w:tcW w:w="0" w:type="dxa"/>
            <w:vAlign w:val="bottom"/>
          </w:tcPr>
          <w:p>
            <w:pPr>
              <w:spacing w:after="0"/>
              <w:rPr>
                <w:sz w:val="1"/>
                <w:szCs w:val="1"/>
                <w:color w:val="auto"/>
              </w:rPr>
            </w:pPr>
          </w:p>
        </w:tc>
      </w:tr>
      <w:tr>
        <w:trPr>
          <w:trHeight w:val="419"/>
        </w:trPr>
        <w:tc>
          <w:tcPr>
            <w:tcW w:w="1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Victor C. Barnes</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Executive Coach and Consultant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Thomas A. Beckett</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2018</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SVP, GC and Secretary of</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40" w:type="dxa"/>
            <w:vAlign w:val="bottom"/>
            <w:tcBorders>
              <w:left w:val="single" w:sz="8" w:color="auto"/>
              <w:right w:val="single" w:sz="8" w:color="auto"/>
            </w:tcBorders>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American Public Education, Inc.</w:t>
            </w:r>
          </w:p>
        </w:tc>
        <w:tc>
          <w:tcPr>
            <w:tcW w:w="128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740" w:type="dxa"/>
            <w:vAlign w:val="bottom"/>
            <w:tcBorders>
              <w:left w:val="single" w:sz="8" w:color="auto"/>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9"/>
        </w:trPr>
        <w:tc>
          <w:tcPr>
            <w:tcW w:w="1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Matthew S. DeNichilo</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2024</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Partner, Energy Capital Partners</w:t>
            </w:r>
          </w:p>
        </w:tc>
        <w:tc>
          <w:tcPr>
            <w:tcW w:w="128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James F. DiMola</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2024</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Managing Director, GCM</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40" w:type="dxa"/>
            <w:vAlign w:val="bottom"/>
            <w:tcBorders>
              <w:left w:val="single" w:sz="8" w:color="auto"/>
              <w:right w:val="single" w:sz="8" w:color="auto"/>
            </w:tcBorders>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Grosvenor</w:t>
            </w:r>
          </w:p>
        </w:tc>
        <w:tc>
          <w:tcPr>
            <w:tcW w:w="128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740" w:type="dxa"/>
            <w:vAlign w:val="bottom"/>
            <w:tcBorders>
              <w:left w:val="single" w:sz="8" w:color="auto"/>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Tracy Fitzsimmons</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2005</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President of Shenandoah</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40" w:type="dxa"/>
            <w:vAlign w:val="bottom"/>
            <w:tcBorders>
              <w:left w:val="single" w:sz="8" w:color="auto"/>
              <w:right w:val="single" w:sz="8" w:color="auto"/>
            </w:tcBorders>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University</w:t>
            </w:r>
          </w:p>
        </w:tc>
        <w:tc>
          <w:tcPr>
            <w:tcW w:w="128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740" w:type="dxa"/>
            <w:vAlign w:val="bottom"/>
            <w:tcBorders>
              <w:left w:val="single" w:sz="8" w:color="auto"/>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John W. Flora</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2008</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Attorney and Shareholder of Flora</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40" w:type="dxa"/>
            <w:vAlign w:val="bottom"/>
            <w:tcBorders>
              <w:left w:val="single" w:sz="8" w:color="auto"/>
              <w:right w:val="single" w:sz="8" w:color="auto"/>
            </w:tcBorders>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Pettit PC</w:t>
            </w:r>
          </w:p>
        </w:tc>
        <w:tc>
          <w:tcPr>
            <w:tcW w:w="128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740" w:type="dxa"/>
            <w:vAlign w:val="bottom"/>
            <w:tcBorders>
              <w:left w:val="single" w:sz="8" w:color="auto"/>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Christopher E. French</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1996</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Executive Chairman</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7"/>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Richard L. Koontz, Jr.</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2006</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President of Holtzman Oil</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2"/>
        </w:trPr>
        <w:tc>
          <w:tcPr>
            <w:tcW w:w="1740" w:type="dxa"/>
            <w:vAlign w:val="bottom"/>
            <w:tcBorders>
              <w:left w:val="single" w:sz="8" w:color="auto"/>
              <w:right w:val="single" w:sz="8" w:color="auto"/>
            </w:tcBorders>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Corporation</w:t>
            </w:r>
          </w:p>
        </w:tc>
        <w:tc>
          <w:tcPr>
            <w:tcW w:w="128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740" w:type="dxa"/>
            <w:vAlign w:val="bottom"/>
            <w:tcBorders>
              <w:left w:val="single" w:sz="8" w:color="auto"/>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9"/>
        </w:trPr>
        <w:tc>
          <w:tcPr>
            <w:tcW w:w="1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Kenneth L. Quaglio</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2017</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Partner, Kearney, Inc.</w:t>
            </w:r>
          </w:p>
        </w:tc>
        <w:tc>
          <w:tcPr>
            <w:tcW w:w="128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Michael A. Rhymes</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2024</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CIO of Entergy Corporation</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Leigh Ann Schultz</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2016</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CFO of Harvest Host Inc.</w:t>
            </w:r>
          </w:p>
        </w:tc>
        <w:tc>
          <w:tcPr>
            <w:tcW w:w="128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28"/>
        </w:trPr>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Audit Committee</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Member</w:t>
            </w:r>
          </w:p>
        </w:tc>
        <w:tc>
          <w:tcPr>
            <w:tcW w:w="48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Chairperson</w:t>
            </w:r>
          </w:p>
        </w:tc>
        <w:tc>
          <w:tcPr>
            <w:tcW w:w="2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Financial Expert</w:t>
            </w: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1"/>
        </w:trPr>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-5549900</wp:posOffset>
            </wp:positionV>
            <wp:extent cx="245745" cy="351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5745" cy="351790"/>
                    </a:xfrm>
                    <a:prstGeom prst="rect">
                      <a:avLst/>
                    </a:prstGeom>
                    <a:noFill/>
                  </pic:spPr>
                </pic:pic>
              </a:graphicData>
            </a:graphic>
          </wp:anchor>
        </w:drawing>
        <w:drawing>
          <wp:anchor simplePos="0" relativeHeight="251657728" behindDoc="1" locked="0" layoutInCell="0" allowOverlap="1">
            <wp:simplePos x="0" y="0"/>
            <wp:positionH relativeFrom="column">
              <wp:posOffset>6551295</wp:posOffset>
            </wp:positionH>
            <wp:positionV relativeFrom="paragraph">
              <wp:posOffset>-5132070</wp:posOffset>
            </wp:positionV>
            <wp:extent cx="245745" cy="351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5745" cy="3517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-4714875</wp:posOffset>
            </wp:positionV>
            <wp:extent cx="245745" cy="343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5745" cy="34353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-4714875</wp:posOffset>
            </wp:positionV>
            <wp:extent cx="245745" cy="351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5745" cy="3517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-4297045</wp:posOffset>
            </wp:positionV>
            <wp:extent cx="1219835" cy="1186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19835" cy="11868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-2897505</wp:posOffset>
            </wp:positionV>
            <wp:extent cx="245745" cy="351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5745" cy="3517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-2479675</wp:posOffset>
            </wp:positionV>
            <wp:extent cx="245745" cy="3435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5745" cy="34353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-2479675</wp:posOffset>
            </wp:positionV>
            <wp:extent cx="1015365" cy="1178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15365" cy="117856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-2479675</wp:posOffset>
            </wp:positionV>
            <wp:extent cx="1015365" cy="1178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15365" cy="117856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-1030605</wp:posOffset>
            </wp:positionV>
            <wp:extent cx="245745" cy="351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5745" cy="3517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-1022350</wp:posOffset>
            </wp:positionV>
            <wp:extent cx="245745" cy="3435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745" cy="34353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-1022350</wp:posOffset>
            </wp:positionV>
            <wp:extent cx="245745" cy="3435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745" cy="343535"/>
                    </a:xfrm>
                    <a:prstGeom prst="rect">
                      <a:avLst/>
                    </a:prstGeom>
                    <a:noFill/>
                  </pic:spPr>
                </pic:pic>
              </a:graphicData>
            </a:graphic>
          </wp:anchor>
        </w:drawing>
      </w:r>
    </w:p>
    <w:p>
      <w:pPr>
        <w:sectPr>
          <w:pgSz w:w="11900" w:h="16838" w:orient="portrait"/>
          <w:cols w:equalWidth="0" w:num="1">
            <w:col w:w="11260"/>
          </w:cols>
          <w:pgMar w:left="320" w:top="1099"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2025 Executive Compensation (see page 21)</w:t>
      </w:r>
    </w:p>
    <w:p>
      <w:pPr>
        <w:spacing w:after="0" w:line="221" w:lineRule="exact"/>
        <w:rPr>
          <w:sz w:val="20"/>
          <w:szCs w:val="20"/>
          <w:color w:val="auto"/>
        </w:rPr>
      </w:pPr>
    </w:p>
    <w:p>
      <w:pPr>
        <w:jc w:val="both"/>
        <w:ind w:right="80" w:firstLine="619"/>
        <w:spacing w:after="0" w:line="270" w:lineRule="auto"/>
        <w:rPr>
          <w:sz w:val="20"/>
          <w:szCs w:val="20"/>
          <w:color w:val="auto"/>
        </w:rPr>
      </w:pPr>
      <w:r>
        <w:rPr>
          <w:rFonts w:ascii="Times New Roman" w:cs="Times New Roman" w:eastAsia="Times New Roman" w:hAnsi="Times New Roman"/>
          <w:sz w:val="17"/>
          <w:szCs w:val="17"/>
          <w:color w:val="auto"/>
        </w:rPr>
        <w:t>Compensation decisions regarding executive compensation are made by the Compensation Committee or, with respect to the Company’s Chief Executive Officer or Chief Operating Officer, by the Board of Directors. The Compensation Committee believes that a sensibly-structured, incentive-aligning compensation program is critical to the creation of long-term shareholder value. The following table summarizes certain highlights of our compensation practices: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1040" w:type="dxa"/>
            <w:vAlign w:val="bottom"/>
            <w:tcBorders>
              <w:top w:val="single" w:sz="8" w:color="auto"/>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What We Do:</w:t>
            </w:r>
          </w:p>
        </w:tc>
        <w:tc>
          <w:tcPr>
            <w:tcW w:w="4600" w:type="dxa"/>
            <w:vAlign w:val="bottom"/>
            <w:tcBorders>
              <w:top w:val="single" w:sz="8" w:color="auto"/>
              <w:bottom w:val="single" w:sz="8" w:color="auto"/>
              <w:right w:val="single" w:sz="8" w:color="auto"/>
            </w:tcBorders>
          </w:tcPr>
          <w:p>
            <w:pPr>
              <w:spacing w:after="0"/>
              <w:rPr>
                <w:sz w:val="20"/>
                <w:szCs w:val="20"/>
                <w:color w:val="auto"/>
              </w:rPr>
            </w:pPr>
          </w:p>
        </w:tc>
        <w:tc>
          <w:tcPr>
            <w:tcW w:w="562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What We Don’t Do:</w:t>
            </w:r>
          </w:p>
        </w:tc>
        <w:tc>
          <w:tcPr>
            <w:tcW w:w="0" w:type="dxa"/>
            <w:vAlign w:val="bottom"/>
          </w:tcPr>
          <w:p>
            <w:pPr>
              <w:spacing w:after="0"/>
              <w:rPr>
                <w:sz w:val="1"/>
                <w:szCs w:val="1"/>
                <w:color w:val="auto"/>
              </w:rPr>
            </w:pPr>
          </w:p>
        </w:tc>
      </w:tr>
      <w:tr>
        <w:trPr>
          <w:trHeight w:val="160"/>
        </w:trPr>
        <w:tc>
          <w:tcPr>
            <w:tcW w:w="1040" w:type="dxa"/>
            <w:vAlign w:val="bottom"/>
            <w:tcBorders>
              <w:left w:val="single" w:sz="8" w:color="auto"/>
              <w:right w:val="single" w:sz="8" w:color="auto"/>
            </w:tcBorders>
            <w:vMerge w:val="restart"/>
            <w:shd w:val="clear" w:color="auto" w:fill="BCBDC0"/>
          </w:tcPr>
          <w:p>
            <w:pPr>
              <w:jc w:val="center"/>
              <w:spacing w:after="0" w:line="481" w:lineRule="exact"/>
              <w:rPr>
                <w:sz w:val="20"/>
                <w:szCs w:val="20"/>
                <w:color w:val="auto"/>
              </w:rPr>
            </w:pPr>
            <w:r>
              <w:rPr>
                <w:rFonts w:ascii="MS PGothic" w:cs="MS PGothic" w:eastAsia="MS PGothic" w:hAnsi="MS PGothic"/>
                <w:sz w:val="48"/>
                <w:szCs w:val="48"/>
                <w:color w:val="auto"/>
                <w:highlight w:val="black"/>
                <w:w w:val="83"/>
              </w:rPr>
              <w:t>✔</w:t>
            </w:r>
          </w:p>
        </w:tc>
        <w:tc>
          <w:tcPr>
            <w:tcW w:w="4600" w:type="dxa"/>
            <w:vAlign w:val="bottom"/>
            <w:tcBorders>
              <w:right w:val="single" w:sz="8" w:color="auto"/>
            </w:tcBorders>
            <w:shd w:val="clear" w:color="auto" w:fill="BCBDC0"/>
          </w:tcPr>
          <w:p>
            <w:pPr>
              <w:ind w:left="20"/>
              <w:spacing w:after="0" w:line="161" w:lineRule="exact"/>
              <w:rPr>
                <w:sz w:val="20"/>
                <w:szCs w:val="20"/>
                <w:color w:val="auto"/>
              </w:rPr>
            </w:pPr>
            <w:r>
              <w:rPr>
                <w:rFonts w:ascii="Times New Roman" w:cs="Times New Roman" w:eastAsia="Times New Roman" w:hAnsi="Times New Roman"/>
                <w:sz w:val="17"/>
                <w:szCs w:val="17"/>
                <w:color w:val="auto"/>
              </w:rPr>
              <w:t>Align pay with performance by linking a substantial portion of</w:t>
            </w:r>
          </w:p>
        </w:tc>
        <w:tc>
          <w:tcPr>
            <w:tcW w:w="1020" w:type="dxa"/>
            <w:vAlign w:val="bottom"/>
            <w:tcBorders>
              <w:right w:val="single" w:sz="8" w:color="auto"/>
            </w:tcBorders>
            <w:vMerge w:val="restart"/>
            <w:shd w:val="clear" w:color="auto" w:fill="BCBDC0"/>
          </w:tcPr>
          <w:p>
            <w:pPr>
              <w:ind w:left="360"/>
              <w:spacing w:after="0"/>
              <w:rPr>
                <w:sz w:val="20"/>
                <w:szCs w:val="20"/>
                <w:color w:val="auto"/>
              </w:rPr>
            </w:pPr>
            <w:r>
              <w:rPr>
                <w:rFonts w:ascii="Arial" w:cs="Arial" w:eastAsia="Arial" w:hAnsi="Arial"/>
                <w:sz w:val="48"/>
                <w:szCs w:val="48"/>
                <w:b w:val="1"/>
                <w:bCs w:val="1"/>
                <w:color w:val="auto"/>
              </w:rPr>
              <w:t>x</w:t>
            </w:r>
          </w:p>
        </w:tc>
        <w:tc>
          <w:tcPr>
            <w:tcW w:w="4600" w:type="dxa"/>
            <w:vAlign w:val="bottom"/>
            <w:tcBorders>
              <w:right w:val="single" w:sz="8" w:color="auto"/>
            </w:tcBorders>
            <w:vMerge w:val="restart"/>
            <w:shd w:val="clear" w:color="auto" w:fill="BCBDC0"/>
          </w:tcPr>
          <w:p>
            <w:pPr>
              <w:ind w:left="20"/>
              <w:spacing w:after="0"/>
              <w:rPr>
                <w:sz w:val="20"/>
                <w:szCs w:val="20"/>
                <w:color w:val="auto"/>
              </w:rPr>
            </w:pPr>
            <w:r>
              <w:rPr>
                <w:rFonts w:ascii="Times New Roman" w:cs="Times New Roman" w:eastAsia="Times New Roman" w:hAnsi="Times New Roman"/>
                <w:sz w:val="17"/>
                <w:szCs w:val="17"/>
                <w:color w:val="auto"/>
              </w:rPr>
              <w:t>Do NOT provide tax gross-ups in any circumstance</w:t>
            </w:r>
          </w:p>
        </w:tc>
        <w:tc>
          <w:tcPr>
            <w:tcW w:w="0" w:type="dxa"/>
            <w:vAlign w:val="bottom"/>
          </w:tcPr>
          <w:p>
            <w:pPr>
              <w:spacing w:after="0"/>
              <w:rPr>
                <w:sz w:val="1"/>
                <w:szCs w:val="1"/>
                <w:color w:val="auto"/>
              </w:rPr>
            </w:pPr>
          </w:p>
        </w:tc>
      </w:tr>
      <w:tr>
        <w:trPr>
          <w:trHeight w:val="177"/>
        </w:trPr>
        <w:tc>
          <w:tcPr>
            <w:tcW w:w="1040" w:type="dxa"/>
            <w:vAlign w:val="bottom"/>
            <w:tcBorders>
              <w:left w:val="single" w:sz="8" w:color="auto"/>
              <w:right w:val="single" w:sz="8" w:color="auto"/>
            </w:tcBorders>
            <w:vMerge w:val="continue"/>
            <w:shd w:val="clear" w:color="auto" w:fill="BCBDC0"/>
          </w:tcPr>
          <w:p>
            <w:pPr>
              <w:spacing w:after="0"/>
              <w:rPr>
                <w:sz w:val="15"/>
                <w:szCs w:val="15"/>
                <w:color w:val="auto"/>
              </w:rPr>
            </w:pPr>
          </w:p>
        </w:tc>
        <w:tc>
          <w:tcPr>
            <w:tcW w:w="4600" w:type="dxa"/>
            <w:vAlign w:val="bottom"/>
            <w:tcBorders>
              <w:right w:val="single" w:sz="8" w:color="auto"/>
            </w:tcBorders>
            <w:shd w:val="clear" w:color="auto" w:fill="BCBDC0"/>
          </w:tcPr>
          <w:p>
            <w:pPr>
              <w:ind w:left="20"/>
              <w:spacing w:after="0" w:line="177" w:lineRule="exact"/>
              <w:rPr>
                <w:sz w:val="20"/>
                <w:szCs w:val="20"/>
                <w:color w:val="auto"/>
              </w:rPr>
            </w:pPr>
            <w:r>
              <w:rPr>
                <w:rFonts w:ascii="Times New Roman" w:cs="Times New Roman" w:eastAsia="Times New Roman" w:hAnsi="Times New Roman"/>
                <w:sz w:val="17"/>
                <w:szCs w:val="17"/>
                <w:color w:val="auto"/>
              </w:rPr>
              <w:t>compensation to the achievement of predefined performance</w:t>
            </w:r>
          </w:p>
        </w:tc>
        <w:tc>
          <w:tcPr>
            <w:tcW w:w="1020" w:type="dxa"/>
            <w:vAlign w:val="bottom"/>
            <w:tcBorders>
              <w:right w:val="single" w:sz="8" w:color="auto"/>
            </w:tcBorders>
            <w:vMerge w:val="continue"/>
            <w:shd w:val="clear" w:color="auto" w:fill="BCBDC0"/>
          </w:tcPr>
          <w:p>
            <w:pPr>
              <w:spacing w:after="0"/>
              <w:rPr>
                <w:sz w:val="15"/>
                <w:szCs w:val="15"/>
                <w:color w:val="auto"/>
              </w:rPr>
            </w:pPr>
          </w:p>
        </w:tc>
        <w:tc>
          <w:tcPr>
            <w:tcW w:w="4600" w:type="dxa"/>
            <w:vAlign w:val="bottom"/>
            <w:tcBorders>
              <w:right w:val="single" w:sz="8" w:color="auto"/>
            </w:tcBorders>
            <w:vMerge w:val="continue"/>
            <w:shd w:val="clear" w:color="auto" w:fill="BCBDC0"/>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vMerge w:val="continue"/>
            <w:shd w:val="clear" w:color="auto" w:fill="BCBDC0"/>
          </w:tcPr>
          <w:p>
            <w:pPr>
              <w:spacing w:after="0"/>
              <w:rPr>
                <w:sz w:val="19"/>
                <w:szCs w:val="19"/>
                <w:color w:val="auto"/>
              </w:rPr>
            </w:pPr>
          </w:p>
        </w:tc>
        <w:tc>
          <w:tcPr>
            <w:tcW w:w="4600" w:type="dxa"/>
            <w:vAlign w:val="bottom"/>
            <w:tcBorders>
              <w:bottom w:val="single" w:sz="8" w:color="auto"/>
              <w:right w:val="single" w:sz="8" w:color="auto"/>
            </w:tcBorders>
            <w:shd w:val="clear" w:color="auto" w:fill="BCBDC0"/>
          </w:tcPr>
          <w:p>
            <w:pPr>
              <w:ind w:left="20"/>
              <w:spacing w:after="0"/>
              <w:rPr>
                <w:sz w:val="20"/>
                <w:szCs w:val="20"/>
                <w:color w:val="auto"/>
              </w:rPr>
            </w:pPr>
            <w:r>
              <w:rPr>
                <w:rFonts w:ascii="Times New Roman" w:cs="Times New Roman" w:eastAsia="Times New Roman" w:hAnsi="Times New Roman"/>
                <w:sz w:val="17"/>
                <w:szCs w:val="17"/>
                <w:color w:val="auto"/>
              </w:rPr>
              <w:t>metrics and share price</w:t>
            </w:r>
          </w:p>
        </w:tc>
        <w:tc>
          <w:tcPr>
            <w:tcW w:w="1020" w:type="dxa"/>
            <w:vAlign w:val="bottom"/>
            <w:tcBorders>
              <w:bottom w:val="single" w:sz="8" w:color="auto"/>
              <w:right w:val="single" w:sz="8" w:color="auto"/>
            </w:tcBorders>
            <w:vMerge w:val="continue"/>
            <w:shd w:val="clear" w:color="auto" w:fill="BCBDC0"/>
          </w:tcPr>
          <w:p>
            <w:pPr>
              <w:spacing w:after="0"/>
              <w:rPr>
                <w:sz w:val="19"/>
                <w:szCs w:val="19"/>
                <w:color w:val="auto"/>
              </w:rPr>
            </w:pPr>
          </w:p>
        </w:tc>
        <w:tc>
          <w:tcPr>
            <w:tcW w:w="4600" w:type="dxa"/>
            <w:vAlign w:val="bottom"/>
            <w:tcBorders>
              <w:bottom w:val="single" w:sz="8" w:color="auto"/>
              <w:right w:val="single" w:sz="8" w:color="auto"/>
            </w:tcBorders>
            <w:shd w:val="clear" w:color="auto" w:fill="BCBDC0"/>
          </w:tcPr>
          <w:p>
            <w:pPr>
              <w:spacing w:after="0"/>
              <w:rPr>
                <w:sz w:val="19"/>
                <w:szCs w:val="19"/>
                <w:color w:val="auto"/>
              </w:rPr>
            </w:pPr>
          </w:p>
        </w:tc>
        <w:tc>
          <w:tcPr>
            <w:tcW w:w="0" w:type="dxa"/>
            <w:vAlign w:val="bottom"/>
          </w:tcPr>
          <w:p>
            <w:pPr>
              <w:spacing w:after="0"/>
              <w:rPr>
                <w:sz w:val="1"/>
                <w:szCs w:val="1"/>
                <w:color w:val="auto"/>
              </w:rPr>
            </w:pPr>
          </w:p>
        </w:tc>
      </w:tr>
      <w:tr>
        <w:trPr>
          <w:trHeight w:val="521"/>
        </w:trPr>
        <w:tc>
          <w:tcPr>
            <w:tcW w:w="1040" w:type="dxa"/>
            <w:vAlign w:val="bottom"/>
            <w:tcBorders>
              <w:left w:val="single" w:sz="8" w:color="auto"/>
              <w:bottom w:val="single" w:sz="8" w:color="auto"/>
              <w:right w:val="single" w:sz="8" w:color="auto"/>
            </w:tcBorders>
          </w:tcPr>
          <w:p>
            <w:pPr>
              <w:jc w:val="center"/>
              <w:spacing w:after="0" w:line="481" w:lineRule="exact"/>
              <w:rPr>
                <w:sz w:val="20"/>
                <w:szCs w:val="20"/>
                <w:color w:val="auto"/>
              </w:rPr>
            </w:pPr>
            <w:r>
              <w:rPr>
                <w:rFonts w:ascii="MS PGothic" w:cs="MS PGothic" w:eastAsia="MS PGothic" w:hAnsi="MS PGothic"/>
                <w:sz w:val="48"/>
                <w:szCs w:val="48"/>
                <w:color w:val="auto"/>
                <w:highlight w:val="black"/>
                <w:w w:val="83"/>
              </w:rPr>
              <w:t>✔</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Retain an independent compensation consultant</w:t>
            </w:r>
          </w:p>
        </w:tc>
        <w:tc>
          <w:tcPr>
            <w:tcW w:w="1020" w:type="dxa"/>
            <w:vAlign w:val="bottom"/>
            <w:tcBorders>
              <w:bottom w:val="single" w:sz="8" w:color="auto"/>
              <w:right w:val="single" w:sz="8" w:color="auto"/>
            </w:tcBorders>
          </w:tcPr>
          <w:p>
            <w:pPr>
              <w:ind w:left="360"/>
              <w:spacing w:after="0" w:line="520" w:lineRule="exact"/>
              <w:rPr>
                <w:sz w:val="20"/>
                <w:szCs w:val="20"/>
                <w:color w:val="auto"/>
              </w:rPr>
            </w:pPr>
            <w:r>
              <w:rPr>
                <w:rFonts w:ascii="Arial" w:cs="Arial" w:eastAsia="Arial" w:hAnsi="Arial"/>
                <w:sz w:val="48"/>
                <w:szCs w:val="48"/>
                <w:b w:val="1"/>
                <w:bCs w:val="1"/>
                <w:color w:val="auto"/>
              </w:rPr>
              <w:t>x</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Do NOT provide excessive perquisites for executives</w:t>
            </w:r>
          </w:p>
        </w:tc>
        <w:tc>
          <w:tcPr>
            <w:tcW w:w="0" w:type="dxa"/>
            <w:vAlign w:val="bottom"/>
          </w:tcPr>
          <w:p>
            <w:pPr>
              <w:spacing w:after="0"/>
              <w:rPr>
                <w:sz w:val="1"/>
                <w:szCs w:val="1"/>
                <w:color w:val="auto"/>
              </w:rPr>
            </w:pPr>
          </w:p>
        </w:tc>
      </w:tr>
      <w:tr>
        <w:trPr>
          <w:trHeight w:val="225"/>
        </w:trPr>
        <w:tc>
          <w:tcPr>
            <w:tcW w:w="1040" w:type="dxa"/>
            <w:vAlign w:val="bottom"/>
            <w:tcBorders>
              <w:left w:val="single" w:sz="8" w:color="auto"/>
              <w:right w:val="single" w:sz="8" w:color="auto"/>
            </w:tcBorders>
            <w:vMerge w:val="restart"/>
            <w:shd w:val="clear" w:color="auto" w:fill="BCBDC0"/>
          </w:tcPr>
          <w:p>
            <w:pPr>
              <w:jc w:val="center"/>
              <w:spacing w:after="0" w:line="481" w:lineRule="exact"/>
              <w:rPr>
                <w:sz w:val="20"/>
                <w:szCs w:val="20"/>
                <w:color w:val="auto"/>
              </w:rPr>
            </w:pPr>
            <w:r>
              <w:rPr>
                <w:rFonts w:ascii="MS PGothic" w:cs="MS PGothic" w:eastAsia="MS PGothic" w:hAnsi="MS PGothic"/>
                <w:sz w:val="48"/>
                <w:szCs w:val="48"/>
                <w:color w:val="auto"/>
                <w:highlight w:val="black"/>
                <w:w w:val="83"/>
              </w:rPr>
              <w:t>✔</w:t>
            </w:r>
          </w:p>
        </w:tc>
        <w:tc>
          <w:tcPr>
            <w:tcW w:w="4600" w:type="dxa"/>
            <w:vAlign w:val="bottom"/>
            <w:tcBorders>
              <w:right w:val="single" w:sz="8" w:color="auto"/>
            </w:tcBorders>
            <w:shd w:val="clear" w:color="auto" w:fill="BCBDC0"/>
          </w:tcPr>
          <w:p>
            <w:pPr>
              <w:ind w:left="20"/>
              <w:spacing w:after="0"/>
              <w:rPr>
                <w:sz w:val="20"/>
                <w:szCs w:val="20"/>
                <w:color w:val="auto"/>
              </w:rPr>
            </w:pPr>
            <w:r>
              <w:rPr>
                <w:rFonts w:ascii="Times New Roman" w:cs="Times New Roman" w:eastAsia="Times New Roman" w:hAnsi="Times New Roman"/>
                <w:sz w:val="17"/>
                <w:szCs w:val="17"/>
                <w:color w:val="auto"/>
              </w:rPr>
              <w:t>Require compliance with stock ownership guidelines for directors</w:t>
            </w:r>
          </w:p>
        </w:tc>
        <w:tc>
          <w:tcPr>
            <w:tcW w:w="1020" w:type="dxa"/>
            <w:vAlign w:val="bottom"/>
            <w:tcBorders>
              <w:right w:val="single" w:sz="8" w:color="auto"/>
            </w:tcBorders>
            <w:vMerge w:val="restart"/>
            <w:shd w:val="clear" w:color="auto" w:fill="BCBDC0"/>
          </w:tcPr>
          <w:p>
            <w:pPr>
              <w:ind w:left="360"/>
              <w:spacing w:after="0" w:line="520" w:lineRule="exact"/>
              <w:rPr>
                <w:sz w:val="20"/>
                <w:szCs w:val="20"/>
                <w:color w:val="auto"/>
              </w:rPr>
            </w:pPr>
            <w:r>
              <w:rPr>
                <w:rFonts w:ascii="Arial" w:cs="Arial" w:eastAsia="Arial" w:hAnsi="Arial"/>
                <w:sz w:val="48"/>
                <w:szCs w:val="48"/>
                <w:b w:val="1"/>
                <w:bCs w:val="1"/>
                <w:color w:val="auto"/>
              </w:rPr>
              <w:t>x</w:t>
            </w:r>
          </w:p>
        </w:tc>
        <w:tc>
          <w:tcPr>
            <w:tcW w:w="4600" w:type="dxa"/>
            <w:vAlign w:val="bottom"/>
            <w:tcBorders>
              <w:right w:val="single" w:sz="8" w:color="auto"/>
            </w:tcBorders>
            <w:vMerge w:val="restart"/>
            <w:shd w:val="clear" w:color="auto" w:fill="BCBDC0"/>
          </w:tcPr>
          <w:p>
            <w:pPr>
              <w:ind w:left="20"/>
              <w:spacing w:after="0"/>
              <w:rPr>
                <w:sz w:val="20"/>
                <w:szCs w:val="20"/>
                <w:color w:val="auto"/>
              </w:rPr>
            </w:pPr>
            <w:r>
              <w:rPr>
                <w:rFonts w:ascii="Times New Roman" w:cs="Times New Roman" w:eastAsia="Times New Roman" w:hAnsi="Times New Roman"/>
                <w:sz w:val="17"/>
                <w:szCs w:val="17"/>
                <w:color w:val="auto"/>
              </w:rPr>
              <w:t>Do NOT provide guaranteed bonuses</w:t>
            </w:r>
          </w:p>
        </w:tc>
        <w:tc>
          <w:tcPr>
            <w:tcW w:w="0" w:type="dxa"/>
            <w:vAlign w:val="bottom"/>
          </w:tcPr>
          <w:p>
            <w:pPr>
              <w:spacing w:after="0"/>
              <w:rPr>
                <w:sz w:val="1"/>
                <w:szCs w:val="1"/>
                <w:color w:val="auto"/>
              </w:rPr>
            </w:pPr>
          </w:p>
        </w:tc>
      </w:tr>
      <w:tr>
        <w:trPr>
          <w:trHeight w:val="142"/>
        </w:trPr>
        <w:tc>
          <w:tcPr>
            <w:tcW w:w="1040" w:type="dxa"/>
            <w:vAlign w:val="bottom"/>
            <w:tcBorders>
              <w:left w:val="single" w:sz="8" w:color="auto"/>
              <w:right w:val="single" w:sz="8" w:color="auto"/>
            </w:tcBorders>
            <w:vMerge w:val="continue"/>
            <w:shd w:val="clear" w:color="auto" w:fill="BCBDC0"/>
          </w:tcPr>
          <w:p>
            <w:pPr>
              <w:spacing w:after="0"/>
              <w:rPr>
                <w:sz w:val="12"/>
                <w:szCs w:val="12"/>
                <w:color w:val="auto"/>
              </w:rPr>
            </w:pPr>
          </w:p>
        </w:tc>
        <w:tc>
          <w:tcPr>
            <w:tcW w:w="4600" w:type="dxa"/>
            <w:vAlign w:val="bottom"/>
            <w:tcBorders>
              <w:right w:val="single" w:sz="8" w:color="auto"/>
            </w:tcBorders>
            <w:vMerge w:val="restart"/>
            <w:shd w:val="clear" w:color="auto" w:fill="BCBDC0"/>
          </w:tcPr>
          <w:p>
            <w:pPr>
              <w:ind w:left="20"/>
              <w:spacing w:after="0" w:line="194" w:lineRule="exact"/>
              <w:rPr>
                <w:sz w:val="20"/>
                <w:szCs w:val="20"/>
                <w:color w:val="auto"/>
              </w:rPr>
            </w:pPr>
            <w:r>
              <w:rPr>
                <w:rFonts w:ascii="Times New Roman" w:cs="Times New Roman" w:eastAsia="Times New Roman" w:hAnsi="Times New Roman"/>
                <w:sz w:val="17"/>
                <w:szCs w:val="17"/>
                <w:color w:val="auto"/>
              </w:rPr>
              <w:t>and executive officers</w:t>
            </w:r>
          </w:p>
        </w:tc>
        <w:tc>
          <w:tcPr>
            <w:tcW w:w="1020" w:type="dxa"/>
            <w:vAlign w:val="bottom"/>
            <w:tcBorders>
              <w:right w:val="single" w:sz="8" w:color="auto"/>
            </w:tcBorders>
            <w:vMerge w:val="continue"/>
            <w:shd w:val="clear" w:color="auto" w:fill="BCBDC0"/>
          </w:tcPr>
          <w:p>
            <w:pPr>
              <w:spacing w:after="0"/>
              <w:rPr>
                <w:sz w:val="12"/>
                <w:szCs w:val="12"/>
                <w:color w:val="auto"/>
              </w:rPr>
            </w:pPr>
          </w:p>
        </w:tc>
        <w:tc>
          <w:tcPr>
            <w:tcW w:w="4600" w:type="dxa"/>
            <w:vAlign w:val="bottom"/>
            <w:tcBorders>
              <w:right w:val="single" w:sz="8" w:color="auto"/>
            </w:tcBorders>
            <w:vMerge w:val="continue"/>
            <w:shd w:val="clear" w:color="auto" w:fill="BCBDC0"/>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1040" w:type="dxa"/>
            <w:vAlign w:val="bottom"/>
            <w:tcBorders>
              <w:left w:val="single" w:sz="8" w:color="auto"/>
              <w:right w:val="single" w:sz="8" w:color="auto"/>
            </w:tcBorders>
            <w:vMerge w:val="continue"/>
            <w:shd w:val="clear" w:color="auto" w:fill="BCBDC0"/>
          </w:tcPr>
          <w:p>
            <w:pPr>
              <w:spacing w:after="0"/>
              <w:rPr>
                <w:sz w:val="4"/>
                <w:szCs w:val="4"/>
                <w:color w:val="auto"/>
              </w:rPr>
            </w:pPr>
          </w:p>
        </w:tc>
        <w:tc>
          <w:tcPr>
            <w:tcW w:w="4600" w:type="dxa"/>
            <w:vAlign w:val="bottom"/>
            <w:tcBorders>
              <w:right w:val="single" w:sz="8" w:color="auto"/>
            </w:tcBorders>
            <w:vMerge w:val="continue"/>
            <w:shd w:val="clear" w:color="auto" w:fill="BCBDC0"/>
          </w:tcPr>
          <w:p>
            <w:pPr>
              <w:spacing w:after="0"/>
              <w:rPr>
                <w:sz w:val="4"/>
                <w:szCs w:val="4"/>
                <w:color w:val="auto"/>
              </w:rPr>
            </w:pPr>
          </w:p>
        </w:tc>
        <w:tc>
          <w:tcPr>
            <w:tcW w:w="1020" w:type="dxa"/>
            <w:vAlign w:val="bottom"/>
            <w:tcBorders>
              <w:right w:val="single" w:sz="8" w:color="auto"/>
            </w:tcBorders>
            <w:vMerge w:val="continue"/>
            <w:shd w:val="clear" w:color="auto" w:fill="BCBDC0"/>
          </w:tcPr>
          <w:p>
            <w:pPr>
              <w:spacing w:after="0"/>
              <w:rPr>
                <w:sz w:val="4"/>
                <w:szCs w:val="4"/>
                <w:color w:val="auto"/>
              </w:rPr>
            </w:pPr>
          </w:p>
        </w:tc>
        <w:tc>
          <w:tcPr>
            <w:tcW w:w="4600" w:type="dxa"/>
            <w:vAlign w:val="bottom"/>
            <w:tcBorders>
              <w:right w:val="single" w:sz="8" w:color="auto"/>
            </w:tcBorders>
            <w:shd w:val="clear" w:color="auto" w:fill="BCBDC0"/>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040" w:type="dxa"/>
            <w:vAlign w:val="bottom"/>
            <w:tcBorders>
              <w:left w:val="single" w:sz="8" w:color="auto"/>
              <w:bottom w:val="single" w:sz="8" w:color="auto"/>
              <w:right w:val="single" w:sz="8" w:color="auto"/>
            </w:tcBorders>
            <w:vMerge w:val="continue"/>
            <w:shd w:val="clear" w:color="auto" w:fill="BCBDC0"/>
          </w:tcPr>
          <w:p>
            <w:pPr>
              <w:spacing w:after="0"/>
              <w:rPr>
                <w:sz w:val="8"/>
                <w:szCs w:val="8"/>
                <w:color w:val="auto"/>
              </w:rPr>
            </w:pPr>
          </w:p>
        </w:tc>
        <w:tc>
          <w:tcPr>
            <w:tcW w:w="4600" w:type="dxa"/>
            <w:vAlign w:val="bottom"/>
            <w:tcBorders>
              <w:bottom w:val="single" w:sz="8" w:color="auto"/>
              <w:right w:val="single" w:sz="8" w:color="auto"/>
            </w:tcBorders>
            <w:shd w:val="clear" w:color="auto" w:fill="BCBDC0"/>
          </w:tcPr>
          <w:p>
            <w:pPr>
              <w:spacing w:after="0"/>
              <w:rPr>
                <w:sz w:val="8"/>
                <w:szCs w:val="8"/>
                <w:color w:val="auto"/>
              </w:rPr>
            </w:pPr>
          </w:p>
        </w:tc>
        <w:tc>
          <w:tcPr>
            <w:tcW w:w="1020" w:type="dxa"/>
            <w:vAlign w:val="bottom"/>
            <w:tcBorders>
              <w:bottom w:val="single" w:sz="8" w:color="auto"/>
              <w:right w:val="single" w:sz="8" w:color="auto"/>
            </w:tcBorders>
            <w:vMerge w:val="continue"/>
            <w:shd w:val="clear" w:color="auto" w:fill="BCBDC0"/>
          </w:tcPr>
          <w:p>
            <w:pPr>
              <w:spacing w:after="0"/>
              <w:rPr>
                <w:sz w:val="8"/>
                <w:szCs w:val="8"/>
                <w:color w:val="auto"/>
              </w:rPr>
            </w:pPr>
          </w:p>
        </w:tc>
        <w:tc>
          <w:tcPr>
            <w:tcW w:w="4600" w:type="dxa"/>
            <w:vAlign w:val="bottom"/>
            <w:tcBorders>
              <w:bottom w:val="single" w:sz="8" w:color="auto"/>
              <w:right w:val="single" w:sz="8" w:color="auto"/>
            </w:tcBorders>
            <w:shd w:val="clear" w:color="auto" w:fill="BCBDC0"/>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040" w:type="dxa"/>
            <w:vAlign w:val="bottom"/>
            <w:tcBorders>
              <w:left w:val="single" w:sz="8" w:color="auto"/>
              <w:right w:val="single" w:sz="8" w:color="auto"/>
            </w:tcBorders>
            <w:vMerge w:val="restart"/>
          </w:tcPr>
          <w:p>
            <w:pPr>
              <w:jc w:val="center"/>
              <w:spacing w:after="0" w:line="481" w:lineRule="exact"/>
              <w:rPr>
                <w:sz w:val="20"/>
                <w:szCs w:val="20"/>
                <w:color w:val="auto"/>
              </w:rPr>
            </w:pPr>
            <w:r>
              <w:rPr>
                <w:rFonts w:ascii="MS PGothic" w:cs="MS PGothic" w:eastAsia="MS PGothic" w:hAnsi="MS PGothic"/>
                <w:sz w:val="48"/>
                <w:szCs w:val="48"/>
                <w:color w:val="auto"/>
                <w:highlight w:val="black"/>
                <w:w w:val="83"/>
              </w:rPr>
              <w:t>✔</w:t>
            </w:r>
          </w:p>
        </w:tc>
        <w:tc>
          <w:tcPr>
            <w:tcW w:w="4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Place caps on incentive award opportunities</w:t>
            </w:r>
          </w:p>
        </w:tc>
        <w:tc>
          <w:tcPr>
            <w:tcW w:w="1020" w:type="dxa"/>
            <w:vAlign w:val="bottom"/>
            <w:tcBorders>
              <w:right w:val="single" w:sz="8" w:color="auto"/>
            </w:tcBorders>
            <w:vMerge w:val="restart"/>
          </w:tcPr>
          <w:p>
            <w:pPr>
              <w:ind w:left="360"/>
              <w:spacing w:after="0" w:line="520" w:lineRule="exact"/>
              <w:rPr>
                <w:sz w:val="20"/>
                <w:szCs w:val="20"/>
                <w:color w:val="auto"/>
              </w:rPr>
            </w:pPr>
            <w:r>
              <w:rPr>
                <w:rFonts w:ascii="Arial" w:cs="Arial" w:eastAsia="Arial" w:hAnsi="Arial"/>
                <w:sz w:val="48"/>
                <w:szCs w:val="48"/>
                <w:b w:val="1"/>
                <w:bCs w:val="1"/>
                <w:color w:val="auto"/>
              </w:rPr>
              <w:t>x</w:t>
            </w:r>
          </w:p>
        </w:tc>
        <w:tc>
          <w:tcPr>
            <w:tcW w:w="4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Do NOT provide discount stock options or stock appreciation</w:t>
            </w:r>
          </w:p>
        </w:tc>
        <w:tc>
          <w:tcPr>
            <w:tcW w:w="0" w:type="dxa"/>
            <w:vAlign w:val="bottom"/>
          </w:tcPr>
          <w:p>
            <w:pPr>
              <w:spacing w:after="0"/>
              <w:rPr>
                <w:sz w:val="1"/>
                <w:szCs w:val="1"/>
                <w:color w:val="auto"/>
              </w:rPr>
            </w:pPr>
          </w:p>
        </w:tc>
      </w:tr>
      <w:tr>
        <w:trPr>
          <w:trHeight w:val="142"/>
        </w:trPr>
        <w:tc>
          <w:tcPr>
            <w:tcW w:w="1040" w:type="dxa"/>
            <w:vAlign w:val="bottom"/>
            <w:tcBorders>
              <w:left w:val="single" w:sz="8" w:color="auto"/>
              <w:right w:val="single" w:sz="8" w:color="auto"/>
            </w:tcBorders>
            <w:vMerge w:val="continue"/>
          </w:tcPr>
          <w:p>
            <w:pPr>
              <w:spacing w:after="0"/>
              <w:rPr>
                <w:sz w:val="12"/>
                <w:szCs w:val="12"/>
                <w:color w:val="auto"/>
              </w:rPr>
            </w:pPr>
          </w:p>
        </w:tc>
        <w:tc>
          <w:tcPr>
            <w:tcW w:w="460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4600" w:type="dxa"/>
            <w:vAlign w:val="bottom"/>
            <w:tcBorders>
              <w:right w:val="single" w:sz="8" w:color="auto"/>
            </w:tcBorders>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auto"/>
              </w:rPr>
              <w:t>rights</w:t>
            </w:r>
          </w:p>
        </w:tc>
        <w:tc>
          <w:tcPr>
            <w:tcW w:w="0" w:type="dxa"/>
            <w:vAlign w:val="bottom"/>
          </w:tcPr>
          <w:p>
            <w:pPr>
              <w:spacing w:after="0"/>
              <w:rPr>
                <w:sz w:val="1"/>
                <w:szCs w:val="1"/>
                <w:color w:val="auto"/>
              </w:rPr>
            </w:pPr>
          </w:p>
        </w:tc>
      </w:tr>
      <w:tr>
        <w:trPr>
          <w:trHeight w:val="51"/>
        </w:trPr>
        <w:tc>
          <w:tcPr>
            <w:tcW w:w="1040" w:type="dxa"/>
            <w:vAlign w:val="bottom"/>
            <w:tcBorders>
              <w:left w:val="single" w:sz="8" w:color="auto"/>
              <w:right w:val="single" w:sz="8" w:color="auto"/>
            </w:tcBorders>
            <w:vMerge w:val="continue"/>
          </w:tcPr>
          <w:p>
            <w:pPr>
              <w:spacing w:after="0"/>
              <w:rPr>
                <w:sz w:val="4"/>
                <w:szCs w:val="4"/>
                <w:color w:val="auto"/>
              </w:rPr>
            </w:pPr>
          </w:p>
        </w:tc>
        <w:tc>
          <w:tcPr>
            <w:tcW w:w="460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46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0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46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vMerge w:val="continue"/>
          </w:tcPr>
          <w:p>
            <w:pPr>
              <w:spacing w:after="0"/>
              <w:rPr>
                <w:sz w:val="8"/>
                <w:szCs w:val="8"/>
                <w:color w:val="auto"/>
              </w:rPr>
            </w:pPr>
          </w:p>
        </w:tc>
        <w:tc>
          <w:tcPr>
            <w:tcW w:w="4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1"/>
        </w:trPr>
        <w:tc>
          <w:tcPr>
            <w:tcW w:w="1040" w:type="dxa"/>
            <w:vAlign w:val="bottom"/>
            <w:tcBorders>
              <w:left w:val="single" w:sz="8" w:color="auto"/>
              <w:bottom w:val="single" w:sz="8" w:color="auto"/>
              <w:right w:val="single" w:sz="8" w:color="auto"/>
            </w:tcBorders>
            <w:shd w:val="clear" w:color="auto" w:fill="BCBDC0"/>
          </w:tcPr>
          <w:p>
            <w:pPr>
              <w:jc w:val="center"/>
              <w:spacing w:after="0" w:line="481" w:lineRule="exact"/>
              <w:rPr>
                <w:sz w:val="20"/>
                <w:szCs w:val="20"/>
                <w:color w:val="auto"/>
              </w:rPr>
            </w:pPr>
            <w:r>
              <w:rPr>
                <w:rFonts w:ascii="MS PGothic" w:cs="MS PGothic" w:eastAsia="MS PGothic" w:hAnsi="MS PGothic"/>
                <w:sz w:val="48"/>
                <w:szCs w:val="48"/>
                <w:color w:val="auto"/>
                <w:highlight w:val="black"/>
                <w:w w:val="83"/>
              </w:rPr>
              <w:t>✔</w:t>
            </w:r>
          </w:p>
        </w:tc>
        <w:tc>
          <w:tcPr>
            <w:tcW w:w="4600" w:type="dxa"/>
            <w:vAlign w:val="bottom"/>
            <w:tcBorders>
              <w:bottom w:val="single" w:sz="8" w:color="auto"/>
              <w:right w:val="single" w:sz="8" w:color="auto"/>
            </w:tcBorders>
            <w:shd w:val="clear" w:color="auto" w:fill="BCBDC0"/>
          </w:tcPr>
          <w:p>
            <w:pPr>
              <w:ind w:left="20"/>
              <w:spacing w:after="0"/>
              <w:rPr>
                <w:sz w:val="20"/>
                <w:szCs w:val="20"/>
                <w:color w:val="auto"/>
              </w:rPr>
            </w:pPr>
            <w:r>
              <w:rPr>
                <w:rFonts w:ascii="Times New Roman" w:cs="Times New Roman" w:eastAsia="Times New Roman" w:hAnsi="Times New Roman"/>
                <w:sz w:val="17"/>
                <w:szCs w:val="17"/>
                <w:color w:val="auto"/>
              </w:rPr>
              <w:t>Maintain a clawback policy</w:t>
            </w:r>
          </w:p>
        </w:tc>
        <w:tc>
          <w:tcPr>
            <w:tcW w:w="1020" w:type="dxa"/>
            <w:vAlign w:val="bottom"/>
            <w:tcBorders>
              <w:bottom w:val="single" w:sz="8" w:color="auto"/>
              <w:right w:val="single" w:sz="8" w:color="auto"/>
            </w:tcBorders>
            <w:shd w:val="clear" w:color="auto" w:fill="BCBDC0"/>
          </w:tcPr>
          <w:p>
            <w:pPr>
              <w:ind w:left="360"/>
              <w:spacing w:after="0" w:line="520" w:lineRule="exact"/>
              <w:rPr>
                <w:sz w:val="20"/>
                <w:szCs w:val="20"/>
                <w:color w:val="auto"/>
              </w:rPr>
            </w:pPr>
            <w:r>
              <w:rPr>
                <w:rFonts w:ascii="Arial" w:cs="Arial" w:eastAsia="Arial" w:hAnsi="Arial"/>
                <w:sz w:val="48"/>
                <w:szCs w:val="48"/>
                <w:b w:val="1"/>
                <w:bCs w:val="1"/>
                <w:color w:val="auto"/>
              </w:rPr>
              <w:t>x</w:t>
            </w:r>
          </w:p>
        </w:tc>
        <w:tc>
          <w:tcPr>
            <w:tcW w:w="4600" w:type="dxa"/>
            <w:vAlign w:val="bottom"/>
            <w:tcBorders>
              <w:bottom w:val="single" w:sz="8" w:color="auto"/>
              <w:right w:val="single" w:sz="8" w:color="auto"/>
            </w:tcBorders>
            <w:shd w:val="clear" w:color="auto" w:fill="BCBDC0"/>
          </w:tcPr>
          <w:p>
            <w:pPr>
              <w:ind w:left="20"/>
              <w:spacing w:after="0"/>
              <w:rPr>
                <w:sz w:val="20"/>
                <w:szCs w:val="20"/>
                <w:color w:val="auto"/>
              </w:rPr>
            </w:pPr>
            <w:r>
              <w:rPr>
                <w:rFonts w:ascii="Times New Roman" w:cs="Times New Roman" w:eastAsia="Times New Roman" w:hAnsi="Times New Roman"/>
                <w:sz w:val="17"/>
                <w:szCs w:val="17"/>
                <w:color w:val="auto"/>
              </w:rPr>
              <w:t>Do NOT pay dividends on performance units prior to vesting</w:t>
            </w:r>
          </w:p>
        </w:tc>
        <w:tc>
          <w:tcPr>
            <w:tcW w:w="0" w:type="dxa"/>
            <w:vAlign w:val="bottom"/>
          </w:tcPr>
          <w:p>
            <w:pPr>
              <w:spacing w:after="0"/>
              <w:rPr>
                <w:sz w:val="1"/>
                <w:szCs w:val="1"/>
                <w:color w:val="auto"/>
              </w:rPr>
            </w:pPr>
          </w:p>
        </w:tc>
      </w:tr>
      <w:tr>
        <w:trPr>
          <w:trHeight w:val="521"/>
        </w:trPr>
        <w:tc>
          <w:tcPr>
            <w:tcW w:w="1040" w:type="dxa"/>
            <w:vAlign w:val="bottom"/>
            <w:tcBorders>
              <w:left w:val="single" w:sz="8" w:color="auto"/>
              <w:bottom w:val="single" w:sz="8" w:color="auto"/>
              <w:right w:val="single" w:sz="8" w:color="auto"/>
            </w:tcBorders>
          </w:tcPr>
          <w:p>
            <w:pPr>
              <w:jc w:val="center"/>
              <w:spacing w:after="0" w:line="481" w:lineRule="exact"/>
              <w:rPr>
                <w:sz w:val="20"/>
                <w:szCs w:val="20"/>
                <w:color w:val="auto"/>
              </w:rPr>
            </w:pPr>
            <w:r>
              <w:rPr>
                <w:rFonts w:ascii="MS PGothic" w:cs="MS PGothic" w:eastAsia="MS PGothic" w:hAnsi="MS PGothic"/>
                <w:sz w:val="48"/>
                <w:szCs w:val="48"/>
                <w:color w:val="auto"/>
                <w:highlight w:val="black"/>
                <w:w w:val="83"/>
              </w:rPr>
              <w:t>✔</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Prohibit hedging of Company shares and option trading</w:t>
            </w:r>
          </w:p>
        </w:tc>
        <w:tc>
          <w:tcPr>
            <w:tcW w:w="1020" w:type="dxa"/>
            <w:vAlign w:val="bottom"/>
            <w:tcBorders>
              <w:bottom w:val="single" w:sz="8" w:color="auto"/>
              <w:right w:val="single" w:sz="8" w:color="auto"/>
            </w:tcBorders>
          </w:tcPr>
          <w:p>
            <w:pPr>
              <w:ind w:left="360"/>
              <w:spacing w:after="0" w:line="520" w:lineRule="exact"/>
              <w:rPr>
                <w:sz w:val="20"/>
                <w:szCs w:val="20"/>
                <w:color w:val="auto"/>
              </w:rPr>
            </w:pPr>
            <w:r>
              <w:rPr>
                <w:rFonts w:ascii="Arial" w:cs="Arial" w:eastAsia="Arial" w:hAnsi="Arial"/>
                <w:sz w:val="48"/>
                <w:szCs w:val="48"/>
                <w:b w:val="1"/>
                <w:bCs w:val="1"/>
                <w:color w:val="auto"/>
              </w:rPr>
              <w:t>x</w:t>
            </w: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Do NOT permit unapproved pledging of our common stock</w:t>
            </w:r>
          </w:p>
        </w:tc>
        <w:tc>
          <w:tcPr>
            <w:tcW w:w="0" w:type="dxa"/>
            <w:vAlign w:val="bottom"/>
          </w:tcPr>
          <w:p>
            <w:pPr>
              <w:spacing w:after="0"/>
              <w:rPr>
                <w:sz w:val="1"/>
                <w:szCs w:val="1"/>
                <w:color w:val="auto"/>
              </w:rPr>
            </w:pPr>
          </w:p>
        </w:tc>
      </w:tr>
      <w:tr>
        <w:trPr>
          <w:trHeight w:val="225"/>
        </w:trPr>
        <w:tc>
          <w:tcPr>
            <w:tcW w:w="1040" w:type="dxa"/>
            <w:vAlign w:val="bottom"/>
            <w:tcBorders>
              <w:left w:val="single" w:sz="8" w:color="auto"/>
              <w:right w:val="single" w:sz="8" w:color="auto"/>
            </w:tcBorders>
            <w:shd w:val="clear" w:color="auto" w:fill="BCBDC0"/>
          </w:tcPr>
          <w:p>
            <w:pPr>
              <w:spacing w:after="0"/>
              <w:rPr>
                <w:sz w:val="19"/>
                <w:szCs w:val="19"/>
                <w:color w:val="auto"/>
              </w:rPr>
            </w:pPr>
          </w:p>
        </w:tc>
        <w:tc>
          <w:tcPr>
            <w:tcW w:w="4600" w:type="dxa"/>
            <w:vAlign w:val="bottom"/>
            <w:tcBorders>
              <w:right w:val="single" w:sz="8" w:color="auto"/>
            </w:tcBorders>
            <w:shd w:val="clear" w:color="auto" w:fill="BCBDC0"/>
          </w:tcPr>
          <w:p>
            <w:pPr>
              <w:spacing w:after="0"/>
              <w:rPr>
                <w:sz w:val="19"/>
                <w:szCs w:val="19"/>
                <w:color w:val="auto"/>
              </w:rPr>
            </w:pPr>
          </w:p>
        </w:tc>
        <w:tc>
          <w:tcPr>
            <w:tcW w:w="1020" w:type="dxa"/>
            <w:vAlign w:val="bottom"/>
            <w:tcBorders>
              <w:right w:val="single" w:sz="8" w:color="auto"/>
            </w:tcBorders>
            <w:vMerge w:val="restart"/>
            <w:shd w:val="clear" w:color="auto" w:fill="BCBDC0"/>
          </w:tcPr>
          <w:p>
            <w:pPr>
              <w:ind w:left="360"/>
              <w:spacing w:after="0" w:line="520" w:lineRule="exact"/>
              <w:rPr>
                <w:sz w:val="20"/>
                <w:szCs w:val="20"/>
                <w:color w:val="auto"/>
              </w:rPr>
            </w:pPr>
            <w:r>
              <w:rPr>
                <w:rFonts w:ascii="Arial" w:cs="Arial" w:eastAsia="Arial" w:hAnsi="Arial"/>
                <w:sz w:val="48"/>
                <w:szCs w:val="48"/>
                <w:b w:val="1"/>
                <w:bCs w:val="1"/>
                <w:color w:val="auto"/>
              </w:rPr>
              <w:t>x</w:t>
            </w:r>
          </w:p>
        </w:tc>
        <w:tc>
          <w:tcPr>
            <w:tcW w:w="4600" w:type="dxa"/>
            <w:vAlign w:val="bottom"/>
            <w:tcBorders>
              <w:right w:val="single" w:sz="8" w:color="auto"/>
            </w:tcBorders>
            <w:shd w:val="clear" w:color="auto" w:fill="BCBDC0"/>
          </w:tcPr>
          <w:p>
            <w:pPr>
              <w:ind w:left="20"/>
              <w:spacing w:after="0"/>
              <w:rPr>
                <w:sz w:val="20"/>
                <w:szCs w:val="20"/>
                <w:color w:val="auto"/>
              </w:rPr>
            </w:pPr>
            <w:r>
              <w:rPr>
                <w:rFonts w:ascii="Times New Roman" w:cs="Times New Roman" w:eastAsia="Times New Roman" w:hAnsi="Times New Roman"/>
                <w:sz w:val="17"/>
                <w:szCs w:val="17"/>
                <w:color w:val="auto"/>
              </w:rPr>
              <w:t>Do NOT add back to our equity compensation plan reserves any</w:t>
            </w:r>
          </w:p>
        </w:tc>
        <w:tc>
          <w:tcPr>
            <w:tcW w:w="0" w:type="dxa"/>
            <w:vAlign w:val="bottom"/>
          </w:tcPr>
          <w:p>
            <w:pPr>
              <w:spacing w:after="0"/>
              <w:rPr>
                <w:sz w:val="1"/>
                <w:szCs w:val="1"/>
                <w:color w:val="auto"/>
              </w:rPr>
            </w:pPr>
          </w:p>
        </w:tc>
      </w:tr>
      <w:tr>
        <w:trPr>
          <w:trHeight w:val="193"/>
        </w:trPr>
        <w:tc>
          <w:tcPr>
            <w:tcW w:w="1040" w:type="dxa"/>
            <w:vAlign w:val="bottom"/>
            <w:tcBorders>
              <w:left w:val="single" w:sz="8" w:color="auto"/>
              <w:right w:val="single" w:sz="8" w:color="auto"/>
            </w:tcBorders>
            <w:shd w:val="clear" w:color="auto" w:fill="BCBDC0"/>
          </w:tcPr>
          <w:p>
            <w:pPr>
              <w:spacing w:after="0"/>
              <w:rPr>
                <w:sz w:val="16"/>
                <w:szCs w:val="16"/>
                <w:color w:val="auto"/>
              </w:rPr>
            </w:pPr>
          </w:p>
        </w:tc>
        <w:tc>
          <w:tcPr>
            <w:tcW w:w="4600" w:type="dxa"/>
            <w:vAlign w:val="bottom"/>
            <w:tcBorders>
              <w:right w:val="single" w:sz="8" w:color="auto"/>
            </w:tcBorders>
            <w:shd w:val="clear" w:color="auto" w:fill="BCBDC0"/>
          </w:tcPr>
          <w:p>
            <w:pPr>
              <w:spacing w:after="0"/>
              <w:rPr>
                <w:sz w:val="16"/>
                <w:szCs w:val="16"/>
                <w:color w:val="auto"/>
              </w:rPr>
            </w:pPr>
          </w:p>
        </w:tc>
        <w:tc>
          <w:tcPr>
            <w:tcW w:w="1020" w:type="dxa"/>
            <w:vAlign w:val="bottom"/>
            <w:tcBorders>
              <w:right w:val="single" w:sz="8" w:color="auto"/>
            </w:tcBorders>
            <w:vMerge w:val="continue"/>
            <w:shd w:val="clear" w:color="auto" w:fill="BCBDC0"/>
          </w:tcPr>
          <w:p>
            <w:pPr>
              <w:spacing w:after="0"/>
              <w:rPr>
                <w:sz w:val="16"/>
                <w:szCs w:val="16"/>
                <w:color w:val="auto"/>
              </w:rPr>
            </w:pPr>
          </w:p>
        </w:tc>
        <w:tc>
          <w:tcPr>
            <w:tcW w:w="4600" w:type="dxa"/>
            <w:vAlign w:val="bottom"/>
            <w:tcBorders>
              <w:right w:val="single" w:sz="8" w:color="auto"/>
            </w:tcBorders>
            <w:shd w:val="clear" w:color="auto" w:fill="BCBDC0"/>
          </w:tcPr>
          <w:p>
            <w:pPr>
              <w:ind w:left="20"/>
              <w:spacing w:after="0" w:line="194" w:lineRule="exact"/>
              <w:rPr>
                <w:sz w:val="20"/>
                <w:szCs w:val="20"/>
                <w:color w:val="auto"/>
              </w:rPr>
            </w:pPr>
            <w:r>
              <w:rPr>
                <w:rFonts w:ascii="Times New Roman" w:cs="Times New Roman" w:eastAsia="Times New Roman" w:hAnsi="Times New Roman"/>
                <w:sz w:val="17"/>
                <w:szCs w:val="17"/>
                <w:color w:val="auto"/>
              </w:rPr>
              <w:t>shares tendered as payment for shares withheld for taxes</w:t>
            </w:r>
          </w:p>
        </w:tc>
        <w:tc>
          <w:tcPr>
            <w:tcW w:w="0" w:type="dxa"/>
            <w:vAlign w:val="bottom"/>
          </w:tcPr>
          <w:p>
            <w:pPr>
              <w:spacing w:after="0"/>
              <w:rPr>
                <w:sz w:val="1"/>
                <w:szCs w:val="1"/>
                <w:color w:val="auto"/>
              </w:rPr>
            </w:pPr>
          </w:p>
        </w:tc>
      </w:tr>
      <w:tr>
        <w:trPr>
          <w:trHeight w:val="103"/>
        </w:trPr>
        <w:tc>
          <w:tcPr>
            <w:tcW w:w="1040" w:type="dxa"/>
            <w:vAlign w:val="bottom"/>
            <w:tcBorders>
              <w:left w:val="single" w:sz="8" w:color="auto"/>
              <w:bottom w:val="single" w:sz="8" w:color="auto"/>
              <w:right w:val="single" w:sz="8" w:color="auto"/>
            </w:tcBorders>
            <w:shd w:val="clear" w:color="auto" w:fill="BCBDC0"/>
          </w:tcPr>
          <w:p>
            <w:pPr>
              <w:spacing w:after="0"/>
              <w:rPr>
                <w:sz w:val="8"/>
                <w:szCs w:val="8"/>
                <w:color w:val="auto"/>
              </w:rPr>
            </w:pPr>
          </w:p>
        </w:tc>
        <w:tc>
          <w:tcPr>
            <w:tcW w:w="4600" w:type="dxa"/>
            <w:vAlign w:val="bottom"/>
            <w:tcBorders>
              <w:bottom w:val="single" w:sz="8" w:color="auto"/>
              <w:right w:val="single" w:sz="8" w:color="auto"/>
            </w:tcBorders>
            <w:shd w:val="clear" w:color="auto" w:fill="BCBDC0"/>
          </w:tcPr>
          <w:p>
            <w:pPr>
              <w:spacing w:after="0"/>
              <w:rPr>
                <w:sz w:val="8"/>
                <w:szCs w:val="8"/>
                <w:color w:val="auto"/>
              </w:rPr>
            </w:pPr>
          </w:p>
        </w:tc>
        <w:tc>
          <w:tcPr>
            <w:tcW w:w="1020" w:type="dxa"/>
            <w:vAlign w:val="bottom"/>
            <w:tcBorders>
              <w:bottom w:val="single" w:sz="8" w:color="auto"/>
              <w:right w:val="single" w:sz="8" w:color="auto"/>
            </w:tcBorders>
            <w:vMerge w:val="continue"/>
            <w:shd w:val="clear" w:color="auto" w:fill="BCBDC0"/>
          </w:tcPr>
          <w:p>
            <w:pPr>
              <w:spacing w:after="0"/>
              <w:rPr>
                <w:sz w:val="8"/>
                <w:szCs w:val="8"/>
                <w:color w:val="auto"/>
              </w:rPr>
            </w:pPr>
          </w:p>
        </w:tc>
        <w:tc>
          <w:tcPr>
            <w:tcW w:w="4600" w:type="dxa"/>
            <w:vAlign w:val="bottom"/>
            <w:tcBorders>
              <w:bottom w:val="single" w:sz="8" w:color="auto"/>
              <w:right w:val="single" w:sz="8" w:color="auto"/>
            </w:tcBorders>
            <w:shd w:val="clear" w:color="auto" w:fill="BCBDC0"/>
          </w:tcPr>
          <w:p>
            <w:pPr>
              <w:spacing w:after="0"/>
              <w:rPr>
                <w:sz w:val="8"/>
                <w:szCs w:val="8"/>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At the 2023, 2024 and 2025 annual meetings of shareholders, approximately 98%, 96% and 98% of votes cast in the annual “say-on-pay” vote, respectively, were in favor of the compensation of the Company’s named executive officers. In light of this strong support, the Compensation Committee decided to maintain the core design of our compensation program for 2025 and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Social Responsibility</w:t>
      </w:r>
    </w:p>
    <w:p>
      <w:pPr>
        <w:spacing w:after="0" w:line="221"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Shentel is committed to growing its business in a sustainable and socially responsible manner, and our Board of Directors and management team are committed to Shentel’s vision to make a positive difference in the communities we serve. This commitment is supported at all levels of the Company. Through our actions, our goal is to make a positive difference in the communities we serve through our dedication to providing high quality and reliable services, our sincere commitment to being a good employer, our efforts to minimize our impact on the environment, our ongoing engagement and support for the communities where we operate and our unwavering and strict adherence to the highest ethical standards.</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099"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2440305</wp:posOffset>
            </wp:positionH>
            <wp:positionV relativeFrom="page">
              <wp:posOffset>580390</wp:posOffset>
            </wp:positionV>
            <wp:extent cx="2677160" cy="433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677160" cy="433705"/>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SHENANDOAH TELECOMMUNICATIONS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500 Shentel Way</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Edinburg, Virginia 22824</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Annual Meeting of Shareholders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April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2490470</wp:posOffset>
            </wp:positionH>
            <wp:positionV relativeFrom="paragraph">
              <wp:posOffset>22860</wp:posOffset>
            </wp:positionV>
            <wp:extent cx="21609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60905" cy="8255"/>
                    </a:xfrm>
                    <a:prstGeom prst="rect">
                      <a:avLst/>
                    </a:prstGeom>
                    <a:noFill/>
                  </pic:spPr>
                </pic:pic>
              </a:graphicData>
            </a:graphic>
          </wp:anchor>
        </w:drawing>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2490470</wp:posOffset>
            </wp:positionH>
            <wp:positionV relativeFrom="paragraph">
              <wp:posOffset>36195</wp:posOffset>
            </wp:positionV>
            <wp:extent cx="21609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6090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Proxy Solicitation</w:t>
      </w:r>
    </w:p>
    <w:p>
      <w:pPr>
        <w:spacing w:after="0" w:line="221" w:lineRule="exact"/>
        <w:rPr>
          <w:sz w:val="20"/>
          <w:szCs w:val="20"/>
          <w:color w:val="auto"/>
        </w:rPr>
      </w:pPr>
    </w:p>
    <w:p>
      <w:pPr>
        <w:jc w:val="both"/>
        <w:ind w:right="20" w:firstLine="619"/>
        <w:spacing w:after="0" w:line="264" w:lineRule="auto"/>
        <w:rPr>
          <w:sz w:val="20"/>
          <w:szCs w:val="20"/>
          <w:color w:val="auto"/>
        </w:rPr>
      </w:pPr>
      <w:r>
        <w:rPr>
          <w:rFonts w:ascii="Times New Roman" w:cs="Times New Roman" w:eastAsia="Times New Roman" w:hAnsi="Times New Roman"/>
          <w:sz w:val="17"/>
          <w:szCs w:val="17"/>
          <w:color w:val="auto"/>
        </w:rPr>
        <w:t>This proxy statement is furnished in connection with the solicitation of proxies by the Board of Directors of Shenandoah Telecommunications Company for use at Shenandoah Telecommunications Company’s 2026 annual meeting of shareholders to be held in the auditorium of the Company’s offices at 500 Shentel Way, Edinburg, Virginia 22824 on Tuesday, April 21, 2026, at 11:00 a.m. Eastern Time. The purpose of the annual meeting and the matters to be acted upon are set forth in the accompanying notice of annual meeting.</w:t>
      </w:r>
    </w:p>
    <w:p>
      <w:pPr>
        <w:spacing w:after="0" w:line="171"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The Company will pay the cost of this proxy solicitation. In addition to the solicitation of proxies by electronic delivery, officers and other employees of the Company may solicit proxies by personal interview, telephone and e-mail. None of these individuals will receive compensation for such services, which will be performed in addition to their regular duties. The Company also has made arrangements with brokerage firms, banks, nominees and other fiduciaries to forward proxy solicitation material for shares held of record by them to the beneficial owners of such shares. The Company will reimburse such persons for their reasonable out-of-pocket expenses in forwarding such material.</w:t>
      </w:r>
    </w:p>
    <w:p>
      <w:pPr>
        <w:spacing w:after="0" w:line="175" w:lineRule="exact"/>
        <w:rPr>
          <w:sz w:val="20"/>
          <w:szCs w:val="20"/>
          <w:color w:val="auto"/>
        </w:rPr>
      </w:pPr>
    </w:p>
    <w:p>
      <w:pPr>
        <w:jc w:val="both"/>
        <w:ind w:right="160" w:firstLine="619"/>
        <w:spacing w:after="0" w:line="270" w:lineRule="auto"/>
        <w:rPr>
          <w:sz w:val="20"/>
          <w:szCs w:val="20"/>
          <w:color w:val="auto"/>
        </w:rPr>
      </w:pPr>
      <w:r>
        <w:rPr>
          <w:rFonts w:ascii="Times New Roman" w:cs="Times New Roman" w:eastAsia="Times New Roman" w:hAnsi="Times New Roman"/>
          <w:sz w:val="17"/>
          <w:szCs w:val="17"/>
          <w:color w:val="auto"/>
        </w:rPr>
        <w:t>A list of shareholders entitled to vote at the annual meeting will be open to the examination of any shareholder, for any purpose germane to the meeting, during ordinary business hours for a period beginning five business days after notice of the meeting is given and continuing through the close of business on the last business day before the 2025 annual meeting at the Company’s offices at 500 Shentel Way, Edinburg, Virginia.</w:t>
      </w:r>
    </w:p>
    <w:p>
      <w:pPr>
        <w:spacing w:after="0" w:line="165" w:lineRule="exact"/>
        <w:rPr>
          <w:sz w:val="20"/>
          <w:szCs w:val="20"/>
          <w:color w:val="auto"/>
        </w:rPr>
      </w:pPr>
    </w:p>
    <w:p>
      <w:pPr>
        <w:ind w:right="60" w:firstLine="619"/>
        <w:spacing w:after="0" w:line="256" w:lineRule="auto"/>
        <w:rPr>
          <w:sz w:val="20"/>
          <w:szCs w:val="20"/>
          <w:color w:val="auto"/>
        </w:rPr>
      </w:pPr>
      <w:r>
        <w:rPr>
          <w:rFonts w:ascii="Times New Roman" w:cs="Times New Roman" w:eastAsia="Times New Roman" w:hAnsi="Times New Roman"/>
          <w:sz w:val="17"/>
          <w:szCs w:val="17"/>
          <w:color w:val="auto"/>
        </w:rPr>
        <w:t>This proxy statement is first being delivered to the Company’s shareholders on or about March 9, 2026. In accordance with the rules of the Securities and Exchange Commission (the “SEC”), we are furnishing certain proxy materials (Proxy Statement, Proxy Card, Annual Report on Form 10-K) and a letter to shareholders by providing access to these materials electronically on the Internet. As such, we are not mailing a printed copy of these proxy materials to each shareholder of record or beneficial owner, and our shareholders will not receive printed copies of these proxy materials unless they request this form of delivery. Printed copies will be provided upon request at no charge. We are delivering a Notice of Meeting and a Notice of Internet Availability of Proxy Materials (“Notice of Internet Availability”) to our shareholders on or about March 9, 2026. The Notice of Internet Availability is in lieu of mailing the printed proxy materials, and contains instructions for our shareholders as to how they may: (1) access and review our proxy materials on the Internet; (2) submit their proxy; and (3) request printed proxy materials. Shareholders may request to receive printed proxy materials by mail or electronically by e-mail on an ongoing basis by following the instructions in the Notice of Internet Availability. We believe that providing proxy materials electronically will enable us to save costs associated with printing and delivering the materials and reduce the environmental impact of our annual meetings. A request to receive proxy materials in printed form will remain in effect until such time as the shareholder elects to terminate 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and Revocability of Proxies</w:t>
      </w:r>
    </w:p>
    <w:p>
      <w:pPr>
        <w:spacing w:after="0" w:line="221" w:lineRule="exact"/>
        <w:rPr>
          <w:sz w:val="20"/>
          <w:szCs w:val="20"/>
          <w:color w:val="auto"/>
        </w:rPr>
      </w:pPr>
    </w:p>
    <w:p>
      <w:pPr>
        <w:jc w:val="both"/>
        <w:ind w:right="60" w:firstLine="619"/>
        <w:spacing w:after="0" w:line="264" w:lineRule="auto"/>
        <w:rPr>
          <w:sz w:val="20"/>
          <w:szCs w:val="20"/>
          <w:color w:val="auto"/>
        </w:rPr>
      </w:pPr>
      <w:r>
        <w:rPr>
          <w:rFonts w:ascii="Times New Roman" w:cs="Times New Roman" w:eastAsia="Times New Roman" w:hAnsi="Times New Roman"/>
          <w:sz w:val="17"/>
          <w:szCs w:val="17"/>
          <w:color w:val="auto"/>
        </w:rPr>
        <w:t xml:space="preserve">Shares of the Company’s common stock represented by a properly executed proxy, if such proxy is received in time and not revoked, will be voted at the annual meeting in accordance with the instructions indicated in such proxy. If no instructions are indicated, such shares will be voted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(1) the election of the three director nominees to the Company’s Board of Directors for a term expiring in 2029 (Proposal No. 1); (2) the ratification of RSM US LLP as our independent registered public accounting firm for the year ending December 31, 2026 (Proposal No. 2); and (3) the approval, in a non-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right="240"/>
        <w:spacing w:after="0" w:line="264" w:lineRule="auto"/>
        <w:rPr>
          <w:sz w:val="20"/>
          <w:szCs w:val="20"/>
          <w:color w:val="auto"/>
        </w:rPr>
      </w:pPr>
      <w:r>
        <w:rPr>
          <w:rFonts w:ascii="Times New Roman" w:cs="Times New Roman" w:eastAsia="Times New Roman" w:hAnsi="Times New Roman"/>
          <w:sz w:val="17"/>
          <w:szCs w:val="17"/>
          <w:color w:val="auto"/>
        </w:rPr>
        <w:t>binding vote, of the Company’s named executive officer compensation (Proposal No. 3). Discretionary authority is provided in the proxy as to any matters not specifically referred to in the proxy. Management is not aware of any other matters that are likely to be brought before the annual meeting. If any other matter is properly presented at the annual meeting for action, including a proposal to adjourn or postpone the annual meeting to permit the Company to solicit additional proxies in favor of any proposal, the persons named in the proxy will vote on such matter in their own discretion.</w:t>
      </w:r>
    </w:p>
    <w:p>
      <w:pPr>
        <w:spacing w:after="0" w:line="171"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A shareholder executing a proxy may revoke the proxy at any time before it is voted by giving written notice revoking the proxy to the Company’s Secretary, by subsequently filing another proxy bearing a later date or by attending the annual meeting and voting in person. Attending the annual meeting without also voting in-person at the annual meeting will not automatically revoke the shareholder’s proxy. All written notices of revocation or other communications with respect to revocation of proxies should be addressed to Shenandoah Telecommunications Company, 500 Shentel Way, P.O. Box 459, Edinburg, Virginia 22824, Attention: Corporate Secretary.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Procedure</w:t>
      </w:r>
    </w:p>
    <w:p>
      <w:pPr>
        <w:spacing w:after="0" w:line="217" w:lineRule="exact"/>
        <w:rPr>
          <w:sz w:val="20"/>
          <w:szCs w:val="20"/>
          <w:color w:val="auto"/>
        </w:rPr>
      </w:pPr>
    </w:p>
    <w:p>
      <w:pPr>
        <w:ind w:right="380"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Record Date. </w:t>
      </w:r>
      <w:r>
        <w:rPr>
          <w:rFonts w:ascii="Times New Roman" w:cs="Times New Roman" w:eastAsia="Times New Roman" w:hAnsi="Times New Roman"/>
          <w:sz w:val="17"/>
          <w:szCs w:val="17"/>
          <w:color w:val="auto"/>
        </w:rPr>
        <w:t>All holders of record of our common stock at the close of business on February 23, 2026, will be eligible to vote at the annual meeting.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Each holder of common stock is entitled to one vote at the annual meeting for each share held by such shareholder. As of February 23, 2026, there were 55,301,648 shares of common stock outstanding.</w:t>
      </w:r>
    </w:p>
    <w:p>
      <w:pPr>
        <w:spacing w:after="0" w:line="160" w:lineRule="exact"/>
        <w:rPr>
          <w:sz w:val="20"/>
          <w:szCs w:val="20"/>
          <w:color w:val="auto"/>
        </w:rPr>
      </w:pPr>
    </w:p>
    <w:p>
      <w:pPr>
        <w:ind w:right="80"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Quorum. </w:t>
      </w:r>
      <w:r>
        <w:rPr>
          <w:rFonts w:ascii="Times New Roman" w:cs="Times New Roman" w:eastAsia="Times New Roman" w:hAnsi="Times New Roman"/>
          <w:sz w:val="17"/>
          <w:szCs w:val="17"/>
          <w:color w:val="auto"/>
        </w:rPr>
        <w:t>A majority of the shares of common stock issued and outstanding and entitled to vote at the annual meeting, present in person or represented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proxy, will constitute a quorum at the annual meeting. Votes cast in person or by proxy at the annual meeting will be tabulated by the inspectors of election appointed for the annual meeting, who will determine whether or not a quorum is present. Abstentions (which occur when a shareholder chooses to abstain from voting on any or all proposals) and any broker non-votes (which are described below) will be counted for purposes of determining the presence of a quorum at the annual meeting but will have no effect on the outcome of the proposals presented in this proxy statement as discussed below.</w:t>
      </w:r>
    </w:p>
    <w:p>
      <w:pPr>
        <w:spacing w:after="0" w:line="175"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When broker-dealers who hold their customers’ shares in street name do not receive specific voting instructions from their customers, the broker-dealers may, under the applicable rules of the exchanges and other self-regulatory organizations of which the broker-dealers are members, vote the shares of their customers on “routine” proposals, which under such rules typically include the ratification of auditors, but cannot vote on “non-routine” matters. A “broker non-vote” occurs with respect to any non-routine proposal when a broker is not permitted to vote on that proposal without instruction from the beneficial owner of the shares. The ratification of RSM US LLP as our independent registered public accounting firm for the year ending December 31, 2026 (Proposal No. 2) is considered a routine matter under applicable rules, and no broker non-votes will occur in connection with this proposal. The election of directors (Proposal No. 1) and the approval of the Company’s named executive officer compensation (Proposal No. 3) are considered non-routine matters under applicable rules, and therefore broker non-votes may exist in connection with these proposals.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Approval Standards. </w:t>
      </w:r>
      <w:r>
        <w:rPr>
          <w:rFonts w:ascii="Times New Roman" w:cs="Times New Roman" w:eastAsia="Times New Roman" w:hAnsi="Times New Roman"/>
          <w:sz w:val="17"/>
          <w:szCs w:val="17"/>
          <w:color w:val="auto"/>
        </w:rPr>
        <w:t>The shareholder vote required to approve each proposal is set forth below.</w:t>
      </w:r>
    </w:p>
    <w:p>
      <w:pPr>
        <w:spacing w:after="0" w:line="20" w:lineRule="exact"/>
        <w:rPr>
          <w:sz w:val="20"/>
          <w:szCs w:val="20"/>
          <w:color w:val="auto"/>
        </w:rPr>
      </w:pPr>
    </w:p>
    <w:p>
      <w:pPr>
        <w:ind w:left="1080" w:hanging="458"/>
        <w:spacing w:after="0" w:line="243" w:lineRule="auto"/>
        <w:tabs>
          <w:tab w:leader="none" w:pos="10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of directors (Proposal No. 1) requires the affirmative vote of a majority of the votes cast for the election of directors. This means that a director nominee must receive more votes cast “for” than “against” their election in order to be elected. Abstentions and broker non-votes will not be considered votes cast and, therefore, will have no impact on the outcome of Proposal No. 1.</w:t>
      </w:r>
    </w:p>
    <w:p>
      <w:pPr>
        <w:spacing w:after="0" w:line="200" w:lineRule="exact"/>
        <w:rPr>
          <w:rFonts w:ascii="Times New Roman" w:cs="Times New Roman" w:eastAsia="Times New Roman" w:hAnsi="Times New Roman"/>
          <w:sz w:val="17"/>
          <w:szCs w:val="17"/>
          <w:color w:val="auto"/>
        </w:rPr>
      </w:pPr>
    </w:p>
    <w:p>
      <w:pPr>
        <w:ind w:left="1080" w:right="80" w:hanging="458"/>
        <w:spacing w:after="0" w:line="248" w:lineRule="auto"/>
        <w:tabs>
          <w:tab w:leader="none" w:pos="10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proposal to ratify the Audit Committee’s selection of RSM US LLP as the Company’s independent registered public accounting firm for 2026 (Proposal No. 2) requires the affirmative vote of a majority of the votes cast and will be approved if the number of votes cast “for” the proposal exceeds the number of votes cast “against” the proposal. There will be no broker non-votes with respect to Proposal No. 2 and abstentions will not be considered votes cast and, therefore, will have no impact on the outcome of Proposal No. 2.</w:t>
      </w:r>
    </w:p>
    <w:p>
      <w:pPr>
        <w:spacing w:after="0" w:line="184" w:lineRule="exact"/>
        <w:rPr>
          <w:rFonts w:ascii="Times New Roman" w:cs="Times New Roman" w:eastAsia="Times New Roman" w:hAnsi="Times New Roman"/>
          <w:sz w:val="17"/>
          <w:szCs w:val="17"/>
          <w:color w:val="auto"/>
        </w:rPr>
      </w:pPr>
    </w:p>
    <w:p>
      <w:pPr>
        <w:ind w:left="1080" w:hanging="458"/>
        <w:spacing w:after="0" w:line="248" w:lineRule="auto"/>
        <w:tabs>
          <w:tab w:leader="none" w:pos="10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proposal to approve, in a non-binding vote, the Company’s named executive officer compensation (Proposal No. 3) requires the affirmative vote of a majority of the votes cast and will be approved, on an advisory basis, if the number of votes cast “for” the proposal exceeds the number of votes cast “against” the proposal. Abstentions and broker non-votes will not be considered votes cast and, therefore, will have no impact on the outcome of Proposal No. 3.</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221"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The Company has filed its Annual Report on Form 10-K for the year ended December 31, 2025 (the "Annual Report on Form 10-K") with the SEC. Shareholders may obtain, free of charge, an additional copy of the 2025 Annual Report on Form 10-K, without exhibits, by following the instructions in the Notice of Internet Availability or by writing to Shenandoah Telecommunications Company, 500 Shentel Way, P.O. Box 459, Edinburg, Virginia 22824, Attention: Shareholder Services. The Annual Report on Form 10-K is also available through the Company’s website at </w:t>
      </w:r>
      <w:r>
        <w:rPr>
          <w:rFonts w:ascii="Times New Roman" w:cs="Times New Roman" w:eastAsia="Times New Roman" w:hAnsi="Times New Roman"/>
          <w:sz w:val="17"/>
          <w:szCs w:val="17"/>
          <w:i w:val="1"/>
          <w:iCs w:val="1"/>
          <w:color w:val="auto"/>
        </w:rPr>
        <w:t>www.shentel.com</w:t>
      </w:r>
      <w:r>
        <w:rPr>
          <w:rFonts w:ascii="Times New Roman" w:cs="Times New Roman" w:eastAsia="Times New Roman" w:hAnsi="Times New Roman"/>
          <w:sz w:val="17"/>
          <w:szCs w:val="17"/>
          <w:color w:val="auto"/>
        </w:rPr>
        <w:t>. The Annual Report on Form 10-K and letter to shareholders are not part of the proxy-soliciting materials.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Notice Regarding Delivery of Shareholder Documents</w:t>
      </w:r>
    </w:p>
    <w:p>
      <w:pPr>
        <w:spacing w:after="0" w:line="221"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The Company has taken advantage of the “householding” rules of the SEC. For shareholders requesting to receive our Notice of Internet Availability or a full paper set of our proxy materials in printed form, the householding rules permit the delivery of one set of the printed proxy materials to shareholders who have the same address to conserve resources and achieve the benefit of reduced printing and mailing costs. If you wish to receive an additional copy of our Annual Report on Form 10-K, this proxy statement, or the letter to shareholders, you may follow the instructions on the Notice of Internet Availability or make a written request to Shenandoah Telecommunications Company, 500 Shentel Way, P.O. Box 459, Edinburg, Virginia 22824, Attention: Shareholder Services, or call us at 540-984-5200. If you are receiving multiple copies of our Annual Report on Form 10-K, proxy statement or letter to shareholders and would like to receive only one copy per household in the future, or are receiving one copy and would like to receive separate copies, you can request to opt-in or opt-out of householding or electronic delivery by contacting Shareholder Services in the same manner.</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sectPr>
      </w:pPr>
    </w:p>
    <w:bookmarkStart w:id="10" w:name="page11"/>
    <w:bookmarkEnd w:id="10"/>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SECURITY OWNERSHIP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 Ownership of Common Stock</w:t>
      </w:r>
    </w:p>
    <w:p>
      <w:pPr>
        <w:spacing w:after="0" w:line="221"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as of February 23, 2026, information based upon the Company’s records and filings with the SEC regarding beneficial ownership of the common stock by the following persons:</w:t>
      </w:r>
    </w:p>
    <w:p>
      <w:pPr>
        <w:spacing w:after="0" w:line="151" w:lineRule="exact"/>
        <w:rPr>
          <w:sz w:val="20"/>
          <w:szCs w:val="20"/>
          <w:color w:val="auto"/>
        </w:rPr>
      </w:pPr>
    </w:p>
    <w:p>
      <w:pPr>
        <w:ind w:left="920" w:hanging="298"/>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director and each nominee to the Board of Directors;</w:t>
      </w:r>
    </w:p>
    <w:p>
      <w:pPr>
        <w:spacing w:after="0" w:line="217" w:lineRule="exact"/>
        <w:rPr>
          <w:rFonts w:ascii="Times New Roman" w:cs="Times New Roman" w:eastAsia="Times New Roman" w:hAnsi="Times New Roman"/>
          <w:sz w:val="17"/>
          <w:szCs w:val="17"/>
          <w:color w:val="auto"/>
        </w:rPr>
      </w:pPr>
    </w:p>
    <w:p>
      <w:pPr>
        <w:ind w:left="940" w:right="520" w:hanging="318"/>
        <w:spacing w:after="0" w:line="287"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executive officer of the Company named in the summary compensation table under the “Executive Compensation” section of this proxy statement; and</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directors and executive officers of the Company as a group.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February 23, 2026, there were 55,301,648 shares of common stock outstanding.</w:t>
      </w:r>
    </w:p>
    <w:p>
      <w:pPr>
        <w:spacing w:after="0" w:line="217"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The information presented below regarding beneficial ownership of the Company’s common stock has been presented in accordance with rules of the SEC and is not necessarily indicative of beneficial ownership for any other purpose. Under these rules, a person is deemed to be a “beneficial owner” of a security if that person has or shares the power to vote or direct the voting of the security or the power to dispose or direct the disposition of the security. A person is also deemed to be the beneficial owner of any security as to which a person has the right to acquire sole or shared voting or investment power within 60 days through the conversion or exercise of any convertible security, warrant, option or other right. More than one person may be deemed to be a beneficial owner of the same securities.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780" w:type="dxa"/>
            <w:vAlign w:val="bottom"/>
            <w:gridSpan w:val="3"/>
          </w:tcPr>
          <w:p>
            <w:pPr>
              <w:jc w:val="center"/>
              <w:ind w:left="1214"/>
              <w:spacing w:after="0"/>
              <w:rPr>
                <w:sz w:val="20"/>
                <w:szCs w:val="20"/>
                <w:color w:val="auto"/>
              </w:rPr>
            </w:pPr>
            <w:r>
              <w:rPr>
                <w:rFonts w:ascii="Times New Roman" w:cs="Times New Roman" w:eastAsia="Times New Roman" w:hAnsi="Times New Roman"/>
                <w:sz w:val="17"/>
                <w:szCs w:val="17"/>
                <w:b w:val="1"/>
                <w:bCs w:val="1"/>
                <w:color w:val="auto"/>
              </w:rPr>
              <w:t>Amount and</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 of Beneficial Owner</w:t>
            </w:r>
          </w:p>
        </w:tc>
        <w:tc>
          <w:tcPr>
            <w:tcW w:w="1620" w:type="dxa"/>
            <w:vAlign w:val="bottom"/>
          </w:tcPr>
          <w:p>
            <w:pPr>
              <w:spacing w:after="0"/>
              <w:rPr>
                <w:sz w:val="15"/>
                <w:szCs w:val="15"/>
                <w:color w:val="auto"/>
              </w:rPr>
            </w:pPr>
          </w:p>
        </w:tc>
        <w:tc>
          <w:tcPr>
            <w:tcW w:w="1160" w:type="dxa"/>
            <w:vAlign w:val="bottom"/>
            <w:gridSpan w:val="2"/>
          </w:tcPr>
          <w:p>
            <w:pPr>
              <w:jc w:val="center"/>
              <w:ind w:right="254"/>
              <w:spacing w:after="0" w:line="173" w:lineRule="exact"/>
              <w:rPr>
                <w:sz w:val="20"/>
                <w:szCs w:val="20"/>
                <w:color w:val="auto"/>
              </w:rPr>
            </w:pPr>
            <w:r>
              <w:rPr>
                <w:rFonts w:ascii="Times New Roman" w:cs="Times New Roman" w:eastAsia="Times New Roman" w:hAnsi="Times New Roman"/>
                <w:sz w:val="17"/>
                <w:szCs w:val="17"/>
                <w:b w:val="1"/>
                <w:bCs w:val="1"/>
                <w:color w:val="auto"/>
              </w:rPr>
              <w:t>Nature of</w:t>
            </w:r>
          </w:p>
        </w:tc>
        <w:tc>
          <w:tcPr>
            <w:tcW w:w="520" w:type="dxa"/>
            <w:vAlign w:val="bottom"/>
          </w:tcPr>
          <w:p>
            <w:pPr>
              <w:spacing w:after="0"/>
              <w:rPr>
                <w:sz w:val="15"/>
                <w:szCs w:val="15"/>
                <w:color w:val="auto"/>
              </w:rPr>
            </w:pPr>
          </w:p>
        </w:tc>
        <w:tc>
          <w:tcPr>
            <w:tcW w:w="13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Percent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0" w:type="dxa"/>
            <w:vAlign w:val="bottom"/>
            <w:gridSpan w:val="2"/>
            <w:vMerge w:val="continue"/>
          </w:tcPr>
          <w:p>
            <w:pPr>
              <w:spacing w:after="0"/>
              <w:rPr>
                <w:sz w:val="15"/>
                <w:szCs w:val="15"/>
                <w:color w:val="auto"/>
              </w:rPr>
            </w:pPr>
          </w:p>
        </w:tc>
        <w:tc>
          <w:tcPr>
            <w:tcW w:w="1620" w:type="dxa"/>
            <w:vAlign w:val="bottom"/>
          </w:tcPr>
          <w:p>
            <w:pPr>
              <w:spacing w:after="0"/>
              <w:rPr>
                <w:sz w:val="15"/>
                <w:szCs w:val="15"/>
                <w:color w:val="auto"/>
              </w:rPr>
            </w:pPr>
          </w:p>
        </w:tc>
        <w:tc>
          <w:tcPr>
            <w:tcW w:w="1160" w:type="dxa"/>
            <w:vAlign w:val="bottom"/>
            <w:gridSpan w:val="2"/>
          </w:tcPr>
          <w:p>
            <w:pPr>
              <w:jc w:val="center"/>
              <w:ind w:right="234"/>
              <w:spacing w:after="0" w:line="155" w:lineRule="exact"/>
              <w:rPr>
                <w:sz w:val="20"/>
                <w:szCs w:val="20"/>
                <w:color w:val="auto"/>
              </w:rPr>
            </w:pPr>
            <w:r>
              <w:rPr>
                <w:rFonts w:ascii="Times New Roman" w:cs="Times New Roman" w:eastAsia="Times New Roman" w:hAnsi="Times New Roman"/>
                <w:sz w:val="17"/>
                <w:szCs w:val="17"/>
                <w:b w:val="1"/>
                <w:bCs w:val="1"/>
                <w:color w:val="auto"/>
              </w:rPr>
              <w:t>Beneficial</w:t>
            </w:r>
          </w:p>
        </w:tc>
        <w:tc>
          <w:tcPr>
            <w:tcW w:w="5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Borders>
              <w:top w:val="single" w:sz="8" w:color="auto"/>
            </w:tcBorders>
          </w:tcPr>
          <w:p>
            <w:pPr>
              <w:spacing w:after="0" w:line="135" w:lineRule="exact"/>
              <w:rPr>
                <w:sz w:val="20"/>
                <w:szCs w:val="20"/>
                <w:color w:val="auto"/>
              </w:rPr>
            </w:pPr>
            <w:r>
              <w:rPr>
                <w:rFonts w:ascii="Times New Roman" w:cs="Times New Roman" w:eastAsia="Times New Roman" w:hAnsi="Times New Roman"/>
                <w:sz w:val="15"/>
                <w:szCs w:val="15"/>
                <w:i w:val="1"/>
                <w:iCs w:val="1"/>
                <w:color w:val="auto"/>
              </w:rPr>
              <w:t>(Directors, Nominees and</w:t>
            </w:r>
          </w:p>
        </w:tc>
        <w:tc>
          <w:tcPr>
            <w:tcW w:w="4460" w:type="dxa"/>
            <w:vAlign w:val="bottom"/>
          </w:tcPr>
          <w:p>
            <w:pPr>
              <w:spacing w:after="0" w:line="128" w:lineRule="exact"/>
              <w:rPr>
                <w:sz w:val="20"/>
                <w:szCs w:val="20"/>
                <w:color w:val="auto"/>
              </w:rPr>
            </w:pPr>
            <w:r>
              <w:rPr>
                <w:rFonts w:ascii="Times New Roman" w:cs="Times New Roman" w:eastAsia="Times New Roman" w:hAnsi="Times New Roman"/>
                <w:sz w:val="14"/>
                <w:szCs w:val="14"/>
                <w:i w:val="1"/>
                <w:iCs w:val="1"/>
                <w:color w:val="auto"/>
              </w:rPr>
              <w:t>Executive Officers)</w:t>
            </w:r>
          </w:p>
        </w:tc>
        <w:tc>
          <w:tcPr>
            <w:tcW w:w="1620" w:type="dxa"/>
            <w:vAlign w:val="bottom"/>
          </w:tcPr>
          <w:p>
            <w:pPr>
              <w:spacing w:after="0"/>
              <w:rPr>
                <w:sz w:val="12"/>
                <w:szCs w:val="12"/>
                <w:color w:val="auto"/>
              </w:rPr>
            </w:pPr>
          </w:p>
        </w:tc>
        <w:tc>
          <w:tcPr>
            <w:tcW w:w="82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Class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Victor C. Barnes</w:t>
            </w:r>
          </w:p>
        </w:tc>
        <w:tc>
          <w:tcPr>
            <w:tcW w:w="16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24,325</w:t>
            </w:r>
          </w:p>
        </w:tc>
        <w:tc>
          <w:tcPr>
            <w:tcW w:w="5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Thomas A. Beckett</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30,769</w:t>
            </w:r>
          </w:p>
        </w:tc>
        <w:tc>
          <w:tcPr>
            <w:tcW w:w="520" w:type="dxa"/>
            <w:vAlign w:val="bottom"/>
          </w:tcPr>
          <w:p>
            <w:pPr>
              <w:spacing w:after="0"/>
              <w:rPr>
                <w:sz w:val="19"/>
                <w:szCs w:val="19"/>
                <w:color w:val="auto"/>
              </w:rPr>
            </w:pPr>
          </w:p>
        </w:tc>
        <w:tc>
          <w:tcPr>
            <w:tcW w:w="960" w:type="dxa"/>
            <w:vAlign w:val="bottom"/>
            <w:gridSpan w:val="2"/>
          </w:tcPr>
          <w:p>
            <w:pPr>
              <w:jc w:val="center"/>
              <w:ind w:left="1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Matthew S. DeNichilo</w:t>
            </w:r>
          </w:p>
        </w:tc>
        <w:tc>
          <w:tcPr>
            <w:tcW w:w="1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F. DiMola</w:t>
            </w: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gridSpan w:val="2"/>
          </w:tcPr>
          <w:p>
            <w:pPr>
              <w:jc w:val="center"/>
              <w:ind w:left="1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Tracy Fitzsimmons</w:t>
            </w:r>
          </w:p>
        </w:tc>
        <w:tc>
          <w:tcPr>
            <w:tcW w:w="2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53,045</w:t>
            </w: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W. Flora</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56,197</w:t>
            </w:r>
          </w:p>
        </w:tc>
        <w:tc>
          <w:tcPr>
            <w:tcW w:w="520" w:type="dxa"/>
            <w:vAlign w:val="bottom"/>
          </w:tcPr>
          <w:p>
            <w:pPr>
              <w:spacing w:after="0"/>
              <w:rPr>
                <w:sz w:val="19"/>
                <w:szCs w:val="19"/>
                <w:color w:val="auto"/>
              </w:rPr>
            </w:pPr>
          </w:p>
        </w:tc>
        <w:tc>
          <w:tcPr>
            <w:tcW w:w="960" w:type="dxa"/>
            <w:vAlign w:val="bottom"/>
            <w:gridSpan w:val="2"/>
          </w:tcPr>
          <w:p>
            <w:pPr>
              <w:jc w:val="center"/>
              <w:ind w:left="1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Christopher E. French</w:t>
            </w:r>
          </w:p>
        </w:tc>
        <w:tc>
          <w:tcPr>
            <w:tcW w:w="2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2,080,957</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w:t>
            </w:r>
          </w:p>
        </w:tc>
        <w:tc>
          <w:tcPr>
            <w:tcW w:w="960" w:type="dxa"/>
            <w:vAlign w:val="bottom"/>
            <w:gridSpan w:val="2"/>
            <w:shd w:val="clear" w:color="auto" w:fill="CCEEFF"/>
          </w:tcPr>
          <w:p>
            <w:pPr>
              <w:jc w:val="center"/>
              <w:ind w:left="174"/>
              <w:spacing w:after="0"/>
              <w:rPr>
                <w:sz w:val="20"/>
                <w:szCs w:val="20"/>
                <w:color w:val="auto"/>
              </w:rPr>
            </w:pPr>
            <w:r>
              <w:rPr>
                <w:rFonts w:ascii="Times New Roman" w:cs="Times New Roman" w:eastAsia="Times New Roman" w:hAnsi="Times New Roman"/>
                <w:sz w:val="17"/>
                <w:szCs w:val="17"/>
                <w:color w:val="auto"/>
              </w:rPr>
              <w:t>3.76</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Richard L. Koontz, Jr.</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71,606</w:t>
            </w:r>
          </w:p>
        </w:tc>
        <w:tc>
          <w:tcPr>
            <w:tcW w:w="520" w:type="dxa"/>
            <w:vAlign w:val="bottom"/>
          </w:tcPr>
          <w:p>
            <w:pPr>
              <w:spacing w:after="0"/>
              <w:rPr>
                <w:sz w:val="19"/>
                <w:szCs w:val="19"/>
                <w:color w:val="auto"/>
              </w:rPr>
            </w:pPr>
          </w:p>
        </w:tc>
        <w:tc>
          <w:tcPr>
            <w:tcW w:w="960" w:type="dxa"/>
            <w:vAlign w:val="bottom"/>
            <w:gridSpan w:val="2"/>
          </w:tcPr>
          <w:p>
            <w:pPr>
              <w:jc w:val="center"/>
              <w:ind w:left="1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Kenneth L. Quaglio</w:t>
            </w:r>
          </w:p>
        </w:tc>
        <w:tc>
          <w:tcPr>
            <w:tcW w:w="2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34,534</w:t>
            </w: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A. Rhymes</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11,709</w:t>
            </w:r>
          </w:p>
        </w:tc>
        <w:tc>
          <w:tcPr>
            <w:tcW w:w="520" w:type="dxa"/>
            <w:vAlign w:val="bottom"/>
          </w:tcPr>
          <w:p>
            <w:pPr>
              <w:spacing w:after="0"/>
              <w:rPr>
                <w:sz w:val="19"/>
                <w:szCs w:val="19"/>
                <w:color w:val="auto"/>
              </w:rPr>
            </w:pPr>
          </w:p>
        </w:tc>
        <w:tc>
          <w:tcPr>
            <w:tcW w:w="960" w:type="dxa"/>
            <w:vAlign w:val="bottom"/>
            <w:gridSpan w:val="2"/>
          </w:tcPr>
          <w:p>
            <w:pPr>
              <w:jc w:val="center"/>
              <w:ind w:left="1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Leigh Ann Schultz</w:t>
            </w:r>
          </w:p>
        </w:tc>
        <w:tc>
          <w:tcPr>
            <w:tcW w:w="2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34,120</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w:t>
            </w:r>
          </w:p>
        </w:tc>
        <w:tc>
          <w:tcPr>
            <w:tcW w:w="96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Edward H. McKay</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134,007</w:t>
            </w:r>
          </w:p>
        </w:tc>
        <w:tc>
          <w:tcPr>
            <w:tcW w:w="520" w:type="dxa"/>
            <w:vAlign w:val="bottom"/>
          </w:tcPr>
          <w:p>
            <w:pPr>
              <w:spacing w:after="0"/>
              <w:rPr>
                <w:sz w:val="19"/>
                <w:szCs w:val="19"/>
                <w:color w:val="auto"/>
              </w:rPr>
            </w:pPr>
          </w:p>
        </w:tc>
        <w:tc>
          <w:tcPr>
            <w:tcW w:w="960" w:type="dxa"/>
            <w:vAlign w:val="bottom"/>
            <w:gridSpan w:val="2"/>
          </w:tcPr>
          <w:p>
            <w:pPr>
              <w:jc w:val="center"/>
              <w:ind w:left="1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J. Volk</w:t>
            </w:r>
          </w:p>
        </w:tc>
        <w:tc>
          <w:tcPr>
            <w:tcW w:w="2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93,891</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w:t>
            </w:r>
          </w:p>
        </w:tc>
        <w:tc>
          <w:tcPr>
            <w:tcW w:w="96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Richard W. Mason Jr.</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54,939</w:t>
            </w:r>
          </w:p>
        </w:tc>
        <w:tc>
          <w:tcPr>
            <w:tcW w:w="520" w:type="dxa"/>
            <w:vAlign w:val="bottom"/>
          </w:tcPr>
          <w:p>
            <w:pPr>
              <w:spacing w:after="0"/>
              <w:rPr>
                <w:sz w:val="19"/>
                <w:szCs w:val="19"/>
                <w:color w:val="auto"/>
              </w:rPr>
            </w:pPr>
          </w:p>
        </w:tc>
        <w:tc>
          <w:tcPr>
            <w:tcW w:w="960" w:type="dxa"/>
            <w:vAlign w:val="bottom"/>
            <w:gridSpan w:val="2"/>
          </w:tcPr>
          <w:p>
            <w:pPr>
              <w:jc w:val="center"/>
              <w:ind w:left="1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Elaine M. Cheng</w:t>
            </w:r>
          </w:p>
        </w:tc>
        <w:tc>
          <w:tcPr>
            <w:tcW w:w="2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38,523</w:t>
            </w: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directors, nominees and executive officers as a group (20 persons)</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2,771,566</w:t>
            </w:r>
          </w:p>
        </w:tc>
        <w:tc>
          <w:tcPr>
            <w:tcW w:w="520" w:type="dxa"/>
            <w:vAlign w:val="bottom"/>
          </w:tcPr>
          <w:p>
            <w:pPr>
              <w:spacing w:after="0"/>
              <w:rPr>
                <w:sz w:val="18"/>
                <w:szCs w:val="18"/>
                <w:color w:val="auto"/>
              </w:rPr>
            </w:pPr>
          </w:p>
        </w:tc>
        <w:tc>
          <w:tcPr>
            <w:tcW w:w="960" w:type="dxa"/>
            <w:vAlign w:val="bottom"/>
            <w:gridSpan w:val="2"/>
          </w:tcPr>
          <w:p>
            <w:pPr>
              <w:jc w:val="center"/>
              <w:ind w:left="174"/>
              <w:spacing w:after="0"/>
              <w:rPr>
                <w:sz w:val="20"/>
                <w:szCs w:val="20"/>
                <w:color w:val="auto"/>
              </w:rPr>
            </w:pPr>
            <w:r>
              <w:rPr>
                <w:rFonts w:ascii="Times New Roman" w:cs="Times New Roman" w:eastAsia="Times New Roman" w:hAnsi="Times New Roman"/>
                <w:sz w:val="17"/>
                <w:szCs w:val="17"/>
                <w:color w:val="auto"/>
              </w:rPr>
              <w:t>5.01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than 1%.</w:t>
            </w: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w:t>
      </w:r>
    </w:p>
    <w:p>
      <w:pPr>
        <w:spacing w:after="0" w:line="32" w:lineRule="exact"/>
        <w:rPr>
          <w:sz w:val="20"/>
          <w:szCs w:val="20"/>
          <w:color w:val="auto"/>
        </w:rPr>
      </w:pPr>
    </w:p>
    <w:p>
      <w:pPr>
        <w:ind w:left="320" w:hanging="317"/>
        <w:spacing w:after="0" w:line="253" w:lineRule="auto"/>
        <w:tabs>
          <w:tab w:leader="none" w:pos="31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 common stock shown as beneficially owned by Mr. French include 86,485 shares of common stock owned by his wife, 37,796 shares owned by one of his adult children, 1,111,600 shares owned of record by six trusts for the benefit of Mr. French’s family members for which Mr. French serves as trustee, and 361,500 shares of common stock owned of record by a trust for the benefit of his family members for which one of his adult children serves as trustee. Mr. French disclaims beneficial ownership of the shares owned of record by spouse, his child, the trust for which his child serves as trustee and the trusts to which Mr. French has no pecuniary interest.</w:t>
      </w:r>
    </w:p>
    <w:p>
      <w:pPr>
        <w:ind w:left="320" w:right="60" w:hanging="317"/>
        <w:spacing w:after="0" w:line="266" w:lineRule="auto"/>
        <w:tabs>
          <w:tab w:leader="none" w:pos="31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 common stock shown as beneficially owned by Ms. Schultz include 38 shares owned of record by her spouse. Ms. Schultz disclaims beneficial ownership of such shares.</w:t>
      </w: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099" w:right="419" w:bottom="1440" w:gutter="0" w:footer="0" w:header="0"/>
        </w:sectPr>
      </w:pPr>
    </w:p>
    <w:bookmarkStart w:id="11" w:name="page12"/>
    <w:bookmarkEnd w:id="11"/>
    <w:p>
      <w:pPr>
        <w:ind w:left="320" w:right="360" w:hanging="317"/>
        <w:spacing w:after="0" w:line="287" w:lineRule="auto"/>
        <w:tabs>
          <w:tab w:leader="none" w:pos="3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 common stock shown as beneficially owned by Mr. Volk include 5,504 shares owned of record by his spouse. Mr. Volk disclaims beneficial ownership of such shares.</w:t>
      </w:r>
    </w:p>
    <w:p>
      <w:pPr>
        <w:spacing w:after="0" w:line="151" w:lineRule="exact"/>
        <w:rPr>
          <w:sz w:val="20"/>
          <w:szCs w:val="20"/>
          <w:color w:val="auto"/>
        </w:rPr>
      </w:pPr>
    </w:p>
    <w:p>
      <w:pPr>
        <w:ind w:right="200" w:firstLine="619"/>
        <w:spacing w:after="0" w:line="260" w:lineRule="auto"/>
        <w:rPr>
          <w:sz w:val="20"/>
          <w:szCs w:val="20"/>
          <w:color w:val="auto"/>
        </w:rPr>
      </w:pPr>
      <w:r>
        <w:rPr>
          <w:rFonts w:ascii="Times New Roman" w:cs="Times New Roman" w:eastAsia="Times New Roman" w:hAnsi="Times New Roman"/>
          <w:sz w:val="17"/>
          <w:szCs w:val="17"/>
          <w:color w:val="auto"/>
        </w:rPr>
        <w:t>The percentage of beneficial ownership as to any person as of February 23, 2026, is calculated by dividing the number of shares beneficially owned by such person, which includes the number of shares as to which such person has the right to acquire voting or investment power within 60 days, by the sum of the number of shares outstanding as of February 23, 2026, plus the number of shares as to which such person has the right to acquire voting or investment power within 60 days. Consequently, the denominator used for calculating such percentage may be different for each beneficial owner. Except as otherwise indicated below and under applicable community property laws, the Company believes that the beneficial owners of the Company’s common stock listed in the table have sole voting and investment power with respect to the shares shown.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Principal Shareholders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following table presents, as of February 23, 2026, information based upon the Company’s records and upon filings with the SEC regarding beneficial ownership of the common stock by each person known to the Company to be the beneficial owner of more than 5% of the common stock. The information is based on the most recent Schedule 13D, Schedule 13G, or Form 4 filed with the SEC on behalf of such persons.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240" w:type="dxa"/>
            <w:vAlign w:val="bottom"/>
            <w:gridSpan w:val="3"/>
          </w:tcPr>
          <w:p>
            <w:pPr>
              <w:jc w:val="center"/>
              <w:ind w:left="254"/>
              <w:spacing w:after="0"/>
              <w:rPr>
                <w:sz w:val="20"/>
                <w:szCs w:val="20"/>
                <w:color w:val="auto"/>
              </w:rPr>
            </w:pPr>
            <w:r>
              <w:rPr>
                <w:rFonts w:ascii="Times New Roman" w:cs="Times New Roman" w:eastAsia="Times New Roman" w:hAnsi="Times New Roman"/>
                <w:sz w:val="17"/>
                <w:szCs w:val="17"/>
                <w:b w:val="1"/>
                <w:bCs w:val="1"/>
                <w:color w:val="auto"/>
              </w:rPr>
              <w:t>Amount and Nature of</w:t>
            </w:r>
          </w:p>
        </w:tc>
        <w:tc>
          <w:tcPr>
            <w:tcW w:w="2660" w:type="dxa"/>
            <w:vAlign w:val="bottom"/>
            <w:gridSpan w:val="3"/>
          </w:tcPr>
          <w:p>
            <w:pPr>
              <w:ind w:left="1100"/>
              <w:spacing w:after="0"/>
              <w:rPr>
                <w:sz w:val="20"/>
                <w:szCs w:val="20"/>
                <w:color w:val="auto"/>
              </w:rPr>
            </w:pPr>
            <w:r>
              <w:rPr>
                <w:rFonts w:ascii="Times New Roman" w:cs="Times New Roman" w:eastAsia="Times New Roman" w:hAnsi="Times New Roman"/>
                <w:sz w:val="17"/>
                <w:szCs w:val="17"/>
                <w:b w:val="1"/>
                <w:bCs w:val="1"/>
                <w:color w:val="auto"/>
              </w:rPr>
              <w:t>Percent of</w:t>
            </w:r>
          </w:p>
        </w:tc>
      </w:tr>
      <w:tr>
        <w:trPr>
          <w:trHeight w:val="188"/>
        </w:trPr>
        <w:tc>
          <w:tcPr>
            <w:tcW w:w="434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7"/>
                <w:szCs w:val="17"/>
                <w:b w:val="1"/>
                <w:bCs w:val="1"/>
                <w:color w:val="auto"/>
              </w:rPr>
              <w:t>Name and Address</w:t>
            </w:r>
          </w:p>
        </w:tc>
        <w:tc>
          <w:tcPr>
            <w:tcW w:w="1500" w:type="dxa"/>
            <w:vAlign w:val="bottom"/>
          </w:tcPr>
          <w:p>
            <w:pPr>
              <w:spacing w:after="0"/>
              <w:rPr>
                <w:sz w:val="16"/>
                <w:szCs w:val="16"/>
                <w:color w:val="auto"/>
              </w:rPr>
            </w:pPr>
          </w:p>
        </w:tc>
        <w:tc>
          <w:tcPr>
            <w:tcW w:w="2740" w:type="dxa"/>
            <w:vAlign w:val="bottom"/>
            <w:gridSpan w:val="2"/>
          </w:tcPr>
          <w:p>
            <w:pPr>
              <w:jc w:val="center"/>
              <w:ind w:right="1160"/>
              <w:spacing w:after="0" w:line="188" w:lineRule="exact"/>
              <w:rPr>
                <w:sz w:val="20"/>
                <w:szCs w:val="20"/>
                <w:color w:val="auto"/>
              </w:rPr>
            </w:pPr>
            <w:r>
              <w:rPr>
                <w:rFonts w:ascii="Times New Roman" w:cs="Times New Roman" w:eastAsia="Times New Roman" w:hAnsi="Times New Roman"/>
                <w:sz w:val="17"/>
                <w:szCs w:val="17"/>
                <w:b w:val="1"/>
                <w:bCs w:val="1"/>
                <w:color w:val="auto"/>
              </w:rPr>
              <w:t>Beneficial Ownership</w:t>
            </w:r>
          </w:p>
        </w:tc>
        <w:tc>
          <w:tcPr>
            <w:tcW w:w="1100" w:type="dxa"/>
            <w:vAlign w:val="bottom"/>
          </w:tcPr>
          <w:p>
            <w:pPr>
              <w:spacing w:after="0"/>
              <w:rPr>
                <w:sz w:val="16"/>
                <w:szCs w:val="16"/>
                <w:color w:val="auto"/>
              </w:rPr>
            </w:pPr>
          </w:p>
        </w:tc>
        <w:tc>
          <w:tcPr>
            <w:tcW w:w="156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Class (%)</w:t>
            </w:r>
          </w:p>
        </w:tc>
      </w:tr>
      <w:tr>
        <w:trPr>
          <w:trHeight w:val="44"/>
        </w:trPr>
        <w:tc>
          <w:tcPr>
            <w:tcW w:w="2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9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580" w:type="dxa"/>
            <w:vAlign w:val="bottom"/>
            <w:tcBorders>
              <w:top w:val="single" w:sz="8" w:color="auto"/>
            </w:tcBorders>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840" w:type="dxa"/>
            <w:vAlign w:val="bottom"/>
          </w:tcPr>
          <w:p>
            <w:pPr>
              <w:spacing w:after="0"/>
              <w:rPr>
                <w:sz w:val="3"/>
                <w:szCs w:val="3"/>
                <w:color w:val="auto"/>
              </w:rPr>
            </w:pPr>
          </w:p>
        </w:tc>
      </w:tr>
      <w:tr>
        <w:trPr>
          <w:trHeight w:val="216"/>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BlackRock, Inc.</w:t>
            </w:r>
          </w:p>
        </w:tc>
        <w:tc>
          <w:tcPr>
            <w:tcW w:w="3080" w:type="dxa"/>
            <w:vAlign w:val="bottom"/>
            <w:gridSpan w:val="2"/>
            <w:shd w:val="clear" w:color="auto" w:fill="CCEEFF"/>
          </w:tcPr>
          <w:p>
            <w:pPr>
              <w:jc w:val="center"/>
              <w:ind w:left="1434"/>
              <w:spacing w:after="0"/>
              <w:rPr>
                <w:sz w:val="20"/>
                <w:szCs w:val="20"/>
                <w:color w:val="auto"/>
              </w:rPr>
            </w:pPr>
            <w:r>
              <w:rPr>
                <w:rFonts w:ascii="Times New Roman" w:cs="Times New Roman" w:eastAsia="Times New Roman" w:hAnsi="Times New Roman"/>
                <w:sz w:val="17"/>
                <w:szCs w:val="17"/>
                <w:color w:val="auto"/>
                <w:w w:val="99"/>
              </w:rPr>
              <w:t>7,093,772</w:t>
            </w:r>
          </w:p>
        </w:tc>
        <w:tc>
          <w:tcPr>
            <w:tcW w:w="1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left="1034"/>
              <w:spacing w:after="0"/>
              <w:rPr>
                <w:sz w:val="20"/>
                <w:szCs w:val="20"/>
                <w:color w:val="auto"/>
              </w:rPr>
            </w:pPr>
            <w:r>
              <w:rPr>
                <w:rFonts w:ascii="Times New Roman" w:cs="Times New Roman" w:eastAsia="Times New Roman" w:hAnsi="Times New Roman"/>
                <w:sz w:val="17"/>
                <w:szCs w:val="17"/>
                <w:color w:val="auto"/>
                <w:w w:val="99"/>
              </w:rPr>
              <w:t>12.83</w:t>
            </w:r>
          </w:p>
        </w:tc>
        <w:tc>
          <w:tcPr>
            <w:tcW w:w="840" w:type="dxa"/>
            <w:vAlign w:val="bottom"/>
            <w:shd w:val="clear" w:color="auto" w:fill="CCEEFF"/>
          </w:tcPr>
          <w:p>
            <w:pPr>
              <w:spacing w:after="0"/>
              <w:rPr>
                <w:sz w:val="18"/>
                <w:szCs w:val="18"/>
                <w:color w:val="auto"/>
              </w:rPr>
            </w:pPr>
          </w:p>
        </w:tc>
      </w:tr>
      <w:tr>
        <w:trPr>
          <w:trHeight w:val="206"/>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50 Hudson Yards</w:t>
            </w:r>
          </w:p>
        </w:tc>
        <w:tc>
          <w:tcPr>
            <w:tcW w:w="15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8"/>
        </w:trPr>
        <w:tc>
          <w:tcPr>
            <w:tcW w:w="4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York, NY 10001</w:t>
            </w:r>
          </w:p>
        </w:tc>
        <w:tc>
          <w:tcPr>
            <w:tcW w:w="15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6"/>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Energy Capital Partners Management, LP</w:t>
            </w:r>
          </w:p>
        </w:tc>
        <w:tc>
          <w:tcPr>
            <w:tcW w:w="3080" w:type="dxa"/>
            <w:vAlign w:val="bottom"/>
            <w:gridSpan w:val="2"/>
          </w:tcPr>
          <w:p>
            <w:pPr>
              <w:jc w:val="center"/>
              <w:ind w:left="1434"/>
              <w:spacing w:after="0"/>
              <w:rPr>
                <w:sz w:val="20"/>
                <w:szCs w:val="20"/>
                <w:color w:val="auto"/>
              </w:rPr>
            </w:pPr>
            <w:r>
              <w:rPr>
                <w:rFonts w:ascii="Times New Roman" w:cs="Times New Roman" w:eastAsia="Times New Roman" w:hAnsi="Times New Roman"/>
                <w:sz w:val="17"/>
                <w:szCs w:val="17"/>
                <w:color w:val="auto"/>
                <w:w w:val="99"/>
              </w:rPr>
              <w:t>6,774,728</w:t>
            </w:r>
          </w:p>
        </w:tc>
        <w:tc>
          <w:tcPr>
            <w:tcW w:w="1160" w:type="dxa"/>
            <w:vAlign w:val="bottom"/>
          </w:tcPr>
          <w:p>
            <w:pPr>
              <w:spacing w:after="0"/>
              <w:rPr>
                <w:sz w:val="18"/>
                <w:szCs w:val="18"/>
                <w:color w:val="auto"/>
              </w:rPr>
            </w:pPr>
          </w:p>
        </w:tc>
        <w:tc>
          <w:tcPr>
            <w:tcW w:w="1820" w:type="dxa"/>
            <w:vAlign w:val="bottom"/>
            <w:gridSpan w:val="2"/>
          </w:tcPr>
          <w:p>
            <w:pPr>
              <w:jc w:val="center"/>
              <w:ind w:left="1034"/>
              <w:spacing w:after="0"/>
              <w:rPr>
                <w:sz w:val="20"/>
                <w:szCs w:val="20"/>
                <w:color w:val="auto"/>
              </w:rPr>
            </w:pPr>
            <w:r>
              <w:rPr>
                <w:rFonts w:ascii="Times New Roman" w:cs="Times New Roman" w:eastAsia="Times New Roman" w:hAnsi="Times New Roman"/>
                <w:sz w:val="17"/>
                <w:szCs w:val="17"/>
                <w:color w:val="auto"/>
                <w:w w:val="99"/>
              </w:rPr>
              <w:t>12.25</w:t>
            </w:r>
          </w:p>
        </w:tc>
        <w:tc>
          <w:tcPr>
            <w:tcW w:w="840" w:type="dxa"/>
            <w:vAlign w:val="bottom"/>
          </w:tcPr>
          <w:p>
            <w:pPr>
              <w:spacing w:after="0"/>
              <w:rPr>
                <w:sz w:val="18"/>
                <w:szCs w:val="18"/>
                <w:color w:val="auto"/>
              </w:rPr>
            </w:pPr>
          </w:p>
        </w:tc>
      </w:tr>
      <w:tr>
        <w:trPr>
          <w:trHeight w:val="206"/>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40 Beechwood Road</w:t>
            </w:r>
          </w:p>
        </w:tc>
        <w:tc>
          <w:tcPr>
            <w:tcW w:w="1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3"/>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Summit, NJ, 07901</w:t>
            </w:r>
          </w:p>
        </w:tc>
        <w:tc>
          <w:tcPr>
            <w:tcW w:w="1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GCM Grosvenor Inc.</w:t>
            </w:r>
          </w:p>
        </w:tc>
        <w:tc>
          <w:tcPr>
            <w:tcW w:w="3080" w:type="dxa"/>
            <w:vAlign w:val="bottom"/>
            <w:gridSpan w:val="2"/>
            <w:shd w:val="clear" w:color="auto" w:fill="CCEEFF"/>
          </w:tcPr>
          <w:p>
            <w:pPr>
              <w:jc w:val="center"/>
              <w:ind w:left="1434"/>
              <w:spacing w:after="0"/>
              <w:rPr>
                <w:sz w:val="20"/>
                <w:szCs w:val="20"/>
                <w:color w:val="auto"/>
              </w:rPr>
            </w:pPr>
            <w:r>
              <w:rPr>
                <w:rFonts w:ascii="Times New Roman" w:cs="Times New Roman" w:eastAsia="Times New Roman" w:hAnsi="Times New Roman"/>
                <w:sz w:val="17"/>
                <w:szCs w:val="17"/>
                <w:color w:val="auto"/>
                <w:w w:val="99"/>
              </w:rPr>
              <w:t>4,116,050</w:t>
            </w:r>
          </w:p>
        </w:tc>
        <w:tc>
          <w:tcPr>
            <w:tcW w:w="1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left="1034"/>
              <w:spacing w:after="0"/>
              <w:rPr>
                <w:sz w:val="20"/>
                <w:szCs w:val="20"/>
                <w:color w:val="auto"/>
              </w:rPr>
            </w:pPr>
            <w:r>
              <w:rPr>
                <w:rFonts w:ascii="Times New Roman" w:cs="Times New Roman" w:eastAsia="Times New Roman" w:hAnsi="Times New Roman"/>
                <w:sz w:val="17"/>
                <w:szCs w:val="17"/>
                <w:color w:val="auto"/>
              </w:rPr>
              <w:t>7.44</w:t>
            </w:r>
          </w:p>
        </w:tc>
        <w:tc>
          <w:tcPr>
            <w:tcW w:w="840" w:type="dxa"/>
            <w:vAlign w:val="bottom"/>
            <w:shd w:val="clear" w:color="auto" w:fill="CCEEFF"/>
          </w:tcPr>
          <w:p>
            <w:pPr>
              <w:spacing w:after="0"/>
              <w:rPr>
                <w:sz w:val="18"/>
                <w:szCs w:val="18"/>
                <w:color w:val="auto"/>
              </w:rPr>
            </w:pPr>
          </w:p>
        </w:tc>
      </w:tr>
      <w:tr>
        <w:trPr>
          <w:trHeight w:val="206"/>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900 N. Michigan Avenue, Suite 1100</w:t>
            </w:r>
          </w:p>
        </w:tc>
        <w:tc>
          <w:tcPr>
            <w:tcW w:w="15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8"/>
        </w:trPr>
        <w:tc>
          <w:tcPr>
            <w:tcW w:w="4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Chicago, Illinois 60611</w:t>
            </w:r>
          </w:p>
        </w:tc>
        <w:tc>
          <w:tcPr>
            <w:tcW w:w="15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6"/>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Vanguard Group</w:t>
            </w:r>
          </w:p>
        </w:tc>
        <w:tc>
          <w:tcPr>
            <w:tcW w:w="3080" w:type="dxa"/>
            <w:vAlign w:val="bottom"/>
            <w:gridSpan w:val="2"/>
          </w:tcPr>
          <w:p>
            <w:pPr>
              <w:jc w:val="center"/>
              <w:ind w:left="1434"/>
              <w:spacing w:after="0"/>
              <w:rPr>
                <w:sz w:val="20"/>
                <w:szCs w:val="20"/>
                <w:color w:val="auto"/>
              </w:rPr>
            </w:pPr>
            <w:r>
              <w:rPr>
                <w:rFonts w:ascii="Times New Roman" w:cs="Times New Roman" w:eastAsia="Times New Roman" w:hAnsi="Times New Roman"/>
                <w:sz w:val="17"/>
                <w:szCs w:val="17"/>
                <w:color w:val="auto"/>
                <w:w w:val="99"/>
              </w:rPr>
              <w:t>3,428,108</w:t>
            </w:r>
          </w:p>
        </w:tc>
        <w:tc>
          <w:tcPr>
            <w:tcW w:w="1160" w:type="dxa"/>
            <w:vAlign w:val="bottom"/>
          </w:tcPr>
          <w:p>
            <w:pPr>
              <w:spacing w:after="0"/>
              <w:rPr>
                <w:sz w:val="18"/>
                <w:szCs w:val="18"/>
                <w:color w:val="auto"/>
              </w:rPr>
            </w:pPr>
          </w:p>
        </w:tc>
        <w:tc>
          <w:tcPr>
            <w:tcW w:w="1820" w:type="dxa"/>
            <w:vAlign w:val="bottom"/>
            <w:gridSpan w:val="2"/>
          </w:tcPr>
          <w:p>
            <w:pPr>
              <w:jc w:val="center"/>
              <w:ind w:left="1034"/>
              <w:spacing w:after="0"/>
              <w:rPr>
                <w:sz w:val="20"/>
                <w:szCs w:val="20"/>
                <w:color w:val="auto"/>
              </w:rPr>
            </w:pPr>
            <w:r>
              <w:rPr>
                <w:rFonts w:ascii="Times New Roman" w:cs="Times New Roman" w:eastAsia="Times New Roman" w:hAnsi="Times New Roman"/>
                <w:sz w:val="17"/>
                <w:szCs w:val="17"/>
                <w:color w:val="auto"/>
              </w:rPr>
              <w:t>6.20</w:t>
            </w:r>
          </w:p>
        </w:tc>
        <w:tc>
          <w:tcPr>
            <w:tcW w:w="840" w:type="dxa"/>
            <w:vAlign w:val="bottom"/>
          </w:tcPr>
          <w:p>
            <w:pPr>
              <w:spacing w:after="0"/>
              <w:rPr>
                <w:sz w:val="18"/>
                <w:szCs w:val="18"/>
                <w:color w:val="auto"/>
              </w:rPr>
            </w:pPr>
          </w:p>
        </w:tc>
      </w:tr>
      <w:tr>
        <w:trPr>
          <w:trHeight w:val="206"/>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100 Vanguard Boulevard</w:t>
            </w:r>
          </w:p>
        </w:tc>
        <w:tc>
          <w:tcPr>
            <w:tcW w:w="1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3"/>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Malvern, PA 19355</w:t>
            </w:r>
          </w:p>
        </w:tc>
        <w:tc>
          <w:tcPr>
            <w:tcW w:w="1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Southeastern Asset Management, Inc.</w:t>
            </w:r>
          </w:p>
        </w:tc>
        <w:tc>
          <w:tcPr>
            <w:tcW w:w="3080" w:type="dxa"/>
            <w:vAlign w:val="bottom"/>
            <w:gridSpan w:val="2"/>
            <w:shd w:val="clear" w:color="auto" w:fill="CCEEFF"/>
          </w:tcPr>
          <w:p>
            <w:pPr>
              <w:jc w:val="center"/>
              <w:ind w:left="1434"/>
              <w:spacing w:after="0"/>
              <w:rPr>
                <w:sz w:val="20"/>
                <w:szCs w:val="20"/>
                <w:color w:val="auto"/>
              </w:rPr>
            </w:pPr>
            <w:r>
              <w:rPr>
                <w:rFonts w:ascii="Times New Roman" w:cs="Times New Roman" w:eastAsia="Times New Roman" w:hAnsi="Times New Roman"/>
                <w:sz w:val="17"/>
                <w:szCs w:val="17"/>
                <w:color w:val="auto"/>
                <w:w w:val="99"/>
              </w:rPr>
              <w:t>2,940,296</w:t>
            </w:r>
          </w:p>
        </w:tc>
        <w:tc>
          <w:tcPr>
            <w:tcW w:w="1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left="1034"/>
              <w:spacing w:after="0"/>
              <w:rPr>
                <w:sz w:val="20"/>
                <w:szCs w:val="20"/>
                <w:color w:val="auto"/>
              </w:rPr>
            </w:pPr>
            <w:r>
              <w:rPr>
                <w:rFonts w:ascii="Times New Roman" w:cs="Times New Roman" w:eastAsia="Times New Roman" w:hAnsi="Times New Roman"/>
                <w:sz w:val="17"/>
                <w:szCs w:val="17"/>
                <w:color w:val="auto"/>
              </w:rPr>
              <w:t>5.32</w:t>
            </w:r>
          </w:p>
        </w:tc>
        <w:tc>
          <w:tcPr>
            <w:tcW w:w="840" w:type="dxa"/>
            <w:vAlign w:val="bottom"/>
            <w:shd w:val="clear" w:color="auto" w:fill="CCEEFF"/>
          </w:tcPr>
          <w:p>
            <w:pPr>
              <w:spacing w:after="0"/>
              <w:rPr>
                <w:sz w:val="18"/>
                <w:szCs w:val="18"/>
                <w:color w:val="auto"/>
              </w:rPr>
            </w:pPr>
          </w:p>
        </w:tc>
      </w:tr>
      <w:tr>
        <w:trPr>
          <w:trHeight w:val="206"/>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5100 Poplar Avenue, Suite 2450</w:t>
            </w:r>
          </w:p>
        </w:tc>
        <w:tc>
          <w:tcPr>
            <w:tcW w:w="15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8"/>
        </w:trPr>
        <w:tc>
          <w:tcPr>
            <w:tcW w:w="4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Memphis, TN 38137</w:t>
            </w:r>
          </w:p>
        </w:tc>
        <w:tc>
          <w:tcPr>
            <w:tcW w:w="15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6"/>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Barclays PLC</w:t>
            </w:r>
          </w:p>
        </w:tc>
        <w:tc>
          <w:tcPr>
            <w:tcW w:w="3080" w:type="dxa"/>
            <w:vAlign w:val="bottom"/>
            <w:gridSpan w:val="2"/>
          </w:tcPr>
          <w:p>
            <w:pPr>
              <w:jc w:val="center"/>
              <w:ind w:left="1434"/>
              <w:spacing w:after="0"/>
              <w:rPr>
                <w:sz w:val="20"/>
                <w:szCs w:val="20"/>
                <w:color w:val="auto"/>
              </w:rPr>
            </w:pPr>
            <w:r>
              <w:rPr>
                <w:rFonts w:ascii="Times New Roman" w:cs="Times New Roman" w:eastAsia="Times New Roman" w:hAnsi="Times New Roman"/>
                <w:sz w:val="17"/>
                <w:szCs w:val="17"/>
                <w:color w:val="auto"/>
                <w:w w:val="99"/>
              </w:rPr>
              <w:t>2,857,490</w:t>
            </w:r>
          </w:p>
        </w:tc>
        <w:tc>
          <w:tcPr>
            <w:tcW w:w="1160" w:type="dxa"/>
            <w:vAlign w:val="bottom"/>
          </w:tcPr>
          <w:p>
            <w:pPr>
              <w:spacing w:after="0"/>
              <w:rPr>
                <w:sz w:val="18"/>
                <w:szCs w:val="18"/>
                <w:color w:val="auto"/>
              </w:rPr>
            </w:pPr>
          </w:p>
        </w:tc>
        <w:tc>
          <w:tcPr>
            <w:tcW w:w="1820" w:type="dxa"/>
            <w:vAlign w:val="bottom"/>
            <w:gridSpan w:val="2"/>
          </w:tcPr>
          <w:p>
            <w:pPr>
              <w:jc w:val="center"/>
              <w:ind w:left="1034"/>
              <w:spacing w:after="0"/>
              <w:rPr>
                <w:sz w:val="20"/>
                <w:szCs w:val="20"/>
                <w:color w:val="auto"/>
              </w:rPr>
            </w:pPr>
            <w:r>
              <w:rPr>
                <w:rFonts w:ascii="Times New Roman" w:cs="Times New Roman" w:eastAsia="Times New Roman" w:hAnsi="Times New Roman"/>
                <w:sz w:val="17"/>
                <w:szCs w:val="17"/>
                <w:color w:val="auto"/>
              </w:rPr>
              <w:t>5.17</w:t>
            </w:r>
          </w:p>
        </w:tc>
        <w:tc>
          <w:tcPr>
            <w:tcW w:w="840" w:type="dxa"/>
            <w:vAlign w:val="bottom"/>
          </w:tcPr>
          <w:p>
            <w:pPr>
              <w:spacing w:after="0"/>
              <w:rPr>
                <w:sz w:val="18"/>
                <w:szCs w:val="18"/>
                <w:color w:val="auto"/>
              </w:rPr>
            </w:pPr>
          </w:p>
        </w:tc>
      </w:tr>
      <w:tr>
        <w:trPr>
          <w:trHeight w:val="206"/>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 Churchill Place</w:t>
            </w:r>
          </w:p>
        </w:tc>
        <w:tc>
          <w:tcPr>
            <w:tcW w:w="1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3"/>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London - E14 5HP</w:t>
            </w:r>
          </w:p>
        </w:tc>
        <w:tc>
          <w:tcPr>
            <w:tcW w:w="1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305" w:lineRule="exact"/>
        <w:rPr>
          <w:sz w:val="20"/>
          <w:szCs w:val="20"/>
          <w:color w:val="auto"/>
        </w:rPr>
      </w:pPr>
    </w:p>
    <w:p>
      <w:pPr>
        <w:ind w:right="380" w:firstLine="619"/>
        <w:spacing w:after="0" w:line="287" w:lineRule="auto"/>
        <w:rPr>
          <w:sz w:val="20"/>
          <w:szCs w:val="20"/>
          <w:color w:val="auto"/>
        </w:rPr>
      </w:pPr>
      <w:r>
        <w:rPr>
          <w:rFonts w:ascii="Times New Roman" w:cs="Times New Roman" w:eastAsia="Times New Roman" w:hAnsi="Times New Roman"/>
          <w:sz w:val="17"/>
          <w:szCs w:val="17"/>
          <w:color w:val="auto"/>
        </w:rPr>
        <w:t>The shares of common stock shown as beneficially owned by BlackRock, Inc. were reported on Schedule 13G/A filed with the SEC on November 8, 2024. BlackRock, Inc. reported sole power to vote 6,996,716 shares and sole power to dispose of 7,093,772 shares.</w:t>
      </w:r>
    </w:p>
    <w:p>
      <w:pPr>
        <w:spacing w:after="0" w:line="151" w:lineRule="exact"/>
        <w:rPr>
          <w:sz w:val="20"/>
          <w:szCs w:val="20"/>
          <w:color w:val="auto"/>
        </w:rPr>
      </w:pPr>
    </w:p>
    <w:p>
      <w:pPr>
        <w:ind w:right="40" w:firstLine="619"/>
        <w:spacing w:after="0" w:line="256" w:lineRule="auto"/>
        <w:rPr>
          <w:sz w:val="20"/>
          <w:szCs w:val="20"/>
          <w:color w:val="auto"/>
        </w:rPr>
      </w:pPr>
      <w:r>
        <w:rPr>
          <w:rFonts w:ascii="Times New Roman" w:cs="Times New Roman" w:eastAsia="Times New Roman" w:hAnsi="Times New Roman"/>
          <w:sz w:val="17"/>
          <w:szCs w:val="17"/>
          <w:color w:val="auto"/>
        </w:rPr>
        <w:t>The shares of common stock shown as beneficially owned Energy Capital Partners Management, LP were reported on Schedule 13D/A filed with the SEC on August 12, 2025. The total amount beneficially owned reflects (i) 3,548,427 shares of Common Stock issuable upon exchange of 81,000 shares of Series A Preferred Stock held of record by ECP Fiber Holdings, LP (the "ECP Investor") as of the date of the Schedule 13D/A; (ii) 3,221,550 shares of common stock held of record by Hill City Holdings LP ("Hill City"); and (iii) 4,751 shares of common stock held of record by Energy Capital Partners Management, LP ("ECP Management"). ECP ControlCo, LLC is the managing member of Energy Capital Partners IV, LLC, which is the general partner of Energy Capital Partners GP IV, LP, which is the general partner of each of (i) Energy Capital Partners IV-A, LP, (ii) Energy Capital Partners IV-B, LP, (iii) Energy Capital Partners IV-C, LP, and</w:t>
      </w:r>
    </w:p>
    <w:p>
      <w:pPr>
        <w:spacing w:after="0" w:line="3" w:lineRule="exact"/>
        <w:rPr>
          <w:sz w:val="20"/>
          <w:szCs w:val="20"/>
          <w:color w:val="auto"/>
        </w:rPr>
      </w:pPr>
    </w:p>
    <w:p>
      <w:pPr>
        <w:ind w:firstLine="3"/>
        <w:spacing w:after="0" w:line="259" w:lineRule="auto"/>
        <w:tabs>
          <w:tab w:leader="none" w:pos="291"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Energy Capital Partners IV-D, LP (the "Funds"). The Funds are the members of ECP Fiber Holdings GP, LLC, which is the general partner of the ECP Investor. Energy Capital Partners GP IV, LP is the general partner of Hill City IP. Each of (i) Energy Capital Partners IV-A, LP, (ii) Hill City IP, (iii) Energy Capital Partners IV-C, LP, and (iv) Energy Capital Partners IV-D, LP are the members of Hill City Holdings GP, LLC, which is the general partner of Hill City. ECP</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2" w:name="page13"/>
    <w:bookmarkEnd w:id="12"/>
    <w:p>
      <w:pPr>
        <w:ind w:right="260"/>
        <w:spacing w:after="0" w:line="264" w:lineRule="auto"/>
        <w:rPr>
          <w:sz w:val="20"/>
          <w:szCs w:val="20"/>
          <w:color w:val="auto"/>
        </w:rPr>
      </w:pPr>
      <w:r>
        <w:rPr>
          <w:rFonts w:ascii="Times New Roman" w:cs="Times New Roman" w:eastAsia="Times New Roman" w:hAnsi="Times New Roman"/>
          <w:sz w:val="17"/>
          <w:szCs w:val="17"/>
          <w:color w:val="auto"/>
        </w:rPr>
        <w:t>ControlCo, LLC is controlled by its board of managers, which consists of Douglas Kimmelman, Peter Labbat, Tyler Reeder, Rahman D'Argenio, Raoul Hughes and Xavier Robert (together, the "ECP Managers"), all of whom collectively share the power to vote and dispose of the securities beneficially owned by ECP ControlCo, LLC. As a result of the relationships described above, each of the ECP Managers may be deemed to share beneficial ownership of the securities disclosed in the table above. Each of them disclaims any such beneficial ownership.</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shares of common stock shown as beneficially owned by GCM Grosvenor Inc. were reported on Form 4 filed with the SEC on February 18, 2026.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GCM Grosvenor Inc. reported sole voting power of 4,116,050 shares and sole power to dispose of 4,116,050 shares.</w:t>
      </w:r>
    </w:p>
    <w:p>
      <w:pPr>
        <w:spacing w:after="0" w:line="200"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The shares of common stock shown as beneficially owned by The Vanguard Group, Inc. were reported on Schedule 13G/A filed with the SEC on January 30, 2026. The Vanguard Group, Inc. reported shared voting power of 364,434 shares and shared dispositive power of 3,428,108 shares.</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shares of common stock shown as beneficially owned by Southeastern Asset Management, Inc. were reported on Schedule 13G filed with the SEC on February 13, 2026. The total amount beneficially owned reflects (i) 2,935,927 shares of common stock held of record by Longleaf Partners Small-Cap Fund, which is managed by Southeastern Asset Management, Inc., and (ii) 4,369 shares of common stock held of record by Southeastern Asset Management, Inc.</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shares of common stock shown as beneficially owned by Barclays PLC were reported on Schedule 13G filed with the SEC on November 12, 2025.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Barclays PLC reported sole voting power of 2,857,490 shares and sole dispositive power of 2,857,490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PROPOSAL NO.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Nominees for Election as Directors for Terms Expiring in 2029</w:t>
      </w:r>
    </w:p>
    <w:p>
      <w:pPr>
        <w:spacing w:after="0" w:line="221" w:lineRule="exact"/>
        <w:rPr>
          <w:sz w:val="20"/>
          <w:szCs w:val="20"/>
          <w:color w:val="auto"/>
        </w:rPr>
      </w:pPr>
    </w:p>
    <w:p>
      <w:pPr>
        <w:jc w:val="both"/>
        <w:ind w:right="100" w:firstLine="619"/>
        <w:spacing w:after="0" w:line="264" w:lineRule="auto"/>
        <w:rPr>
          <w:sz w:val="20"/>
          <w:szCs w:val="20"/>
          <w:color w:val="auto"/>
        </w:rPr>
      </w:pPr>
      <w:r>
        <w:rPr>
          <w:rFonts w:ascii="Times New Roman" w:cs="Times New Roman" w:eastAsia="Times New Roman" w:hAnsi="Times New Roman"/>
          <w:sz w:val="17"/>
          <w:szCs w:val="17"/>
          <w:color w:val="auto"/>
        </w:rPr>
        <w:t>The Company’s Amended and Restated Articles of Incorporation provide that the Board of Directors is to be divided into three classes of directors, with the classes to be as nearly equal in number as possible. The terms of office of the three current classes of directors expire at this annual meeting ("Class 1"), at the annual meeting of shareholders in 2027 ("Class 2") and at the annual meeting of shareholders in 2028 ("Class 3"), respectively. Upon the expiration of the term of office of each class, the nominees for such class will be elected for a term of three years to succeed the directors whose terms of office expire.</w:t>
      </w:r>
    </w:p>
    <w:p>
      <w:pPr>
        <w:spacing w:after="0" w:line="184" w:lineRule="exact"/>
        <w:rPr>
          <w:sz w:val="20"/>
          <w:szCs w:val="20"/>
          <w:color w:val="auto"/>
        </w:rPr>
      </w:pPr>
    </w:p>
    <w:p>
      <w:pPr>
        <w:ind w:right="40" w:firstLine="619"/>
        <w:spacing w:after="0"/>
        <w:rPr>
          <w:sz w:val="20"/>
          <w:szCs w:val="20"/>
          <w:color w:val="auto"/>
        </w:rPr>
      </w:pPr>
      <w:r>
        <w:rPr>
          <w:rFonts w:ascii="Times New Roman" w:cs="Times New Roman" w:eastAsia="Times New Roman" w:hAnsi="Times New Roman"/>
          <w:sz w:val="17"/>
          <w:szCs w:val="17"/>
          <w:color w:val="auto"/>
        </w:rPr>
        <w:t>The Board of Directors has nominated current Class 1 directors Matthew S. DeNichilo and Kenneth L. Quaglio for reelection as Class 1 directors with a three-year term that will expire at the annual meeting of shareholders in 2029. Tracy Fitzsimmons and John W. Flora, also currently Class 1 directors, will be retiring from the Board effective at this annual meeting. In order to rebalance the distribution of directors across classes, the Board of Directors has also nominated Michael A. Rhymes, currently a Class 2 director, for reelection as a Class 1 director with a three year term that will expire at the annual meeting of shareholders in 2029. Mr. DeNichilo, Mr. Rhymes and Mr. Quaglio are incumbent directors who have served on the Board of Directors since 2024, 2024 and 2017, respectively. The Board has elected not to fill the vacancies created by Dr. Fitzsimmons' and Mr. Flora’s respective retirements at this time and will reduce the size of the Board from 11 to 9 directors effective as of immediately after this annual meeting. Biographical information regarding each of the nominees is available below under “Board and Board Committee Matters—Information About Nominees and Continuing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Nomination Process</w:t>
      </w:r>
    </w:p>
    <w:p>
      <w:pPr>
        <w:spacing w:after="0" w:line="221"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The Board of Directors has, by resolution, adopted a director nomination policy, the "Policies Relating to Director Nomination Process." The purpose of this policy is to describe the process by which candidates for possible inclusion in the Company’s recommended slate of director nominees are selected. The policy is administered by the Nominating and Corporate Governance Committee of the Board of Directors.</w:t>
      </w:r>
    </w:p>
    <w:p>
      <w:pPr>
        <w:spacing w:after="0" w:line="165"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The Nominating and Corporate Governance Committee seeks members from diverse professional and personal backgrounds who combine a broad spectrum of experience and expertise with a reputation for integrity. Pursuant to the director nomination policy, the Board of Directors’ assessment of potential members must include, but not be limited to, consideration of diversity of viewpoints, backgrounds and experiences; business and professional achievements, skills and experience in the context of the needs of the Board of Directors; a candidate’s independence under SEC and Nasdaq listing rules; a candidate’s service on other boards of directors; the absence of conflicts of interest that might impede the proper performance of a candidate’s responsibilities as a director; a candidate’s ability to devote sufficient time to Board matters; and a candidate’s ability to work effectively and collegially with other Board members. The Nominating and Corporate Governance Committee endeavors to include women and minority candidates in the qualified pool from which the Board of Directors selects its nominees. The Nominating and Corporate Governance Committee does not give particular weight to any one factor, but instead considers how the attributes of a candidate or nominee would enhance the Board’s overall qualifications and effectiveness. In the case of an incumbent director whose term of office is set to expire, the Nominating and Corporate Governance Committee will review such director’s overall service to the Company during their term, including the number of meetings attended, level of participation, quality of performance, and any transactions of such directors with the Company during the term. For potential new director candidates who appear upon initial consideration to meet the Board’s selection criteria, the Nominating and Corporate Governance Committee will conduct appropriate inquiries into their background and qualifications and, depending on the result of such inquiries, arrange for in-person or virtual meetings with the potential candidates. The effectiveness of the Nominating and Corporate Governance Committee’s candidate selection criteria is assessed through the Committee’s annual review of policies regarding Board and committee membership.</w:t>
      </w:r>
    </w:p>
    <w:p>
      <w:pPr>
        <w:spacing w:after="0" w:line="185"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The Nominating and Corporate Governance Committee may use multiple sources for identifying director candidates, including its own contacts and referrals from other directors, members of management, the Company’s advisors, and executive search firms. The Nominating and Corporate Governance Committee will consider director candidates recommended by shareholders and will evaluate such director candidates in the same manner in which it evaluates candidates recommended by other sources. In making recommendations for director nominees for the annual meeting of shareholders, the Nominating and Corporate Governance Committee will consider any written recommendations of director candidates by shareholders received by the Secretary of the Company not later than 120 days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4" w:name="page15"/>
    <w:bookmarkEnd w:id="14"/>
    <w:p>
      <w:pPr>
        <w:ind w:right="200"/>
        <w:spacing w:after="0" w:line="270" w:lineRule="auto"/>
        <w:rPr>
          <w:sz w:val="20"/>
          <w:szCs w:val="20"/>
          <w:color w:val="auto"/>
        </w:rPr>
      </w:pPr>
      <w:r>
        <w:rPr>
          <w:rFonts w:ascii="Times New Roman" w:cs="Times New Roman" w:eastAsia="Times New Roman" w:hAnsi="Times New Roman"/>
          <w:sz w:val="17"/>
          <w:szCs w:val="17"/>
          <w:color w:val="auto"/>
        </w:rPr>
        <w:t>before the anniversary of the previous year’s annual meeting of shareholders. Recommendations must include the candidate’s name and contact information and a statement of the candidate’s background and qualifications, and must be mailed to Shenandoah Telecommunications Company, 500 Shentel Way, P.O. Box 459, Edinburg, Virginia 22824, Attention: Corporate Secretary.</w:t>
      </w:r>
    </w:p>
    <w:p>
      <w:pPr>
        <w:spacing w:after="0" w:line="165"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 xml:space="preserve">The director nomination policy is intended to provide a flexible set of guidelines for the effective functioning of the Company’s director nomination process. The Nominating and Corporate Governance Committee intends to review the director nomination policy at least annually and anticipates that modifications may be necessary from time to time as the Company’s needs and circumstances evolve, and as applicable legal or listing standards change. The Nominating and Corporate Governance Committee may amend the director nomination policy at any time, in which case the most current version will be available on the Company’s website at </w:t>
      </w:r>
      <w:r>
        <w:rPr>
          <w:rFonts w:ascii="Times New Roman" w:cs="Times New Roman" w:eastAsia="Times New Roman" w:hAnsi="Times New Roman"/>
          <w:sz w:val="17"/>
          <w:szCs w:val="17"/>
          <w:i w:val="1"/>
          <w:iCs w:val="1"/>
          <w:color w:val="auto"/>
        </w:rPr>
        <w:t>www.shentel.com</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Approval of Nominees</w:t>
      </w:r>
    </w:p>
    <w:p>
      <w:pPr>
        <w:spacing w:after="0" w:line="221"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 xml:space="preserve">Approval of the nominees requires the affirmative vote of a majority of the votes cast at the annual meeting. It is the intention of the persons named in the proxy to vote such proxy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election of each of the nominees. In the event that any nominee should become unable or unwilling to serve as a director, the persons named in the proxy intend to vote for the election of such substitute nominee for director as the Board of Directors may recommend. In lieu of designating a substitute, the Board of Directors may determine to reduce the number of directors. It is not anticipated that any nominee will be unable or unwilling to serve as a director.</w:t>
      </w:r>
    </w:p>
    <w:p>
      <w:pPr>
        <w:spacing w:after="0" w:line="171" w:lineRule="exact"/>
        <w:rPr>
          <w:sz w:val="20"/>
          <w:szCs w:val="20"/>
          <w:color w:val="auto"/>
        </w:rPr>
      </w:pPr>
    </w:p>
    <w:p>
      <w:pPr>
        <w:ind w:right="620" w:firstLine="619"/>
        <w:spacing w:after="0" w:line="292"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that the shareholders of the Company vote FOR the election of the nominees to serve as directors.</w:t>
      </w:r>
    </w:p>
    <w:p>
      <w:pPr>
        <w:spacing w:after="0" w:line="200" w:lineRule="exact"/>
        <w:rPr>
          <w:sz w:val="20"/>
          <w:szCs w:val="20"/>
          <w:color w:val="auto"/>
        </w:rPr>
      </w:pPr>
    </w:p>
    <w:p>
      <w:pPr>
        <w:spacing w:after="0" w:line="38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BOARD AND BOARD COMMITTEE MATTERS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About Nominees and Continuing Directors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Biographical information, as of February 23, 2026, concerning each of the nominees and each of the directors continuing in office is presented below.</w:t>
      </w:r>
    </w:p>
    <w:p>
      <w:pPr>
        <w:spacing w:after="0" w:line="213" w:lineRule="exact"/>
        <w:rPr>
          <w:sz w:val="20"/>
          <w:szCs w:val="20"/>
          <w:color w:val="auto"/>
        </w:rPr>
      </w:pPr>
    </w:p>
    <w:tbl>
      <w:tblPr>
        <w:tblLayout w:type="fixed"/>
        <w:tblInd w:w="62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000" w:type="dxa"/>
            <w:vAlign w:val="bottom"/>
            <w:gridSpan w:val="3"/>
          </w:tcPr>
          <w:p>
            <w:pPr>
              <w:ind w:left="1000"/>
              <w:spacing w:after="0"/>
              <w:rPr>
                <w:sz w:val="20"/>
                <w:szCs w:val="20"/>
                <w:color w:val="auto"/>
              </w:rPr>
            </w:pPr>
            <w:r>
              <w:rPr>
                <w:rFonts w:ascii="Times New Roman" w:cs="Times New Roman" w:eastAsia="Times New Roman" w:hAnsi="Times New Roman"/>
                <w:sz w:val="17"/>
                <w:szCs w:val="17"/>
                <w:b w:val="1"/>
                <w:bCs w:val="1"/>
                <w:color w:val="auto"/>
              </w:rPr>
              <w:t>Nominees in Class 1 for Terms Expiring in 2029</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vMerge w:val="restart"/>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4"/>
              </w:rPr>
              <w:t>Name</w:t>
            </w:r>
          </w:p>
        </w:tc>
        <w:tc>
          <w:tcPr>
            <w:tcW w:w="2120" w:type="dxa"/>
            <w:vAlign w:val="bottom"/>
            <w:vMerge w:val="restart"/>
          </w:tcPr>
          <w:p>
            <w:pPr>
              <w:spacing w:after="0"/>
              <w:rPr>
                <w:sz w:val="24"/>
                <w:szCs w:val="24"/>
                <w:color w:val="auto"/>
              </w:rPr>
            </w:pPr>
          </w:p>
        </w:tc>
        <w:tc>
          <w:tcPr>
            <w:tcW w:w="6320" w:type="dxa"/>
            <w:vAlign w:val="bottom"/>
            <w:vMerge w:val="restart"/>
          </w:tcPr>
          <w:p>
            <w:pPr>
              <w:spacing w:after="0"/>
              <w:rPr>
                <w:sz w:val="24"/>
                <w:szCs w:val="24"/>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400" w:type="dxa"/>
            <w:vAlign w:val="bottom"/>
            <w:vMerge w:val="restart"/>
          </w:tcPr>
          <w:p>
            <w:pPr>
              <w:spacing w:after="0"/>
              <w:rPr>
                <w:sz w:val="24"/>
                <w:szCs w:val="24"/>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Director </w:t>
            </w:r>
            <w:r>
              <w:rPr>
                <w:rFonts w:ascii="Times New Roman" w:cs="Times New Roman" w:eastAsia="Times New Roman" w:hAnsi="Times New Roman"/>
                <w:sz w:val="20"/>
                <w:szCs w:val="20"/>
                <w:b w:val="1"/>
                <w:bCs w:val="1"/>
                <w:color w:val="auto"/>
              </w:rPr>
              <w:t>S</w:t>
            </w: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vMerge w:val="continue"/>
          </w:tcPr>
          <w:p>
            <w:pPr>
              <w:spacing w:after="0" w:line="20" w:lineRule="exact"/>
              <w:rPr>
                <w:sz w:val="1"/>
                <w:szCs w:val="1"/>
                <w:color w:val="auto"/>
              </w:rPr>
            </w:pPr>
          </w:p>
        </w:tc>
        <w:tc>
          <w:tcPr>
            <w:tcW w:w="63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Matthew S. DeNichilo</w:t>
            </w:r>
          </w:p>
        </w:tc>
        <w:tc>
          <w:tcPr>
            <w:tcW w:w="6600" w:type="dxa"/>
            <w:vAlign w:val="bottom"/>
            <w:tcBorders>
              <w:bottom w:val="single" w:sz="8" w:color="CCEEFF"/>
            </w:tcBorders>
            <w:gridSpan w:val="2"/>
            <w:shd w:val="clear" w:color="auto" w:fill="CCEEFF"/>
          </w:tcPr>
          <w:p>
            <w:pPr>
              <w:jc w:val="center"/>
              <w:ind w:left="6234"/>
              <w:spacing w:after="0"/>
              <w:rPr>
                <w:sz w:val="20"/>
                <w:szCs w:val="20"/>
                <w:color w:val="auto"/>
              </w:rPr>
            </w:pPr>
            <w:r>
              <w:rPr>
                <w:rFonts w:ascii="Times New Roman" w:cs="Times New Roman" w:eastAsia="Times New Roman" w:hAnsi="Times New Roman"/>
                <w:sz w:val="17"/>
                <w:szCs w:val="17"/>
                <w:color w:val="auto"/>
                <w:w w:val="93"/>
              </w:rPr>
              <w:t>41</w:t>
            </w:r>
          </w:p>
        </w:tc>
        <w:tc>
          <w:tcPr>
            <w:tcW w:w="4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23"/>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Michael A. Rhymes</w:t>
            </w:r>
          </w:p>
        </w:tc>
        <w:tc>
          <w:tcPr>
            <w:tcW w:w="6600" w:type="dxa"/>
            <w:vAlign w:val="bottom"/>
            <w:gridSpan w:val="2"/>
          </w:tcPr>
          <w:p>
            <w:pPr>
              <w:jc w:val="center"/>
              <w:ind w:left="6234"/>
              <w:spacing w:after="0"/>
              <w:rPr>
                <w:sz w:val="20"/>
                <w:szCs w:val="20"/>
                <w:color w:val="auto"/>
              </w:rPr>
            </w:pPr>
            <w:r>
              <w:rPr>
                <w:rFonts w:ascii="Times New Roman" w:cs="Times New Roman" w:eastAsia="Times New Roman" w:hAnsi="Times New Roman"/>
                <w:sz w:val="17"/>
                <w:szCs w:val="17"/>
                <w:color w:val="auto"/>
                <w:w w:val="93"/>
              </w:rPr>
              <w:t>58</w:t>
            </w:r>
          </w:p>
        </w:tc>
        <w:tc>
          <w:tcPr>
            <w:tcW w:w="4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Kenneth L. Quaglio</w:t>
            </w:r>
          </w:p>
        </w:tc>
        <w:tc>
          <w:tcPr>
            <w:tcW w:w="6600" w:type="dxa"/>
            <w:vAlign w:val="bottom"/>
            <w:gridSpan w:val="2"/>
            <w:shd w:val="clear" w:color="auto" w:fill="CCEEFF"/>
          </w:tcPr>
          <w:p>
            <w:pPr>
              <w:jc w:val="center"/>
              <w:ind w:left="6234"/>
              <w:spacing w:after="0"/>
              <w:rPr>
                <w:sz w:val="20"/>
                <w:szCs w:val="20"/>
                <w:color w:val="auto"/>
              </w:rPr>
            </w:pPr>
            <w:r>
              <w:rPr>
                <w:rFonts w:ascii="Times New Roman" w:cs="Times New Roman" w:eastAsia="Times New Roman" w:hAnsi="Times New Roman"/>
                <w:sz w:val="17"/>
                <w:szCs w:val="17"/>
                <w:color w:val="auto"/>
                <w:w w:val="93"/>
              </w:rPr>
              <w:t>67</w:t>
            </w: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2017</w:t>
            </w: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240" w:firstLine="619"/>
        <w:spacing w:after="0" w:line="242" w:lineRule="auto"/>
        <w:rPr>
          <w:sz w:val="20"/>
          <w:szCs w:val="20"/>
          <w:color w:val="auto"/>
        </w:rPr>
      </w:pPr>
      <w:r>
        <w:rPr>
          <w:rFonts w:ascii="Times New Roman" w:cs="Times New Roman" w:eastAsia="Times New Roman" w:hAnsi="Times New Roman"/>
          <w:sz w:val="17"/>
          <w:szCs w:val="17"/>
          <w:i w:val="1"/>
          <w:iCs w:val="1"/>
          <w:color w:val="auto"/>
        </w:rPr>
        <w:t xml:space="preserve">Matthew S. DeNichilo </w:t>
      </w:r>
      <w:r>
        <w:rPr>
          <w:rFonts w:ascii="Times New Roman" w:cs="Times New Roman" w:eastAsia="Times New Roman" w:hAnsi="Times New Roman"/>
          <w:sz w:val="17"/>
          <w:szCs w:val="17"/>
          <w:color w:val="auto"/>
        </w:rPr>
        <w:t>has served as a Partner at Energy Capital Partners (ECP) since 2018, which he joined as an Associate in 2008. He is a member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ECP’s Partnership, Investment and Valuation Committees. Mr. DeNichilo currently serves on the board of Triple Oak Power. Prior to joining ECP, Mr. DeNichilo worked at JP Morgan in the Energy Investment Banking Group. While at JP Morgan, he focused on leveraged finance and mergers and acquisition transactions among independent power producers. Mr. DeNichilo received a B.S.E. in Operations Research and Financial Engineering from Princeton University. Mr. DeNichilo brings to the Board additional qualifications including his financial background and expertise in mergers and acquisitions and strategic planning. Mr. DeNichilo also serves as an audit committee financial expert.</w:t>
      </w:r>
    </w:p>
    <w:p>
      <w:pPr>
        <w:spacing w:after="0" w:line="235" w:lineRule="exact"/>
        <w:rPr>
          <w:sz w:val="20"/>
          <w:szCs w:val="20"/>
          <w:color w:val="auto"/>
        </w:rPr>
      </w:pPr>
    </w:p>
    <w:p>
      <w:pPr>
        <w:ind w:right="140" w:firstLine="619"/>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Michael A. Rhymes </w:t>
      </w:r>
      <w:r>
        <w:rPr>
          <w:rFonts w:ascii="Times New Roman" w:cs="Times New Roman" w:eastAsia="Times New Roman" w:hAnsi="Times New Roman"/>
          <w:sz w:val="17"/>
          <w:szCs w:val="17"/>
          <w:color w:val="auto"/>
        </w:rPr>
        <w:t>is the Chief Information Officer at Entergy Corporation (NYSE: ETR), which he joined in 2021. He is responsible for all of Entergy’s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technology systems with a focus on delivering high value and innovative Digital and AI solutions via reliable, cost effective and secure technology services. Prior to joining Entergy, Mr. Rhymes was the Chief Information Officer at Gates Corporation from 2015 through 2021, where he developed the global information technology strategy and built the global IT organization required to implement and support the strategy. Before Gates, Mr. Rhymes held leadership positions at Eaton, Cooper Industries, Ernst &amp; Young and Anderson Consulting (now known as Accenture). Mr. Rhymes received both a Bachelor of Science in Economics and a Master of Business</w:t>
      </w:r>
    </w:p>
    <w:p>
      <w:pPr>
        <w:spacing w:after="0" w:line="200" w:lineRule="exact"/>
        <w:rPr>
          <w:sz w:val="20"/>
          <w:szCs w:val="20"/>
          <w:color w:val="auto"/>
        </w:rPr>
      </w:pPr>
    </w:p>
    <w:p>
      <w:pPr>
        <w:spacing w:after="0" w:line="3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03" w:right="239" w:bottom="1440" w:gutter="0" w:footer="0" w:header="0"/>
        </w:sectPr>
      </w:pPr>
    </w:p>
    <w:bookmarkStart w:id="15" w:name="page16"/>
    <w:bookmarkEnd w:id="15"/>
    <w:p>
      <w:pPr>
        <w:ind w:right="140"/>
        <w:spacing w:after="0" w:line="254" w:lineRule="auto"/>
        <w:rPr>
          <w:sz w:val="20"/>
          <w:szCs w:val="20"/>
          <w:color w:val="auto"/>
        </w:rPr>
      </w:pPr>
      <w:r>
        <w:rPr>
          <w:rFonts w:ascii="Times New Roman" w:cs="Times New Roman" w:eastAsia="Times New Roman" w:hAnsi="Times New Roman"/>
          <w:sz w:val="17"/>
          <w:szCs w:val="17"/>
          <w:color w:val="auto"/>
        </w:rPr>
        <w:t>Administration from Texas A&amp;M University. Mr. Rhymes brings to the Board additional qualifications, including strategic planning, large-scale business transformation and organizational development as well an in-depth understanding of a wide spectrum of relevant technology and cyber security issues in a highly regulated industry.</w:t>
      </w:r>
    </w:p>
    <w:p>
      <w:pPr>
        <w:spacing w:after="0" w:line="200"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Kenneth L. Quaglio </w:t>
      </w:r>
      <w:r>
        <w:rPr>
          <w:rFonts w:ascii="Times New Roman" w:cs="Times New Roman" w:eastAsia="Times New Roman" w:hAnsi="Times New Roman"/>
          <w:sz w:val="17"/>
          <w:szCs w:val="17"/>
          <w:color w:val="auto"/>
        </w:rPr>
        <w:t>has served as a Partner at the consulting firm A.T. Kearney, Inc. since 2022, where he leads the Americas Communications, Media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Technology practice. From 2017 through 2022, Mr. Quaglio was CEO and President of Celerity IT, LLC (now part of Randstad Technology), a business acceleration consulting group that specializes in developing digital business solutions, including mobile applications. From 2014 through 2017, Mr. Quaglio was CEO and President of Siteworx, LLC (now part of Merkle), a leading digital marketing consultancy. From 2012 through 2014, Mr. Quaglio served as Chief Operating Officer of 3Pillar Global, Inc., a global software product development company. From 2009 through 2012 he was Partner/Principal, Advisory Services Performance Improvement for Ernst and Young, LLP. Mr. Quaglio brings to the Board significant experience, qualifications, attributes and skills, including his experience as a CEO, and his expertise in strategy, planning and execution, mergers and acquisitions, leadership and management, new business development, and technology services. Mr. Quaglio also serves as an audit committee financial expert.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540" w:type="dxa"/>
            <w:vAlign w:val="bottom"/>
            <w:gridSpan w:val="2"/>
          </w:tcPr>
          <w:p>
            <w:pPr>
              <w:ind w:left="1100"/>
              <w:spacing w:after="0"/>
              <w:rPr>
                <w:sz w:val="20"/>
                <w:szCs w:val="20"/>
                <w:color w:val="auto"/>
              </w:rPr>
            </w:pPr>
            <w:r>
              <w:rPr>
                <w:rFonts w:ascii="Times New Roman" w:cs="Times New Roman" w:eastAsia="Times New Roman" w:hAnsi="Times New Roman"/>
                <w:sz w:val="17"/>
                <w:szCs w:val="17"/>
                <w:b w:val="1"/>
                <w:bCs w:val="1"/>
                <w:color w:val="auto"/>
              </w:rPr>
              <w:t>Continuing Directors in Class 2 with Terms Expiring in 2027</w:t>
            </w: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20" w:type="dxa"/>
            <w:vAlign w:val="bottom"/>
            <w:tcBorders>
              <w:bottom w:val="single" w:sz="8" w:color="auto"/>
            </w:tcBorders>
          </w:tcPr>
          <w:p>
            <w:pPr>
              <w:spacing w:after="0" w:line="186" w:lineRule="exact"/>
              <w:rPr>
                <w:sz w:val="20"/>
                <w:szCs w:val="20"/>
                <w:color w:val="auto"/>
              </w:rPr>
            </w:pPr>
            <w:r>
              <w:rPr>
                <w:rFonts w:ascii="Times New Roman" w:cs="Times New Roman" w:eastAsia="Times New Roman" w:hAnsi="Times New Roman"/>
                <w:sz w:val="17"/>
                <w:szCs w:val="17"/>
                <w:b w:val="1"/>
                <w:bCs w:val="1"/>
                <w:color w:val="auto"/>
                <w:w w:val="94"/>
              </w:rPr>
              <w:t>Name</w:t>
            </w:r>
          </w:p>
        </w:tc>
        <w:tc>
          <w:tcPr>
            <w:tcW w:w="2180" w:type="dxa"/>
            <w:vAlign w:val="bottom"/>
            <w:vMerge w:val="restart"/>
          </w:tcPr>
          <w:p>
            <w:pPr>
              <w:spacing w:after="0"/>
              <w:rPr>
                <w:sz w:val="17"/>
                <w:szCs w:val="17"/>
                <w:color w:val="auto"/>
              </w:rPr>
            </w:pPr>
          </w:p>
        </w:tc>
        <w:tc>
          <w:tcPr>
            <w:tcW w:w="6260" w:type="dxa"/>
            <w:vAlign w:val="bottom"/>
            <w:vMerge w:val="restart"/>
          </w:tcPr>
          <w:p>
            <w:pPr>
              <w:spacing w:after="0"/>
              <w:rPr>
                <w:sz w:val="17"/>
                <w:szCs w:val="17"/>
                <w:color w:val="auto"/>
              </w:rPr>
            </w:pPr>
          </w:p>
        </w:tc>
        <w:tc>
          <w:tcPr>
            <w:tcW w:w="280" w:type="dxa"/>
            <w:vAlign w:val="bottom"/>
            <w:tcBorders>
              <w:bottom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w w:val="98"/>
              </w:rPr>
              <w:t>Age</w:t>
            </w:r>
          </w:p>
        </w:tc>
        <w:tc>
          <w:tcPr>
            <w:tcW w:w="2080" w:type="dxa"/>
            <w:vAlign w:val="bottom"/>
            <w:gridSpan w:val="3"/>
            <w:vMerge w:val="restart"/>
          </w:tcPr>
          <w:p>
            <w:pPr>
              <w:jc w:val="center"/>
              <w:ind w:left="514"/>
              <w:spacing w:after="0"/>
              <w:rPr>
                <w:sz w:val="20"/>
                <w:szCs w:val="20"/>
                <w:color w:val="auto"/>
              </w:rPr>
            </w:pPr>
            <w:r>
              <w:rPr>
                <w:rFonts w:ascii="Times New Roman" w:cs="Times New Roman" w:eastAsia="Times New Roman" w:hAnsi="Times New Roman"/>
                <w:sz w:val="17"/>
                <w:szCs w:val="17"/>
                <w:b w:val="1"/>
                <w:bCs w:val="1"/>
                <w:color w:val="auto"/>
              </w:rPr>
              <w:t xml:space="preserve">Director </w:t>
            </w:r>
            <w:r>
              <w:rPr>
                <w:rFonts w:ascii="Times New Roman" w:cs="Times New Roman" w:eastAsia="Times New Roman" w:hAnsi="Times New Roman"/>
                <w:sz w:val="20"/>
                <w:szCs w:val="20"/>
                <w:b w:val="1"/>
                <w:bCs w:val="1"/>
                <w:color w:val="auto"/>
              </w:rPr>
              <w:t>Since</w:t>
            </w: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vMerge w:val="continue"/>
          </w:tcPr>
          <w:p>
            <w:pPr>
              <w:spacing w:after="0" w:line="20" w:lineRule="exact"/>
              <w:rPr>
                <w:sz w:val="1"/>
                <w:szCs w:val="1"/>
                <w:color w:val="auto"/>
              </w:rPr>
            </w:pPr>
          </w:p>
        </w:tc>
        <w:tc>
          <w:tcPr>
            <w:tcW w:w="626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6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Thomas A. Beckett</w:t>
            </w:r>
          </w:p>
        </w:tc>
        <w:tc>
          <w:tcPr>
            <w:tcW w:w="6540" w:type="dxa"/>
            <w:vAlign w:val="bottom"/>
            <w:tcBorders>
              <w:bottom w:val="single" w:sz="8" w:color="CCEEFF"/>
            </w:tcBorders>
            <w:gridSpan w:val="2"/>
            <w:shd w:val="clear" w:color="auto" w:fill="CCEEFF"/>
          </w:tcPr>
          <w:p>
            <w:pPr>
              <w:jc w:val="center"/>
              <w:ind w:left="6174"/>
              <w:spacing w:after="0"/>
              <w:rPr>
                <w:sz w:val="20"/>
                <w:szCs w:val="20"/>
                <w:color w:val="auto"/>
              </w:rPr>
            </w:pPr>
            <w:r>
              <w:rPr>
                <w:rFonts w:ascii="Times New Roman" w:cs="Times New Roman" w:eastAsia="Times New Roman" w:hAnsi="Times New Roman"/>
                <w:sz w:val="17"/>
                <w:szCs w:val="17"/>
                <w:color w:val="auto"/>
                <w:w w:val="93"/>
              </w:rPr>
              <w:t>58</w:t>
            </w:r>
          </w:p>
        </w:tc>
        <w:tc>
          <w:tcPr>
            <w:tcW w:w="1900" w:type="dxa"/>
            <w:vAlign w:val="bottom"/>
            <w:tcBorders>
              <w:bottom w:val="single" w:sz="8" w:color="CCEEFF"/>
            </w:tcBorders>
            <w:gridSpan w:val="2"/>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w w:val="99"/>
              </w:rPr>
              <w:t>2018</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Richard L. Koontz, Jr.</w:t>
            </w:r>
          </w:p>
        </w:tc>
        <w:tc>
          <w:tcPr>
            <w:tcW w:w="6540" w:type="dxa"/>
            <w:vAlign w:val="bottom"/>
            <w:gridSpan w:val="2"/>
          </w:tcPr>
          <w:p>
            <w:pPr>
              <w:jc w:val="center"/>
              <w:ind w:left="6174"/>
              <w:spacing w:after="0"/>
              <w:rPr>
                <w:sz w:val="20"/>
                <w:szCs w:val="20"/>
                <w:color w:val="auto"/>
              </w:rPr>
            </w:pPr>
            <w:r>
              <w:rPr>
                <w:rFonts w:ascii="Times New Roman" w:cs="Times New Roman" w:eastAsia="Times New Roman" w:hAnsi="Times New Roman"/>
                <w:sz w:val="17"/>
                <w:szCs w:val="17"/>
                <w:color w:val="auto"/>
                <w:w w:val="93"/>
              </w:rPr>
              <w:t>68</w:t>
            </w:r>
          </w:p>
        </w:tc>
        <w:tc>
          <w:tcPr>
            <w:tcW w:w="1900" w:type="dxa"/>
            <w:vAlign w:val="bottom"/>
            <w:gridSpan w:val="2"/>
          </w:tcPr>
          <w:p>
            <w:pPr>
              <w:jc w:val="center"/>
              <w:ind w:left="714"/>
              <w:spacing w:after="0"/>
              <w:rPr>
                <w:sz w:val="20"/>
                <w:szCs w:val="20"/>
                <w:color w:val="auto"/>
              </w:rPr>
            </w:pPr>
            <w:r>
              <w:rPr>
                <w:rFonts w:ascii="Times New Roman" w:cs="Times New Roman" w:eastAsia="Times New Roman" w:hAnsi="Times New Roman"/>
                <w:sz w:val="17"/>
                <w:szCs w:val="17"/>
                <w:color w:val="auto"/>
                <w:w w:val="99"/>
              </w:rPr>
              <w:t>2006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Leigh Ann Schultz</w:t>
            </w:r>
          </w:p>
        </w:tc>
        <w:tc>
          <w:tcPr>
            <w:tcW w:w="6540" w:type="dxa"/>
            <w:vAlign w:val="bottom"/>
            <w:gridSpan w:val="2"/>
            <w:shd w:val="clear" w:color="auto" w:fill="CCEEFF"/>
          </w:tcPr>
          <w:p>
            <w:pPr>
              <w:jc w:val="center"/>
              <w:ind w:left="6174"/>
              <w:spacing w:after="0"/>
              <w:rPr>
                <w:sz w:val="20"/>
                <w:szCs w:val="20"/>
                <w:color w:val="auto"/>
              </w:rPr>
            </w:pPr>
            <w:r>
              <w:rPr>
                <w:rFonts w:ascii="Times New Roman" w:cs="Times New Roman" w:eastAsia="Times New Roman" w:hAnsi="Times New Roman"/>
                <w:sz w:val="17"/>
                <w:szCs w:val="17"/>
                <w:color w:val="auto"/>
                <w:w w:val="93"/>
              </w:rPr>
              <w:t>52</w:t>
            </w:r>
          </w:p>
        </w:tc>
        <w:tc>
          <w:tcPr>
            <w:tcW w:w="1900" w:type="dxa"/>
            <w:vAlign w:val="bottom"/>
            <w:gridSpan w:val="2"/>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w w:val="99"/>
              </w:rPr>
              <w:t>2016</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Thomas A. Beckett </w:t>
      </w:r>
      <w:r>
        <w:rPr>
          <w:rFonts w:ascii="Times New Roman" w:cs="Times New Roman" w:eastAsia="Times New Roman" w:hAnsi="Times New Roman"/>
          <w:sz w:val="17"/>
          <w:szCs w:val="17"/>
          <w:color w:val="auto"/>
        </w:rPr>
        <w:t>has served as the Senior Vice President, General Counsel and Secretary of American Public Education, Inc. (APEI), a publicly-traded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provider of online and on-campus post-secondary education headquartered in Charles Town, West Virginia since 2016. Mr. Beckett also serves as the General Counsel and Secretary of American Public University System, Inc. (APUS), a wholly-owned subsidiary of APEI, and has held various other positions with APUS since joining the company in 2011. From 2007 to 2010, Mr. Beckett was the General Counsel and Chief Operating Officer of InnoZen, Inc. (now CURE Pharmaceutical) and HealthSport, Inc., pharmaceutical and dietary supplement technology companies located in California. Mr. Beckett also held various other leadership positions at these companies. Prior to this work, Mr. Beckett was an attorney at the international law firms King &amp; Spalding LLP and Holland &amp; Knight LLP. Mr. Beckett began his career as a banking officer with First Union National Bank. Mr. Beckett brings to the Board significant experience, qualifications, attributes and skills, including his significant experience providing advice and guidance to Boards of Directors and executive management, his expertise in corporate governance, and his experience as an executive officer of a public company.</w:t>
      </w:r>
    </w:p>
    <w:p>
      <w:pPr>
        <w:spacing w:after="0" w:line="184" w:lineRule="exact"/>
        <w:rPr>
          <w:sz w:val="20"/>
          <w:szCs w:val="20"/>
          <w:color w:val="auto"/>
        </w:rPr>
      </w:pPr>
    </w:p>
    <w:p>
      <w:pPr>
        <w:ind w:right="220" w:firstLine="619"/>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Richard L. Koontz, Jr. </w:t>
      </w:r>
      <w:r>
        <w:rPr>
          <w:rFonts w:ascii="Times New Roman" w:cs="Times New Roman" w:eastAsia="Times New Roman" w:hAnsi="Times New Roman"/>
          <w:sz w:val="17"/>
          <w:szCs w:val="17"/>
          <w:color w:val="auto"/>
        </w:rPr>
        <w:t>has served as President of Holtzman Oil Corp., a supplier and distributor of petroleum products located in Mt. Jackson, Virginia,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since 2022, and previously served as Vice President since 1988. He also serves as Chairman of Virginia Petroleum &amp; Convenience Marketers Association, Chairman of the Mt. Jackson Economic Development Authority, and Secretary of the Northern Virginia Petroleum Association. Mr. Koontz brings to the Board significant experience, qualifications, attributes and skills, including his experience as a member of senior management of a successful regional business, with substantial budget authority and finance responsibilities, his community service through membership on the Shenandoah County Public Schools Board, and his knowledge of the Company’s extensive local shareholder base.</w:t>
      </w:r>
    </w:p>
    <w:p>
      <w:pPr>
        <w:spacing w:after="0" w:line="195" w:lineRule="exact"/>
        <w:rPr>
          <w:sz w:val="20"/>
          <w:szCs w:val="20"/>
          <w:color w:val="auto"/>
        </w:rPr>
      </w:pPr>
    </w:p>
    <w:p>
      <w:pPr>
        <w:ind w:right="40" w:firstLine="619"/>
        <w:spacing w:after="0" w:line="241" w:lineRule="auto"/>
        <w:rPr>
          <w:sz w:val="20"/>
          <w:szCs w:val="20"/>
          <w:color w:val="auto"/>
        </w:rPr>
      </w:pPr>
      <w:r>
        <w:rPr>
          <w:rFonts w:ascii="Times New Roman" w:cs="Times New Roman" w:eastAsia="Times New Roman" w:hAnsi="Times New Roman"/>
          <w:sz w:val="17"/>
          <w:szCs w:val="17"/>
          <w:i w:val="1"/>
          <w:iCs w:val="1"/>
          <w:color w:val="auto"/>
        </w:rPr>
        <w:t xml:space="preserve">Leigh Ann Schultz </w:t>
      </w:r>
      <w:r>
        <w:rPr>
          <w:rFonts w:ascii="Times New Roman" w:cs="Times New Roman" w:eastAsia="Times New Roman" w:hAnsi="Times New Roman"/>
          <w:sz w:val="17"/>
          <w:szCs w:val="17"/>
          <w:color w:val="auto"/>
        </w:rPr>
        <w:t>has served as the CFO of Big B Corporation (dba Lahzo), an integrated AI and marketing company, since July of 2025. Ms. Schultz</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previously the CFO of Harvest Hosts Opco, LLC, a membership-based travel and recreation company, since March of 2021, and CFO of Streetsense, LLC, a strategy and design consultancy, from May 2017 to February 2021. Prior to this, she worked in consulting for AlixPartners and MorganFranklin Consulting, strategy and execution-focused business consulting firms. Ms. Schultz also brings significant relevant experience, qualifications, attributes and skills, including financial leadership roles in the telecommunications industry, service in the Division of Corporation Finance of the Securities and Exchange Commission, and public accounting experience with Ernst &amp; Young. Ms. Schultz is a certified public accountant and a National Association of Corporate Director Board Leadership Fellow. Ms. Schultz also serves as an audit committee financial expert.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72"/>
        </w:trPr>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6520" w:type="dxa"/>
            <w:vAlign w:val="bottom"/>
            <w:gridSpan w:val="2"/>
          </w:tcPr>
          <w:p>
            <w:pPr>
              <w:ind w:left="1080"/>
              <w:spacing w:after="0"/>
              <w:rPr>
                <w:sz w:val="20"/>
                <w:szCs w:val="20"/>
                <w:color w:val="auto"/>
              </w:rPr>
            </w:pPr>
            <w:r>
              <w:rPr>
                <w:rFonts w:ascii="Times New Roman" w:cs="Times New Roman" w:eastAsia="Times New Roman" w:hAnsi="Times New Roman"/>
                <w:sz w:val="17"/>
                <w:szCs w:val="17"/>
                <w:b w:val="1"/>
                <w:bCs w:val="1"/>
                <w:color w:val="auto"/>
              </w:rPr>
              <w:t xml:space="preserve">Continuing Directors in Class 3 for Terms Expiring in </w:t>
            </w:r>
            <w:r>
              <w:rPr>
                <w:rFonts w:ascii="Times New Roman" w:cs="Times New Roman" w:eastAsia="Times New Roman" w:hAnsi="Times New Roman"/>
                <w:sz w:val="20"/>
                <w:szCs w:val="20"/>
                <w:b w:val="1"/>
                <w:bCs w:val="1"/>
                <w:color w:val="auto"/>
              </w:rPr>
              <w:t>2028</w:t>
            </w:r>
          </w:p>
        </w:tc>
        <w:tc>
          <w:tcPr>
            <w:tcW w:w="1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7"/>
                <w:szCs w:val="17"/>
                <w:b w:val="1"/>
                <w:bCs w:val="1"/>
                <w:color w:val="auto"/>
                <w:w w:val="94"/>
              </w:rPr>
              <w:t>Name</w:t>
            </w:r>
          </w:p>
        </w:tc>
        <w:tc>
          <w:tcPr>
            <w:tcW w:w="2200" w:type="dxa"/>
            <w:vAlign w:val="bottom"/>
            <w:vMerge w:val="restart"/>
          </w:tcPr>
          <w:p>
            <w:pPr>
              <w:spacing w:after="0"/>
              <w:rPr>
                <w:sz w:val="17"/>
                <w:szCs w:val="17"/>
                <w:color w:val="auto"/>
              </w:rPr>
            </w:pPr>
          </w:p>
        </w:tc>
        <w:tc>
          <w:tcPr>
            <w:tcW w:w="6240" w:type="dxa"/>
            <w:vAlign w:val="bottom"/>
            <w:vMerge w:val="restart"/>
          </w:tcPr>
          <w:p>
            <w:pPr>
              <w:spacing w:after="0"/>
              <w:rPr>
                <w:sz w:val="17"/>
                <w:szCs w:val="17"/>
                <w:color w:val="auto"/>
              </w:rPr>
            </w:pPr>
          </w:p>
        </w:tc>
        <w:tc>
          <w:tcPr>
            <w:tcW w:w="2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8"/>
              </w:rPr>
              <w:t>Age</w:t>
            </w:r>
          </w:p>
        </w:tc>
        <w:tc>
          <w:tcPr>
            <w:tcW w:w="2080" w:type="dxa"/>
            <w:vAlign w:val="bottom"/>
            <w:gridSpan w:val="3"/>
            <w:vMerge w:val="restart"/>
          </w:tcPr>
          <w:p>
            <w:pPr>
              <w:jc w:val="center"/>
              <w:ind w:left="514"/>
              <w:spacing w:after="0"/>
              <w:rPr>
                <w:sz w:val="20"/>
                <w:szCs w:val="20"/>
                <w:color w:val="auto"/>
              </w:rPr>
            </w:pPr>
            <w:r>
              <w:rPr>
                <w:rFonts w:ascii="Times New Roman" w:cs="Times New Roman" w:eastAsia="Times New Roman" w:hAnsi="Times New Roman"/>
                <w:sz w:val="17"/>
                <w:szCs w:val="17"/>
                <w:b w:val="1"/>
                <w:bCs w:val="1"/>
                <w:color w:val="auto"/>
              </w:rPr>
              <w:t xml:space="preserve">Director </w:t>
            </w:r>
            <w:r>
              <w:rPr>
                <w:rFonts w:ascii="Times New Roman" w:cs="Times New Roman" w:eastAsia="Times New Roman" w:hAnsi="Times New Roman"/>
                <w:sz w:val="20"/>
                <w:szCs w:val="20"/>
                <w:b w:val="1"/>
                <w:bCs w:val="1"/>
                <w:color w:val="auto"/>
              </w:rPr>
              <w:t>Since</w:t>
            </w: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vMerge w:val="continue"/>
          </w:tcPr>
          <w:p>
            <w:pPr>
              <w:spacing w:after="0" w:line="20" w:lineRule="exact"/>
              <w:rPr>
                <w:sz w:val="1"/>
                <w:szCs w:val="1"/>
                <w:color w:val="auto"/>
              </w:rPr>
            </w:pPr>
          </w:p>
        </w:tc>
        <w:tc>
          <w:tcPr>
            <w:tcW w:w="624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6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Victor C. Barnes</w:t>
            </w:r>
          </w:p>
        </w:tc>
        <w:tc>
          <w:tcPr>
            <w:tcW w:w="6520" w:type="dxa"/>
            <w:vAlign w:val="bottom"/>
            <w:tcBorders>
              <w:bottom w:val="single" w:sz="8" w:color="CCEEFF"/>
            </w:tcBorders>
            <w:gridSpan w:val="2"/>
            <w:shd w:val="clear" w:color="auto" w:fill="CCEEFF"/>
          </w:tcPr>
          <w:p>
            <w:pPr>
              <w:jc w:val="center"/>
              <w:ind w:left="6154"/>
              <w:spacing w:after="0"/>
              <w:rPr>
                <w:sz w:val="20"/>
                <w:szCs w:val="20"/>
                <w:color w:val="auto"/>
              </w:rPr>
            </w:pPr>
            <w:r>
              <w:rPr>
                <w:rFonts w:ascii="Times New Roman" w:cs="Times New Roman" w:eastAsia="Times New Roman" w:hAnsi="Times New Roman"/>
                <w:sz w:val="17"/>
                <w:szCs w:val="17"/>
                <w:color w:val="auto"/>
                <w:w w:val="93"/>
              </w:rPr>
              <w:t>61</w:t>
            </w:r>
          </w:p>
        </w:tc>
        <w:tc>
          <w:tcPr>
            <w:tcW w:w="1900" w:type="dxa"/>
            <w:vAlign w:val="bottom"/>
            <w:tcBorders>
              <w:bottom w:val="single" w:sz="8" w:color="CCEEFF"/>
            </w:tcBorders>
            <w:gridSpan w:val="2"/>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w w:val="99"/>
              </w:rPr>
              <w:t>2022</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James F. DiMola</w:t>
            </w:r>
          </w:p>
        </w:tc>
        <w:tc>
          <w:tcPr>
            <w:tcW w:w="6520" w:type="dxa"/>
            <w:vAlign w:val="bottom"/>
            <w:gridSpan w:val="2"/>
          </w:tcPr>
          <w:p>
            <w:pPr>
              <w:jc w:val="center"/>
              <w:ind w:left="6154"/>
              <w:spacing w:after="0"/>
              <w:rPr>
                <w:sz w:val="20"/>
                <w:szCs w:val="20"/>
                <w:color w:val="auto"/>
              </w:rPr>
            </w:pPr>
            <w:r>
              <w:rPr>
                <w:rFonts w:ascii="Times New Roman" w:cs="Times New Roman" w:eastAsia="Times New Roman" w:hAnsi="Times New Roman"/>
                <w:sz w:val="17"/>
                <w:szCs w:val="17"/>
                <w:color w:val="auto"/>
                <w:w w:val="93"/>
              </w:rPr>
              <w:t>39</w:t>
            </w:r>
          </w:p>
        </w:tc>
        <w:tc>
          <w:tcPr>
            <w:tcW w:w="1900" w:type="dxa"/>
            <w:vAlign w:val="bottom"/>
            <w:gridSpan w:val="2"/>
          </w:tcPr>
          <w:p>
            <w:pPr>
              <w:jc w:val="center"/>
              <w:ind w:left="714"/>
              <w:spacing w:after="0"/>
              <w:rPr>
                <w:sz w:val="20"/>
                <w:szCs w:val="20"/>
                <w:color w:val="auto"/>
              </w:rPr>
            </w:pPr>
            <w:r>
              <w:rPr>
                <w:rFonts w:ascii="Times New Roman" w:cs="Times New Roman" w:eastAsia="Times New Roman" w:hAnsi="Times New Roman"/>
                <w:sz w:val="17"/>
                <w:szCs w:val="17"/>
                <w:color w:val="auto"/>
                <w:w w:val="99"/>
              </w:rPr>
              <w:t>2024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Christopher E. French</w:t>
            </w:r>
          </w:p>
        </w:tc>
        <w:tc>
          <w:tcPr>
            <w:tcW w:w="6520" w:type="dxa"/>
            <w:vAlign w:val="bottom"/>
            <w:gridSpan w:val="2"/>
            <w:shd w:val="clear" w:color="auto" w:fill="CCEEFF"/>
          </w:tcPr>
          <w:p>
            <w:pPr>
              <w:jc w:val="center"/>
              <w:ind w:left="6154"/>
              <w:spacing w:after="0"/>
              <w:rPr>
                <w:sz w:val="20"/>
                <w:szCs w:val="20"/>
                <w:color w:val="auto"/>
              </w:rPr>
            </w:pPr>
            <w:r>
              <w:rPr>
                <w:rFonts w:ascii="Times New Roman" w:cs="Times New Roman" w:eastAsia="Times New Roman" w:hAnsi="Times New Roman"/>
                <w:sz w:val="17"/>
                <w:szCs w:val="17"/>
                <w:color w:val="auto"/>
                <w:w w:val="93"/>
              </w:rPr>
              <w:t>67</w:t>
            </w:r>
          </w:p>
        </w:tc>
        <w:tc>
          <w:tcPr>
            <w:tcW w:w="1900" w:type="dxa"/>
            <w:vAlign w:val="bottom"/>
            <w:gridSpan w:val="2"/>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w w:val="99"/>
              </w:rPr>
              <w:t>1996</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6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Victor C. Barnes </w:t>
      </w:r>
      <w:r>
        <w:rPr>
          <w:rFonts w:ascii="Times New Roman" w:cs="Times New Roman" w:eastAsia="Times New Roman" w:hAnsi="Times New Roman"/>
          <w:sz w:val="17"/>
          <w:szCs w:val="17"/>
          <w:color w:val="auto"/>
        </w:rPr>
        <w:t>is an author, executive coach and provides consultancy and advisory services to businesses. Previously, Mr. Barnes served as Chief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Connected Planning at Anaplan, a business planning software company, from 2021 to September 2022. Prior to joining Anaplan, Mr. Barnes spent over 25 years (1994-2020) at The Coca-Cola Company, an international beverage company, in various capacities, including most recently, Vice President, Global Chief Financial Officer, McDonald’s Division. While serving at The Coca-Cola Company, Mr. Barnes led merger integration for the Company's Glaceau business unit managing the Vitaminwater and Smartwater brands acquired in 2007. In 2015, Mr. Barnes served as the Chief Financial Officer for Coca-Cola Canada until 2018, when he took on his subsequent role. He is also a Certified Public Accountant. Mr. Barnes brings to the Board significant experience, qualifications, attributes and skills, including extensive financial leadership experience and an in-depth knowledge of critical accounting, tax and treasury issues, along with a deep appreciation for the technology sector, both from his experience at The Coca-Cola Company and at Anaplan.</w:t>
      </w:r>
    </w:p>
    <w:p>
      <w:pPr>
        <w:spacing w:after="0" w:line="188" w:lineRule="exact"/>
        <w:rPr>
          <w:sz w:val="20"/>
          <w:szCs w:val="20"/>
          <w:color w:val="auto"/>
        </w:rPr>
      </w:pPr>
    </w:p>
    <w:p>
      <w:pPr>
        <w:ind w:firstLine="619"/>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James F. DiMola </w:t>
      </w:r>
      <w:r>
        <w:rPr>
          <w:rFonts w:ascii="Times New Roman" w:cs="Times New Roman" w:eastAsia="Times New Roman" w:hAnsi="Times New Roman"/>
          <w:sz w:val="17"/>
          <w:szCs w:val="17"/>
          <w:color w:val="auto"/>
        </w:rPr>
        <w:t>is Managing Director, Infrastructure Investments, at GCM Grosvenor, which he joined in 2019, where he focuses on direct infrastructure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investments. His responsibilities include originating, executing, and managing investments, including board-level duties From 2013 through 2019, Mr. DiMola served as Vice President at Cooper Investment Partners, where he focused on middle-market infrastructure investments. From 2010 through 2013, Mr. DiMola was</w:t>
      </w:r>
    </w:p>
    <w:p>
      <w:pPr>
        <w:spacing w:after="0" w:line="1"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7"/>
          <w:szCs w:val="17"/>
          <w:color w:val="auto"/>
        </w:rPr>
        <w:t>an Associate with First Reserve Corporation, where he focused on investments in the energy equipment and services sectors. From 2008 through 2010, Mr. DiMola served as an Analyst in the investment banking division of Barclays Capital (formerly Lehman Brothers), where he assisted in acquisition and capital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raising advisory for companies in the regulated utility and power generation industry. Mr. DiMola received his Bachelor of Science in Finance and Bachelor of</w:t>
      </w:r>
    </w:p>
    <w:p>
      <w:pPr>
        <w:spacing w:after="0" w:line="33"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7"/>
          <w:szCs w:val="17"/>
          <w:color w:val="auto"/>
        </w:rPr>
        <w:t>Science in Accounting from New York University. Mr. DiMola brings to the Board additional qualifications, including his financial background and expertise in analyzing all aspects of companies in the infrastructure space, particularly telecommunications companies.</w:t>
      </w:r>
    </w:p>
    <w:p>
      <w:pPr>
        <w:spacing w:after="0" w:line="186"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Christopher E. French </w:t>
      </w:r>
      <w:r>
        <w:rPr>
          <w:rFonts w:ascii="Times New Roman" w:cs="Times New Roman" w:eastAsia="Times New Roman" w:hAnsi="Times New Roman"/>
          <w:sz w:val="17"/>
          <w:szCs w:val="17"/>
          <w:color w:val="auto"/>
        </w:rPr>
        <w:t>has served as Executive Chairman of the Company since September 2025, and has served as Chairman of the Board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since 1996. He also served as President and Chief Executive Officer of the Company and its subsidiaries from 1988 to September 2025. Prior to his appointment as President, he held a variety of positions with the Company, including Executive Vice President and Vice President - Network Service. Mr. French served on the Board of Directors of First National Corporation until May of 2018. Mr. French brings to the Board significant experience, qualifications, attributes and skills, including his engineering and business education, telecommunications industry experience, knowledge of and history with the Company, and public company knowledge, including knowledge gained from his past service as a director of First National Corporation. In addition, his substantial ownership of the Company’s common stock serves to align his interests with the Company’s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21"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The Board of Directors has determined that, with the exception of Christopher E. French, the Company's Executive Chairman, each of the directors and director nominees is an “independent director,” as that term is defined in Nasdaq Listing Rule 5605(a)(2).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 Communications with the Board of Directors</w:t>
      </w:r>
    </w:p>
    <w:p>
      <w:pPr>
        <w:spacing w:after="0" w:line="221" w:lineRule="exact"/>
        <w:rPr>
          <w:sz w:val="20"/>
          <w:szCs w:val="20"/>
          <w:color w:val="auto"/>
        </w:rPr>
      </w:pPr>
    </w:p>
    <w:p>
      <w:pPr>
        <w:ind w:right="160" w:firstLine="619"/>
        <w:spacing w:after="0" w:line="260" w:lineRule="auto"/>
        <w:rPr>
          <w:sz w:val="20"/>
          <w:szCs w:val="20"/>
          <w:color w:val="auto"/>
        </w:rPr>
      </w:pPr>
      <w:r>
        <w:rPr>
          <w:rFonts w:ascii="Times New Roman" w:cs="Times New Roman" w:eastAsia="Times New Roman" w:hAnsi="Times New Roman"/>
          <w:sz w:val="17"/>
          <w:szCs w:val="17"/>
          <w:color w:val="auto"/>
        </w:rPr>
        <w:t>The Board of Directors welcomes communications from the Company’s shareholders, and has adopted a procedure for receiving and addressing those communications. Shareholders may send written communications to either the full Board of Directors or the non-management directors as a group by writing to the Board of Directors or the non-management directors at the following address: Board of Directors/Non-Management Directors, Shenandoah Telecommunications Company, 500 Shentel Way, P.O. Box 459, Edinburg, Virginia 22824, Attention: Corporate Secretary. Communications by e-mail should be addressed to corpsec@shentel.net and marked “Attention: Corporate Secretary” in the “Subject” field. The secretary will review and forward all shareholder communications to the intended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7" w:name="page18"/>
    <w:bookmarkEnd w:id="17"/>
    <w:p>
      <w:pPr>
        <w:ind w:right="480"/>
        <w:spacing w:after="0" w:line="287" w:lineRule="auto"/>
        <w:rPr>
          <w:sz w:val="20"/>
          <w:szCs w:val="20"/>
          <w:color w:val="auto"/>
        </w:rPr>
      </w:pPr>
      <w:r>
        <w:rPr>
          <w:rFonts w:ascii="Times New Roman" w:cs="Times New Roman" w:eastAsia="Times New Roman" w:hAnsi="Times New Roman"/>
          <w:sz w:val="17"/>
          <w:szCs w:val="17"/>
          <w:color w:val="auto"/>
        </w:rPr>
        <w:t>recipient, except for those shareholder communications that are outside the scope of Board matters or duplicative of other communications by the applicable shareholder previously forwarded to the intended recipient.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Meetings of the Board of Directors</w:t>
      </w:r>
    </w:p>
    <w:p>
      <w:pPr>
        <w:spacing w:after="0" w:line="221" w:lineRule="exact"/>
        <w:rPr>
          <w:sz w:val="20"/>
          <w:szCs w:val="20"/>
          <w:color w:val="auto"/>
        </w:rPr>
      </w:pPr>
    </w:p>
    <w:p>
      <w:pPr>
        <w:ind w:right="240" w:firstLine="619"/>
        <w:spacing w:after="0" w:line="270" w:lineRule="auto"/>
        <w:rPr>
          <w:sz w:val="20"/>
          <w:szCs w:val="20"/>
          <w:color w:val="auto"/>
        </w:rPr>
      </w:pPr>
      <w:r>
        <w:rPr>
          <w:rFonts w:ascii="Times New Roman" w:cs="Times New Roman" w:eastAsia="Times New Roman" w:hAnsi="Times New Roman"/>
          <w:sz w:val="17"/>
          <w:szCs w:val="17"/>
          <w:color w:val="auto"/>
        </w:rPr>
        <w:t>The Board of Directors held six (6) meetings during 2025. During 2025 each director attended at least 75% of the aggregate of the total number of meetings of the Board of Directors and of each committee of the Board of Directors on which such director served. In addition, the independent directors, under the leadership of the Lead Independent Director, met without management present five (5) times during 2025</w:t>
      </w:r>
      <w:r>
        <w:rPr>
          <w:rFonts w:ascii="Times New Roman" w:cs="Times New Roman" w:eastAsia="Times New Roman" w:hAnsi="Times New Roman"/>
          <w:sz w:val="17"/>
          <w:szCs w:val="17"/>
          <w:b w:val="1"/>
          <w:bCs w:val="1"/>
          <w:color w:val="auto"/>
        </w:rPr>
        <w:t>.</w:t>
      </w:r>
    </w:p>
    <w:p>
      <w:pPr>
        <w:spacing w:after="0" w:line="165"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All of the Company’s directors attended the Company’s annual meeting of shareholders in 2025, which was held in-person. The Board of Directors has adopted a policy that all directors should attend the annual meeting of shareholders.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21" w:lineRule="exact"/>
        <w:rPr>
          <w:sz w:val="20"/>
          <w:szCs w:val="20"/>
          <w:color w:val="auto"/>
        </w:rPr>
      </w:pPr>
    </w:p>
    <w:p>
      <w:pPr>
        <w:ind w:right="500" w:firstLine="619"/>
        <w:spacing w:after="0" w:line="287" w:lineRule="auto"/>
        <w:rPr>
          <w:sz w:val="20"/>
          <w:szCs w:val="20"/>
          <w:color w:val="auto"/>
        </w:rPr>
      </w:pPr>
      <w:r>
        <w:rPr>
          <w:rFonts w:ascii="Times New Roman" w:cs="Times New Roman" w:eastAsia="Times New Roman" w:hAnsi="Times New Roman"/>
          <w:sz w:val="17"/>
          <w:szCs w:val="17"/>
          <w:color w:val="auto"/>
        </w:rPr>
        <w:t xml:space="preserve">The Board of Directors currently has a standing Audit Committee, a standing Compensation Committee, and a standing Nominating and Corporate Governance Committee. Each committee has a written charter that is available on our website at </w:t>
      </w:r>
      <w:r>
        <w:rPr>
          <w:rFonts w:ascii="Times New Roman" w:cs="Times New Roman" w:eastAsia="Times New Roman" w:hAnsi="Times New Roman"/>
          <w:sz w:val="17"/>
          <w:szCs w:val="17"/>
          <w:i w:val="1"/>
          <w:iCs w:val="1"/>
          <w:color w:val="auto"/>
        </w:rPr>
        <w:t>www.shentel.com.</w:t>
      </w:r>
    </w:p>
    <w:p>
      <w:pPr>
        <w:spacing w:after="0" w:line="147"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i w:val="1"/>
          <w:iCs w:val="1"/>
          <w:color w:val="auto"/>
        </w:rPr>
        <w:t>Audit Committee</w:t>
      </w:r>
      <w:r>
        <w:rPr>
          <w:rFonts w:ascii="Times New Roman" w:cs="Times New Roman" w:eastAsia="Times New Roman" w:hAnsi="Times New Roman"/>
          <w:sz w:val="17"/>
          <w:szCs w:val="17"/>
          <w:color w:val="auto"/>
        </w:rPr>
        <w:t>. The Audit Committee, which held four (4) meetings during 2025, consists of Ms. Schultz, who is the Chair, Mr. DeNichilo, Mr.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Quaglio, and Mr. Rhymes. The Board of Directors has determined that each current Audit Committee member meets the independence requirements applicable to audit committee members under the Nasdaq listing rules and rules of the SEC. The Board of Directors has also determined that Ms. Schultz, Mr. Barnes, Mr. DeNichilo and Mr. Quaglio are “audit committee financial experts,” as such term is defined in Item 407(d)(5) of Regulation S-K promulgated by the SEC, and are independent of management. The Audit Committee is responsible, among its other duties, for engaging, overseeing, evaluating and replacing the Company’s independent auditors; pre-approving all audit and non-audit services by the independent auditors; reviewing the scope of the audit plan and the results of each audit with management and the independent auditors; reviewing the adequacy of the Company’s system of internal accounting controls and disclosure controls and procedures; reviewing the performance of the Company’s internal audit department; reviewing the financial statements and other financial information included in the Company’s annual and quarterly reports filed with the SEC; and providing oversight of the Company’s enterprise risk management process, including cybersecurity risk.</w:t>
      </w:r>
    </w:p>
    <w:p>
      <w:pPr>
        <w:spacing w:after="0" w:line="176"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i w:val="1"/>
          <w:iCs w:val="1"/>
          <w:color w:val="auto"/>
        </w:rPr>
        <w:t>Compensation Committee</w:t>
      </w:r>
      <w:r>
        <w:rPr>
          <w:rFonts w:ascii="Times New Roman" w:cs="Times New Roman" w:eastAsia="Times New Roman" w:hAnsi="Times New Roman"/>
          <w:sz w:val="17"/>
          <w:szCs w:val="17"/>
          <w:color w:val="auto"/>
        </w:rPr>
        <w:t>. The Compensation Committee, which held four (4) meetings during 2025, consists of Mr. Flora, who is the Chair, Mr. Barnes,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Dr. Fitzsimmons and Mr. Koontz. The Board of Directors has determined that each current Compensation Committee member meets the independence requirements applicable to compensation committee members under the Nasdaq listing rules and rules of the SEC. The Compensation Committee is responsible, among its other duties, for establishing compensation philosophy, considering and approving or making recommendations to the Board of Directors concerning the salaries, incentive compensation awards, severance arrangements and other employment matters for the top levels of management of the Company (including the Chief Executive Officer), considering and making recommendations to the Board of Directors with respect to programs for human resource development and management organization and succession planning designed to maximize the pool of internal candidates who can assume top management positions, overseeing the Company’s handling of human capital management matters and related disclosures, overseeing and administering the Company’s employee benefit and incentive plans (including the Company’s stock incentive plans), reviewing and making recommendations to the Board with respect to compensation of non-employee directors and overseeing the Company’s stock ownership guidelines for officers and directors.</w:t>
      </w:r>
    </w:p>
    <w:p>
      <w:pPr>
        <w:spacing w:after="0" w:line="176"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i w:val="1"/>
          <w:iCs w:val="1"/>
          <w:color w:val="auto"/>
        </w:rPr>
        <w:t>Nominating and Corporate Governance Committee</w:t>
      </w:r>
      <w:r>
        <w:rPr>
          <w:rFonts w:ascii="Times New Roman" w:cs="Times New Roman" w:eastAsia="Times New Roman" w:hAnsi="Times New Roman"/>
          <w:sz w:val="17"/>
          <w:szCs w:val="17"/>
          <w:color w:val="auto"/>
        </w:rPr>
        <w:t>. The Nominating and Corporate Governance Committee, which held two (2) meetings during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consists of Dr. Fitzsimmons, who is the Chair, Mr. Beckett, Mr. DiMola and Mr. Flora. The Board of Directors has determined each Nominating and Corporate Governance Committee member meets the independence requirements prescribed by the Nasdaq listing rules. The Nominating and Corporate Governance Committee is responsible, among its other duties, for: recommending candidates for election to the Board of Directors for approval and nomination by the Board of Directors; making recommendations to the Board of Directors or otherwise acting with respect to corporate governance matters, including Board size, director independence and membership qualifications; new director orientation; committee structure and membership; communications with shareholders; Board and committee self-evaluations; and, exercising oversight with respect to the Company’s code of conduct, Insider Trading Policy, environmental, social and governance policies, objectives and practices (including the Company's strategy relating to such matters), Corporate Governance Guidelines, Policies Relating to Director Nomination Process, and other policies and procedures regarding adherence with legal requirements.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Leadership Structure of the Board of Directors</w:t>
      </w:r>
    </w:p>
    <w:p>
      <w:pPr>
        <w:spacing w:after="0" w:line="208" w:lineRule="exact"/>
        <w:rPr>
          <w:sz w:val="20"/>
          <w:szCs w:val="20"/>
          <w:color w:val="auto"/>
        </w:rPr>
      </w:pPr>
    </w:p>
    <w:p>
      <w:pPr>
        <w:ind w:right="40" w:firstLine="619"/>
        <w:spacing w:after="0"/>
        <w:rPr>
          <w:sz w:val="20"/>
          <w:szCs w:val="20"/>
          <w:color w:val="auto"/>
        </w:rPr>
      </w:pPr>
      <w:r>
        <w:rPr>
          <w:rFonts w:ascii="Times New Roman" w:cs="Times New Roman" w:eastAsia="Times New Roman" w:hAnsi="Times New Roman"/>
          <w:sz w:val="17"/>
          <w:szCs w:val="17"/>
          <w:color w:val="auto"/>
        </w:rPr>
        <w:t>The Board regularly reviews its leadership structure, including during the Board’s annual evaluation process, to determine the most appropriate governance structure for the Company. This year, the Board determined it was in the best interests of the Company to separate the roles of Chief Executive Officer and Chairman of the Board (“Chairman”) and establish a new position of Executive Chairman of the Board (“Executive Chairman”). Edward H. McKay is our President and Chief Executive Officer, and Christopher E. French is Chairman of the Board, as well as our Executive Chairman. We believe this structure is optimal for Shentel because it allows Mr. McKay to focus on leading the organization while Mr. French leads the Board of Directors. In addition to Mr. French serving as our Executive Chairman, Dr. Fitzsimmons serves as the Lead Independent Director of the Board (the “Lead Independent Director”). We believe having a Lead Independent Director is an important governance practice given that our Executive Chairman, Mr. French, is not an independent director and, pursuant to our Corporate Governance Guidelines, whenever the Chairman is not independent, the independent directors must elect a Lead Independent Director.</w:t>
      </w:r>
    </w:p>
    <w:p>
      <w:pPr>
        <w:spacing w:after="0" w:line="202" w:lineRule="exact"/>
        <w:rPr>
          <w:sz w:val="20"/>
          <w:szCs w:val="20"/>
          <w:color w:val="auto"/>
        </w:rPr>
      </w:pPr>
    </w:p>
    <w:p>
      <w:pPr>
        <w:ind w:right="80" w:firstLine="619"/>
        <w:spacing w:after="0" w:line="241" w:lineRule="auto"/>
        <w:rPr>
          <w:sz w:val="20"/>
          <w:szCs w:val="20"/>
          <w:color w:val="auto"/>
        </w:rPr>
      </w:pPr>
      <w:r>
        <w:rPr>
          <w:rFonts w:ascii="Times New Roman" w:cs="Times New Roman" w:eastAsia="Times New Roman" w:hAnsi="Times New Roman"/>
          <w:sz w:val="17"/>
          <w:szCs w:val="17"/>
          <w:color w:val="auto"/>
        </w:rPr>
        <w:t>The Board has given careful consideration to the merits of separating the roles of Chairman and Chief Executive Officer and combines or separates the positions of Chairman and Chief Executive Officer based on what our Board believes best serves the needs of the Company and our shareholders at any particular time based on then-existing facts and circumstances. The Board has determined that the Company and its shareholders are best served by having Mr. French serve as our Executive Chairman and Mr. McKay serve as our Chief Executive Officer. By separating the roles of Executive Chairman and Chief Executive Officer, the current structure provides continuity of leadership both within our executive management team and on the Board while providing Mr. McKay the ability to focus on the operation and management of the Company in his role as Chief Executive Officer. Our Board believes that its current leadership structure provides independent board leadership and oversight while also benefiting from having Mr. French serve as Executive Chairman, who, while he served as our Chief Executive Officer, demonstrated the strong leadership and vision necessary to drive our strategies and achieve our objectives. Mr. French provides support to Mr. McKay in his role as Chief Executive Officer and Mr. French is supported in his Board responsibilities by the strong independent leadership of our Lead</w:t>
      </w:r>
    </w:p>
    <w:p>
      <w:pPr>
        <w:spacing w:after="0" w:line="12"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7"/>
          <w:szCs w:val="17"/>
          <w:color w:val="auto"/>
        </w:rPr>
        <w:t>Independent Director. The Board believes that the separate leadership roles of Executive Chairman and Chief Executive Officer and a strong Lead Independent Director allows the Board to provide effective oversight of the Company’s business and affairs while maintaining continuity of leadership. Such oversight is maintained through the composition of our Board, the strong leadership of our independent directors and Board committees, and our corporate governance structures and processes.</w:t>
      </w:r>
    </w:p>
    <w:p>
      <w:pPr>
        <w:spacing w:after="0" w:line="201" w:lineRule="exact"/>
        <w:rPr>
          <w:sz w:val="20"/>
          <w:szCs w:val="20"/>
          <w:color w:val="auto"/>
        </w:rPr>
      </w:pPr>
    </w:p>
    <w:p>
      <w:pPr>
        <w:ind w:right="680" w:firstLine="619"/>
        <w:spacing w:after="0" w:line="271" w:lineRule="auto"/>
        <w:rPr>
          <w:sz w:val="20"/>
          <w:szCs w:val="20"/>
          <w:color w:val="auto"/>
        </w:rPr>
      </w:pPr>
      <w:r>
        <w:rPr>
          <w:rFonts w:ascii="Times New Roman" w:cs="Times New Roman" w:eastAsia="Times New Roman" w:hAnsi="Times New Roman"/>
          <w:sz w:val="17"/>
          <w:szCs w:val="17"/>
          <w:color w:val="auto"/>
        </w:rPr>
        <w:t>Ten (10) out of our current eleven (11) directors meet the independence requirements of the Nasdaq listing rules. In his current role as Executive Chairman, Mr. French is the only member of executive management who is also a director.</w:t>
      </w:r>
    </w:p>
    <w:p>
      <w:pPr>
        <w:spacing w:after="0" w:line="177" w:lineRule="exact"/>
        <w:rPr>
          <w:sz w:val="20"/>
          <w:szCs w:val="20"/>
          <w:color w:val="auto"/>
        </w:rPr>
      </w:pPr>
    </w:p>
    <w:p>
      <w:pPr>
        <w:ind w:right="120" w:firstLine="619"/>
        <w:spacing w:after="0" w:line="244" w:lineRule="auto"/>
        <w:rPr>
          <w:sz w:val="20"/>
          <w:szCs w:val="20"/>
          <w:color w:val="auto"/>
        </w:rPr>
      </w:pPr>
      <w:r>
        <w:rPr>
          <w:rFonts w:ascii="Times New Roman" w:cs="Times New Roman" w:eastAsia="Times New Roman" w:hAnsi="Times New Roman"/>
          <w:sz w:val="17"/>
          <w:szCs w:val="17"/>
          <w:color w:val="auto"/>
        </w:rPr>
        <w:t>The Board of Directors and its committees vigorously oversee the effectiveness of the Company’s policies and management’s decisions, including the execution of key strategic initiatives. Each of the Board’s committees is composed entirely of independent directors. Consequently, independent directors directly oversee such critical matters as the integrity of the Company’s financial statements, the compensation of executive management, including Mr. French’s compensation, the selection and evaluation of directors, and the development and implementation of corporate governance programs. The Compensation Committee, together with the other independent directors, conducts an annual performance review of the Chief Executive Officer, assessing the Company’s financial and non-financial performance and the quality and effectiveness of Mr. French and Mr. McKay’s leadership.</w:t>
      </w:r>
    </w:p>
    <w:p>
      <w:pPr>
        <w:spacing w:after="0" w:line="18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Board designated Dr. Fitzsimmons as Lead Independent Director in September 2016. The Lead Independent Director helps to ensure the proper functioning of the Board and, pursuant to the Company’s Corporate Governance Guidelines: leads all meetings of independent directors; serves as a liaison between the Chairman and the independent directors; approves all Board meeting agendas and information sent to the Board; approves Board meeting schedules to assure sufficient time for discussion of all agenda items; has the authority to call meetings of the independent directors, as needed; is available for consultation and direct communication if requested by major shareholders; and, in consultation with the Board, is authorized to retain independent advisors and consultants on behalf of the Board. In addition to their reliance upon the Lead Independent Director, the Board and each Board committee have complete and open access to any member of management and the authority to retain independent legal, financial and other advisors as they deem appropriate.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Size and Diversity</w:t>
      </w:r>
    </w:p>
    <w:p>
      <w:pPr>
        <w:spacing w:after="0" w:line="208" w:lineRule="exact"/>
        <w:rPr>
          <w:sz w:val="20"/>
          <w:szCs w:val="20"/>
          <w:color w:val="auto"/>
        </w:rPr>
      </w:pPr>
    </w:p>
    <w:p>
      <w:pPr>
        <w:jc w:val="both"/>
        <w:ind w:right="40" w:firstLine="619"/>
        <w:spacing w:after="0" w:line="254" w:lineRule="auto"/>
        <w:rPr>
          <w:sz w:val="20"/>
          <w:szCs w:val="20"/>
          <w:color w:val="auto"/>
        </w:rPr>
      </w:pPr>
      <w:r>
        <w:rPr>
          <w:rFonts w:ascii="Times New Roman" w:cs="Times New Roman" w:eastAsia="Times New Roman" w:hAnsi="Times New Roman"/>
          <w:sz w:val="17"/>
          <w:szCs w:val="17"/>
          <w:color w:val="auto"/>
        </w:rPr>
        <w:t>As set forth in the Company’s Corporate Governance Guidelines, the Board periodically considers the appropriate size, function, needs and composition of the Board. Currently, the Board has eleven (11) members; however, Dr. Fitzsimmons and Mr. Flora are not standing for re-election at the 2026 Annual Meeting. Therefore, following the 2026 Annual Meeting, the Board size will be reduced to nine members. The Board may expand or reduce the size of the Board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19" w:name="page20"/>
    <w:bookmarkEnd w:id="19"/>
    <w:p>
      <w:pPr>
        <w:ind w:right="520"/>
        <w:spacing w:after="0" w:line="271" w:lineRule="auto"/>
        <w:rPr>
          <w:sz w:val="20"/>
          <w:szCs w:val="20"/>
          <w:color w:val="auto"/>
        </w:rPr>
      </w:pPr>
      <w:r>
        <w:rPr>
          <w:rFonts w:ascii="Times New Roman" w:cs="Times New Roman" w:eastAsia="Times New Roman" w:hAnsi="Times New Roman"/>
          <w:sz w:val="17"/>
          <w:szCs w:val="17"/>
          <w:color w:val="auto"/>
        </w:rPr>
        <w:t>further in the future, subject to the limitations set forth in our Amended and Restated Articles of Incorporation, if it determines a change is appropriate. The Nominating and Corporate Governance Committee also periodically reviews the size of the Board and recommends any proposed changes to the Board.</w:t>
      </w:r>
    </w:p>
    <w:p>
      <w:pPr>
        <w:spacing w:after="0" w:line="164" w:lineRule="exact"/>
        <w:rPr>
          <w:sz w:val="20"/>
          <w:szCs w:val="20"/>
          <w:color w:val="auto"/>
        </w:rPr>
      </w:pPr>
    </w:p>
    <w:p>
      <w:pPr>
        <w:ind w:right="140" w:firstLine="619"/>
        <w:spacing w:after="0" w:line="260" w:lineRule="auto"/>
        <w:rPr>
          <w:sz w:val="20"/>
          <w:szCs w:val="20"/>
          <w:color w:val="auto"/>
        </w:rPr>
      </w:pPr>
      <w:r>
        <w:rPr>
          <w:rFonts w:ascii="Times New Roman" w:cs="Times New Roman" w:eastAsia="Times New Roman" w:hAnsi="Times New Roman"/>
          <w:sz w:val="17"/>
          <w:szCs w:val="17"/>
          <w:color w:val="auto"/>
        </w:rPr>
        <w:t>We believe the Board is most effective when it embodies a diverse range of views, backgrounds and experience. Diversity is considered in the broadest sense, including, among other attributes, reflecting geography, age, gender, leadership, perspectives, educational background, other board experience and commitments, business and professional achievements, skills and experience in the context of the needs of the Board. While the Nominating and Corporate Governance Committee does not have a formal policy on diversity with regard to consideration of director nominees, the Nominating and Corporate Governance Committee considers diversity in its selection of nominees and endeavors to include women and minority candidates in the qualified pool from which the Board evaluates potential nominees.</w:t>
      </w:r>
    </w:p>
    <w:p>
      <w:pPr>
        <w:spacing w:after="0" w:line="160"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We presently have two female directors, which represents 18% of the full Board and 20% of the non-employee directors. In addition, we presently have two minority directors, which represents 18% of the full Board and 20% of the non-employee directors. Taken together, women and/or minorities represent 36% of the full Board and 40% of the non-executive directors. The current Board members’ ages range from 39 to 71. In addition, we believe the current Board members represent a broad range of skills and experience. As discussed above, Dr. Fitzsimmons and Mr. Flora are not standing for reelection and will retire from the Board following this annual meeting.</w:t>
      </w:r>
    </w:p>
    <w:p>
      <w:pPr>
        <w:spacing w:after="0" w:line="245" w:lineRule="exact"/>
        <w:rPr>
          <w:sz w:val="20"/>
          <w:szCs w:val="20"/>
          <w:color w:val="auto"/>
        </w:rPr>
      </w:pPr>
    </w:p>
    <w:tbl>
      <w:tblPr>
        <w:tblLayout w:type="fixed"/>
        <w:tblInd w:w="90" w:type="dxa"/>
        <w:tblCellMar>
          <w:top w:w="0" w:type="dxa"/>
          <w:left w:w="0" w:type="dxa"/>
          <w:bottom w:w="0" w:type="dxa"/>
          <w:right w:w="0" w:type="dxa"/>
        </w:tblCellMar>
      </w:tblPr>
      <w:tr>
        <w:trPr>
          <w:trHeight w:val="132"/>
        </w:trPr>
        <w:tc>
          <w:tcPr>
            <w:tcW w:w="2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Barnes</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Beckett</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DiMola</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DeNichilo</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Fitzsimmons</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Flora</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French</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Koontz</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Quaglio</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Rhymes</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Schultz</w:t>
            </w:r>
          </w:p>
        </w:tc>
        <w:tc>
          <w:tcPr>
            <w:tcW w:w="20" w:type="dxa"/>
            <w:vAlign w:val="bottom"/>
          </w:tcPr>
          <w:p>
            <w:pPr>
              <w:spacing w:after="0"/>
              <w:rPr>
                <w:sz w:val="11"/>
                <w:szCs w:val="11"/>
                <w:color w:val="auto"/>
              </w:rPr>
            </w:pPr>
          </w:p>
        </w:tc>
      </w:tr>
      <w:tr>
        <w:trPr>
          <w:trHeight w:val="22"/>
        </w:trPr>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2100" w:type="dxa"/>
            <w:vAlign w:val="bottom"/>
            <w:tcBorders>
              <w:left w:val="single" w:sz="8" w:color="0070C0"/>
              <w:bottom w:val="single" w:sz="8" w:color="0070C0"/>
              <w:right w:val="single" w:sz="8" w:color="0070C0"/>
            </w:tcBorders>
            <w:shd w:val="clear" w:color="auto" w:fill="0070C0"/>
          </w:tcPr>
          <w:p>
            <w:pPr>
              <w:ind w:left="20"/>
              <w:spacing w:after="0"/>
              <w:rPr>
                <w:sz w:val="20"/>
                <w:szCs w:val="20"/>
                <w:color w:val="auto"/>
              </w:rPr>
            </w:pPr>
            <w:r>
              <w:rPr>
                <w:rFonts w:ascii="Times New Roman" w:cs="Times New Roman" w:eastAsia="Times New Roman" w:hAnsi="Times New Roman"/>
                <w:sz w:val="10"/>
                <w:szCs w:val="10"/>
                <w:b w:val="1"/>
                <w:bCs w:val="1"/>
                <w:color w:val="FFFFFF"/>
              </w:rPr>
              <w:t>Skills and Experience</w:t>
            </w:r>
          </w:p>
        </w:tc>
        <w:tc>
          <w:tcPr>
            <w:tcW w:w="820" w:type="dxa"/>
            <w:vAlign w:val="bottom"/>
            <w:tcBorders>
              <w:bottom w:val="single" w:sz="8" w:color="0070C0"/>
              <w:right w:val="single" w:sz="8" w:color="0070C0"/>
            </w:tcBorders>
            <w:shd w:val="clear" w:color="auto" w:fill="0070C0"/>
          </w:tcPr>
          <w:p>
            <w:pPr>
              <w:spacing w:after="0"/>
              <w:rPr>
                <w:sz w:val="13"/>
                <w:szCs w:val="13"/>
                <w:color w:val="auto"/>
              </w:rPr>
            </w:pPr>
          </w:p>
        </w:tc>
        <w:tc>
          <w:tcPr>
            <w:tcW w:w="820" w:type="dxa"/>
            <w:vAlign w:val="bottom"/>
            <w:tcBorders>
              <w:bottom w:val="single" w:sz="8" w:color="0070C0"/>
              <w:right w:val="single" w:sz="8" w:color="0070C0"/>
            </w:tcBorders>
            <w:shd w:val="clear" w:color="auto" w:fill="0070C0"/>
          </w:tcPr>
          <w:p>
            <w:pPr>
              <w:spacing w:after="0"/>
              <w:rPr>
                <w:sz w:val="13"/>
                <w:szCs w:val="13"/>
                <w:color w:val="auto"/>
              </w:rPr>
            </w:pPr>
          </w:p>
        </w:tc>
        <w:tc>
          <w:tcPr>
            <w:tcW w:w="800" w:type="dxa"/>
            <w:vAlign w:val="bottom"/>
            <w:tcBorders>
              <w:bottom w:val="single" w:sz="8" w:color="0070C0"/>
              <w:right w:val="single" w:sz="8" w:color="0070C0"/>
            </w:tcBorders>
            <w:shd w:val="clear" w:color="auto" w:fill="0070C0"/>
          </w:tcPr>
          <w:p>
            <w:pPr>
              <w:spacing w:after="0"/>
              <w:rPr>
                <w:sz w:val="13"/>
                <w:szCs w:val="13"/>
                <w:color w:val="auto"/>
              </w:rPr>
            </w:pPr>
          </w:p>
        </w:tc>
        <w:tc>
          <w:tcPr>
            <w:tcW w:w="820" w:type="dxa"/>
            <w:vAlign w:val="bottom"/>
            <w:tcBorders>
              <w:bottom w:val="single" w:sz="8" w:color="0070C0"/>
              <w:right w:val="single" w:sz="8" w:color="0070C0"/>
            </w:tcBorders>
            <w:shd w:val="clear" w:color="auto" w:fill="0070C0"/>
          </w:tcPr>
          <w:p>
            <w:pPr>
              <w:spacing w:after="0"/>
              <w:rPr>
                <w:sz w:val="13"/>
                <w:szCs w:val="13"/>
                <w:color w:val="auto"/>
              </w:rPr>
            </w:pPr>
          </w:p>
        </w:tc>
        <w:tc>
          <w:tcPr>
            <w:tcW w:w="840" w:type="dxa"/>
            <w:vAlign w:val="bottom"/>
            <w:tcBorders>
              <w:bottom w:val="single" w:sz="8" w:color="0070C0"/>
              <w:right w:val="single" w:sz="8" w:color="0070C0"/>
            </w:tcBorders>
            <w:shd w:val="clear" w:color="auto" w:fill="0070C0"/>
          </w:tcPr>
          <w:p>
            <w:pPr>
              <w:spacing w:after="0"/>
              <w:rPr>
                <w:sz w:val="13"/>
                <w:szCs w:val="13"/>
                <w:color w:val="auto"/>
              </w:rPr>
            </w:pPr>
          </w:p>
        </w:tc>
        <w:tc>
          <w:tcPr>
            <w:tcW w:w="800" w:type="dxa"/>
            <w:vAlign w:val="bottom"/>
            <w:tcBorders>
              <w:bottom w:val="single" w:sz="8" w:color="0070C0"/>
              <w:right w:val="single" w:sz="8" w:color="0070C0"/>
            </w:tcBorders>
            <w:shd w:val="clear" w:color="auto" w:fill="0070C0"/>
          </w:tcPr>
          <w:p>
            <w:pPr>
              <w:spacing w:after="0"/>
              <w:rPr>
                <w:sz w:val="13"/>
                <w:szCs w:val="13"/>
                <w:color w:val="auto"/>
              </w:rPr>
            </w:pPr>
          </w:p>
        </w:tc>
        <w:tc>
          <w:tcPr>
            <w:tcW w:w="820" w:type="dxa"/>
            <w:vAlign w:val="bottom"/>
            <w:tcBorders>
              <w:bottom w:val="single" w:sz="8" w:color="0070C0"/>
              <w:right w:val="single" w:sz="8" w:color="0070C0"/>
            </w:tcBorders>
            <w:shd w:val="clear" w:color="auto" w:fill="0070C0"/>
          </w:tcPr>
          <w:p>
            <w:pPr>
              <w:spacing w:after="0"/>
              <w:rPr>
                <w:sz w:val="13"/>
                <w:szCs w:val="13"/>
                <w:color w:val="auto"/>
              </w:rPr>
            </w:pPr>
          </w:p>
        </w:tc>
        <w:tc>
          <w:tcPr>
            <w:tcW w:w="820" w:type="dxa"/>
            <w:vAlign w:val="bottom"/>
            <w:tcBorders>
              <w:bottom w:val="single" w:sz="8" w:color="0070C0"/>
              <w:right w:val="single" w:sz="8" w:color="0070C0"/>
            </w:tcBorders>
            <w:shd w:val="clear" w:color="auto" w:fill="0070C0"/>
          </w:tcPr>
          <w:p>
            <w:pPr>
              <w:spacing w:after="0"/>
              <w:rPr>
                <w:sz w:val="13"/>
                <w:szCs w:val="13"/>
                <w:color w:val="auto"/>
              </w:rPr>
            </w:pPr>
          </w:p>
        </w:tc>
        <w:tc>
          <w:tcPr>
            <w:tcW w:w="820" w:type="dxa"/>
            <w:vAlign w:val="bottom"/>
            <w:tcBorders>
              <w:bottom w:val="single" w:sz="8" w:color="0070C0"/>
              <w:right w:val="single" w:sz="8" w:color="0070C0"/>
            </w:tcBorders>
            <w:shd w:val="clear" w:color="auto" w:fill="0070C0"/>
          </w:tcPr>
          <w:p>
            <w:pPr>
              <w:spacing w:after="0"/>
              <w:rPr>
                <w:sz w:val="13"/>
                <w:szCs w:val="13"/>
                <w:color w:val="auto"/>
              </w:rPr>
            </w:pPr>
          </w:p>
        </w:tc>
        <w:tc>
          <w:tcPr>
            <w:tcW w:w="820" w:type="dxa"/>
            <w:vAlign w:val="bottom"/>
            <w:tcBorders>
              <w:bottom w:val="single" w:sz="8" w:color="0070C0"/>
              <w:right w:val="single" w:sz="8" w:color="0070C0"/>
            </w:tcBorders>
            <w:shd w:val="clear" w:color="auto" w:fill="0070C0"/>
          </w:tcPr>
          <w:p>
            <w:pPr>
              <w:spacing w:after="0"/>
              <w:rPr>
                <w:sz w:val="13"/>
                <w:szCs w:val="13"/>
                <w:color w:val="auto"/>
              </w:rPr>
            </w:pPr>
          </w:p>
        </w:tc>
        <w:tc>
          <w:tcPr>
            <w:tcW w:w="820" w:type="dxa"/>
            <w:vAlign w:val="bottom"/>
            <w:tcBorders>
              <w:bottom w:val="single" w:sz="8" w:color="0070C0"/>
            </w:tcBorders>
            <w:shd w:val="clear" w:color="auto" w:fill="0070C0"/>
          </w:tcPr>
          <w:p>
            <w:pPr>
              <w:spacing w:after="0"/>
              <w:rPr>
                <w:sz w:val="13"/>
                <w:szCs w:val="13"/>
                <w:color w:val="auto"/>
              </w:rPr>
            </w:pPr>
          </w:p>
        </w:tc>
        <w:tc>
          <w:tcPr>
            <w:tcW w:w="20" w:type="dxa"/>
            <w:vAlign w:val="bottom"/>
          </w:tcPr>
          <w:p>
            <w:pPr>
              <w:spacing w:after="0"/>
              <w:rPr>
                <w:sz w:val="13"/>
                <w:szCs w:val="13"/>
                <w:color w:val="auto"/>
              </w:rPr>
            </w:pPr>
          </w:p>
        </w:tc>
      </w:tr>
      <w:tr>
        <w:trPr>
          <w:trHeight w:val="191"/>
        </w:trPr>
        <w:tc>
          <w:tcPr>
            <w:tcW w:w="2100" w:type="dxa"/>
            <w:vAlign w:val="bottom"/>
            <w:tcBorders>
              <w:top w:val="single" w:sz="8" w:color="auto"/>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Telecom &amp; Technology</w:t>
            </w:r>
          </w:p>
        </w:tc>
        <w:tc>
          <w:tcPr>
            <w:tcW w:w="82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85"/>
              </w:rPr>
              <w:t>n</w:t>
            </w:r>
          </w:p>
        </w:tc>
        <w:tc>
          <w:tcPr>
            <w:tcW w:w="82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0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20" w:type="dxa"/>
            <w:vAlign w:val="bottom"/>
            <w:tcBorders>
              <w:top w:val="single" w:sz="8" w:color="auto"/>
              <w:bottom w:val="single" w:sz="8" w:color="auto"/>
            </w:tcBorders>
            <w:shd w:val="clear" w:color="auto" w:fill="000000"/>
          </w:tcPr>
          <w:p>
            <w:pPr>
              <w:spacing w:after="0"/>
              <w:rPr>
                <w:sz w:val="16"/>
                <w:szCs w:val="16"/>
                <w:color w:val="auto"/>
              </w:rPr>
            </w:pPr>
          </w:p>
        </w:tc>
      </w:tr>
      <w:tr>
        <w:trPr>
          <w:trHeight w:val="165"/>
        </w:trPr>
        <w:tc>
          <w:tcPr>
            <w:tcW w:w="21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Executive/Operational Management</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0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85"/>
              </w:rPr>
              <w:t>n</w:t>
            </w:r>
          </w:p>
        </w:tc>
        <w:tc>
          <w:tcPr>
            <w:tcW w:w="820" w:type="dxa"/>
            <w:vAlign w:val="bottom"/>
            <w:tcBorders>
              <w:top w:val="single" w:sz="8" w:color="auto"/>
              <w:right w:val="single" w:sz="8" w:color="auto"/>
            </w:tcBorders>
          </w:tcPr>
          <w:p>
            <w:pPr>
              <w:spacing w:after="0"/>
              <w:rPr>
                <w:sz w:val="14"/>
                <w:szCs w:val="14"/>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0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20" w:type="dxa"/>
            <w:vAlign w:val="bottom"/>
            <w:tcBorders>
              <w:top w:val="single" w:sz="8" w:color="auto"/>
            </w:tcBorders>
            <w:shd w:val="clear" w:color="auto" w:fill="000000"/>
          </w:tcPr>
          <w:p>
            <w:pPr>
              <w:spacing w:after="0"/>
              <w:rPr>
                <w:sz w:val="14"/>
                <w:szCs w:val="14"/>
                <w:color w:val="auto"/>
              </w:rPr>
            </w:pPr>
          </w:p>
        </w:tc>
      </w:tr>
      <w:tr>
        <w:trPr>
          <w:trHeight w:val="22"/>
        </w:trPr>
        <w:tc>
          <w:tcPr>
            <w:tcW w:w="2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r>
      <w:tr>
        <w:trPr>
          <w:trHeight w:val="191"/>
        </w:trPr>
        <w:tc>
          <w:tcPr>
            <w:tcW w:w="21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Finance/Accounting</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right w:val="single" w:sz="8" w:color="auto"/>
            </w:tcBorders>
            <w:shd w:val="clear" w:color="auto" w:fill="CCEEFF"/>
          </w:tcPr>
          <w:p>
            <w:pPr>
              <w:spacing w:after="0"/>
              <w:rPr>
                <w:sz w:val="16"/>
                <w:szCs w:val="16"/>
                <w:color w:val="auto"/>
              </w:rPr>
            </w:pP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85"/>
              </w:rPr>
              <w:t>n</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40" w:type="dxa"/>
            <w:vAlign w:val="bottom"/>
            <w:tcBorders>
              <w:bottom w:val="single" w:sz="8" w:color="CCEEFF"/>
              <w:right w:val="single" w:sz="8" w:color="auto"/>
            </w:tcBorders>
            <w:shd w:val="clear" w:color="auto" w:fill="CCEEFF"/>
          </w:tcPr>
          <w:p>
            <w:pPr>
              <w:spacing w:after="0"/>
              <w:rPr>
                <w:sz w:val="16"/>
                <w:szCs w:val="16"/>
                <w:color w:val="auto"/>
              </w:rPr>
            </w:pPr>
          </w:p>
        </w:tc>
        <w:tc>
          <w:tcPr>
            <w:tcW w:w="800" w:type="dxa"/>
            <w:vAlign w:val="bottom"/>
            <w:tcBorders>
              <w:bottom w:val="single" w:sz="8" w:color="CCEEFF"/>
              <w:right w:val="single" w:sz="8" w:color="auto"/>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right w:val="single" w:sz="8" w:color="auto"/>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20" w:type="dxa"/>
            <w:vAlign w:val="bottom"/>
            <w:tcBorders>
              <w:bottom w:val="single" w:sz="8" w:color="auto"/>
            </w:tcBorders>
            <w:shd w:val="clear" w:color="auto" w:fill="000000"/>
          </w:tcPr>
          <w:p>
            <w:pPr>
              <w:spacing w:after="0"/>
              <w:rPr>
                <w:sz w:val="16"/>
                <w:szCs w:val="16"/>
                <w:color w:val="auto"/>
              </w:rPr>
            </w:pPr>
          </w:p>
        </w:tc>
      </w:tr>
      <w:tr>
        <w:trPr>
          <w:trHeight w:val="165"/>
        </w:trPr>
        <w:tc>
          <w:tcPr>
            <w:tcW w:w="21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Business Development &amp; Strategy</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85"/>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4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00" w:type="dxa"/>
            <w:vAlign w:val="bottom"/>
            <w:tcBorders>
              <w:top w:val="single" w:sz="8" w:color="auto"/>
              <w:right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r>
      <w:tr>
        <w:trPr>
          <w:trHeight w:val="22"/>
        </w:trPr>
        <w:tc>
          <w:tcPr>
            <w:tcW w:w="2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r>
      <w:tr>
        <w:trPr>
          <w:trHeight w:val="191"/>
        </w:trPr>
        <w:tc>
          <w:tcPr>
            <w:tcW w:w="21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Legal, Regulatory &amp; Public Policy</w:t>
            </w:r>
          </w:p>
        </w:tc>
        <w:tc>
          <w:tcPr>
            <w:tcW w:w="820" w:type="dxa"/>
            <w:vAlign w:val="bottom"/>
            <w:tcBorders>
              <w:bottom w:val="single" w:sz="8" w:color="CCEEFF"/>
              <w:right w:val="single" w:sz="8" w:color="auto"/>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00" w:type="dxa"/>
            <w:vAlign w:val="bottom"/>
            <w:tcBorders>
              <w:bottom w:val="single" w:sz="8" w:color="CCEEFF"/>
              <w:right w:val="single" w:sz="8" w:color="auto"/>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shd w:val="clear" w:color="auto" w:fill="CCEEFF"/>
          </w:tcPr>
          <w:p>
            <w:pPr>
              <w:spacing w:after="0"/>
              <w:rPr>
                <w:sz w:val="16"/>
                <w:szCs w:val="16"/>
                <w:color w:val="auto"/>
              </w:rPr>
            </w:pPr>
          </w:p>
        </w:tc>
        <w:tc>
          <w:tcPr>
            <w:tcW w:w="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right w:val="single" w:sz="8" w:color="auto"/>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r>
      <w:tr>
        <w:trPr>
          <w:trHeight w:val="165"/>
        </w:trPr>
        <w:tc>
          <w:tcPr>
            <w:tcW w:w="21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Corporate Governance</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0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85"/>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4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0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20" w:type="dxa"/>
            <w:vAlign w:val="bottom"/>
            <w:tcBorders>
              <w:top w:val="single" w:sz="8" w:color="auto"/>
            </w:tcBorders>
            <w:shd w:val="clear" w:color="auto" w:fill="000000"/>
          </w:tcPr>
          <w:p>
            <w:pPr>
              <w:spacing w:after="0"/>
              <w:rPr>
                <w:sz w:val="14"/>
                <w:szCs w:val="14"/>
                <w:color w:val="auto"/>
              </w:rPr>
            </w:pPr>
          </w:p>
        </w:tc>
      </w:tr>
      <w:tr>
        <w:trPr>
          <w:trHeight w:val="22"/>
        </w:trPr>
        <w:tc>
          <w:tcPr>
            <w:tcW w:w="2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r>
      <w:tr>
        <w:trPr>
          <w:trHeight w:val="191"/>
        </w:trPr>
        <w:tc>
          <w:tcPr>
            <w:tcW w:w="21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Risk Management</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85"/>
              </w:rPr>
              <w:t>n</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20" w:type="dxa"/>
            <w:vAlign w:val="bottom"/>
            <w:tcBorders>
              <w:bottom w:val="single" w:sz="8" w:color="auto"/>
            </w:tcBorders>
            <w:shd w:val="clear" w:color="auto" w:fill="000000"/>
          </w:tcPr>
          <w:p>
            <w:pPr>
              <w:spacing w:after="0"/>
              <w:rPr>
                <w:sz w:val="16"/>
                <w:szCs w:val="16"/>
                <w:color w:val="auto"/>
              </w:rPr>
            </w:pPr>
          </w:p>
        </w:tc>
      </w:tr>
      <w:tr>
        <w:trPr>
          <w:trHeight w:val="165"/>
        </w:trPr>
        <w:tc>
          <w:tcPr>
            <w:tcW w:w="21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Strategic Planning/Oversight</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0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85"/>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4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0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right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top w:val="single" w:sz="8" w:color="auto"/>
            </w:tcBorders>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20" w:type="dxa"/>
            <w:vAlign w:val="bottom"/>
            <w:tcBorders>
              <w:top w:val="single" w:sz="8" w:color="auto"/>
            </w:tcBorders>
            <w:shd w:val="clear" w:color="auto" w:fill="000000"/>
          </w:tcPr>
          <w:p>
            <w:pPr>
              <w:spacing w:after="0"/>
              <w:rPr>
                <w:sz w:val="14"/>
                <w:szCs w:val="14"/>
                <w:color w:val="auto"/>
              </w:rPr>
            </w:pPr>
          </w:p>
        </w:tc>
      </w:tr>
      <w:tr>
        <w:trPr>
          <w:trHeight w:val="22"/>
        </w:trPr>
        <w:tc>
          <w:tcPr>
            <w:tcW w:w="2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r>
      <w:tr>
        <w:trPr>
          <w:trHeight w:val="166"/>
        </w:trPr>
        <w:tc>
          <w:tcPr>
            <w:tcW w:w="21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Mergers &amp; Acquisitions</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85"/>
              </w:rPr>
              <w:t>n</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Webdings" w:cs="Webdings" w:eastAsia="Webdings" w:hAnsi="Webdings"/>
                <w:sz w:val="14"/>
                <w:szCs w:val="14"/>
                <w:b w:val="1"/>
                <w:bCs w:val="1"/>
                <w:color w:val="4472C4"/>
                <w:w w:val="99"/>
              </w:rPr>
              <w:t>n</w:t>
            </w:r>
          </w:p>
        </w:tc>
        <w:tc>
          <w:tcPr>
            <w:tcW w:w="20" w:type="dxa"/>
            <w:vAlign w:val="bottom"/>
            <w:tcBorders>
              <w:bottom w:val="single" w:sz="8" w:color="auto"/>
            </w:tcBorders>
            <w:shd w:val="clear" w:color="auto" w:fill="000000"/>
          </w:tcPr>
          <w:p>
            <w:pPr>
              <w:spacing w:after="0"/>
              <w:rPr>
                <w:sz w:val="14"/>
                <w:szCs w:val="14"/>
                <w:color w:val="auto"/>
              </w:rPr>
            </w:pPr>
          </w:p>
        </w:tc>
      </w:tr>
      <w:tr>
        <w:trPr>
          <w:trHeight w:val="20"/>
        </w:trPr>
        <w:tc>
          <w:tcPr>
            <w:tcW w:w="2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80" w:lineRule="exact"/>
        <w:rPr>
          <w:sz w:val="20"/>
          <w:szCs w:val="20"/>
          <w:color w:val="auto"/>
        </w:rPr>
      </w:pPr>
    </w:p>
    <w:p>
      <w:pPr>
        <w:jc w:val="both"/>
        <w:ind w:right="320" w:firstLine="619"/>
        <w:spacing w:after="0" w:line="287" w:lineRule="auto"/>
        <w:rPr>
          <w:sz w:val="20"/>
          <w:szCs w:val="20"/>
          <w:color w:val="auto"/>
        </w:rPr>
      </w:pPr>
      <w:r>
        <w:rPr>
          <w:rFonts w:ascii="Times New Roman" w:cs="Times New Roman" w:eastAsia="Times New Roman" w:hAnsi="Times New Roman"/>
          <w:sz w:val="17"/>
          <w:szCs w:val="17"/>
          <w:color w:val="auto"/>
        </w:rPr>
        <w:t>Based on the foregoing, the Nominating and Corporate Governance Committee concluded that our current Board members represent a broad range of viewpoints, backgrounds and relevant expertise that aligns with the Company’s long-term strategy.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and Committee Self-Evaluations</w:t>
      </w:r>
    </w:p>
    <w:p>
      <w:pPr>
        <w:spacing w:after="0" w:line="221"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As set forth in the Company’s Corporate Governance Guidelines, the Board, led by the Nominating and Corporate Governance Committee, conducts an annual self-evaluation to determine whether the Board and its committees are functioning effectively. This process includes annual self-assessments by the full Board and each Board committee with performance criteria for each committee established on the basis of its charter as well as periodic performance evaluations of the directors at the direction of the Nominating and Corporate Governance Committee. The Board believes that this self-evaluation process is fundamental in supporting continued improvement through thoughtful and comprehensive discussions.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Role of the Board of Directors in Risk Oversight</w:t>
      </w:r>
    </w:p>
    <w:p>
      <w:pPr>
        <w:spacing w:after="0" w:line="221"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Our Board of Directors has risk oversight responsibility for the Company and administers this responsibility both directly and with assistance from its committees, each of which reports its activities to the Board. The Audit Committee has responsibility to monitor that the Company’s enterprise risk management process is followed. The additional risk oversight responsibilities of the committees include:</w:t>
      </w:r>
    </w:p>
    <w:p>
      <w:pPr>
        <w:spacing w:after="0" w:line="148" w:lineRule="exact"/>
        <w:rPr>
          <w:sz w:val="20"/>
          <w:szCs w:val="20"/>
          <w:color w:val="auto"/>
        </w:rPr>
      </w:pPr>
    </w:p>
    <w:p>
      <w:pPr>
        <w:ind w:right="40" w:firstLine="619"/>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Audit Committee. </w:t>
      </w:r>
      <w:r>
        <w:rPr>
          <w:rFonts w:ascii="Times New Roman" w:cs="Times New Roman" w:eastAsia="Times New Roman" w:hAnsi="Times New Roman"/>
          <w:sz w:val="17"/>
          <w:szCs w:val="17"/>
          <w:color w:val="auto"/>
        </w:rPr>
        <w:t>The Audit Committee has primary responsibility for the integrity of the Company’s financial statements and financial reporting process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Company’s systems of internal accounting and financial controls; the performance of the Company’s internal audit department; the performance of the third parties engaged to perform internal control testing to support management’s assessment of internal control; the annual independent audit of the Company’s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0"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financial statements, including the engagement of, and the evaluation of the qualifications, independence and performance of, the independent auditors; and the Company’s compliance with legal and regulatory requirements, including the Company’s disclosure controls and procedures. As part of its duties, the Audit Committee oversees the Company's enterprise risk management process, including cybersecurity risk, and discusses with management the steps the Company has taken to monitor and control risk exposures. While the Company’s Audit Committee is tasked with overseeing cyber and data security risks, our Board of Directors is involved in reviewing our information security and technology risks and opportunities (including cybersecurity) and discusses these topics on a regular basis. The Chief Information Officer (“CIO”), in connection with the General Counsel and Chief Executive Officer (“CEO”), updates the Audit Committee periodically on cybersecurity and other information technology risks and opportunities. Additionally, the Audit Committee, with guidance from the CIO, General Counsel and CEO, provides updates to the Board of Directors on the Information Security Program at least annually. The Company views cyber and data security risks as</w:t>
      </w:r>
    </w:p>
    <w:p>
      <w:pPr>
        <w:spacing w:after="0" w:line="9"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7"/>
          <w:szCs w:val="17"/>
          <w:color w:val="auto"/>
        </w:rPr>
        <w:t>enterprise-wide risks and, not only are these risks included in our overall enterprise risk management program, but we also periodically engage both internal and external analysts, as well as external consultants to assess the effectiveness of our cybersecurity program, policies, and practices. Our overall Risk Management Program integrates processes for assessing, identifying and managing material risks from cybersecurity threats. Training on information security is provided to all employees. The Audit Committee also reviews the Company’s risk assessment and risk management policies.</w:t>
      </w:r>
    </w:p>
    <w:p>
      <w:pPr>
        <w:spacing w:after="0" w:line="181" w:lineRule="exact"/>
        <w:rPr>
          <w:sz w:val="20"/>
          <w:szCs w:val="20"/>
          <w:color w:val="auto"/>
        </w:rPr>
      </w:pPr>
    </w:p>
    <w:p>
      <w:pPr>
        <w:ind w:right="360"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Compensation Committee. </w:t>
      </w:r>
      <w:r>
        <w:rPr>
          <w:rFonts w:ascii="Times New Roman" w:cs="Times New Roman" w:eastAsia="Times New Roman" w:hAnsi="Times New Roman"/>
          <w:sz w:val="17"/>
          <w:szCs w:val="17"/>
          <w:color w:val="auto"/>
        </w:rPr>
        <w:t>The Compensation Committee is responsible for exercising oversight with respect to potential compensation-related risks,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management’s assessment of risks related to employee compensation programs.</w:t>
      </w:r>
    </w:p>
    <w:p>
      <w:pPr>
        <w:spacing w:after="0" w:line="143" w:lineRule="exact"/>
        <w:rPr>
          <w:sz w:val="20"/>
          <w:szCs w:val="20"/>
          <w:color w:val="auto"/>
        </w:rPr>
      </w:pPr>
    </w:p>
    <w:p>
      <w:pPr>
        <w:ind w:right="120"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Nominating and Corporate Governance Committee. </w:t>
      </w:r>
      <w:r>
        <w:rPr>
          <w:rFonts w:ascii="Times New Roman" w:cs="Times New Roman" w:eastAsia="Times New Roman" w:hAnsi="Times New Roman"/>
          <w:sz w:val="17"/>
          <w:szCs w:val="17"/>
          <w:color w:val="auto"/>
        </w:rPr>
        <w:t>The Nominating and Corporate Governance Committee receives periodic reports with respect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compliance with the Company’s Code of Business Conduct and Ethics, and acts upon any request by executive officers for waivers under the Code of Business Conduct and Ethics, Insider Trading Policy and Corporate Governance Guidelines. The Committee periodically reviews and assesses the adequacy of the Code of Business Conduct and Ethics, Insider Trading Policy, environmental, social and governance matters, and Corporate Governance Guidelines, and makes recommendations to the Board regarding any desirable revisions.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21"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The Board believes that director fees paid by the Company should be competitive with other similarly situated companies. During 2025, each director who was not an employee of the Company received a cash retainer fee of $5,000 per month. Members of the Audit, Compensation and Nominating and Corporate Governance Committees each received additional cash retainer fees of $625, $417 and $208 per month, respectively. Directors who served as committee chairs for the Audit, Compensation, and Nominating and Corporate Governance Committees and the Lead Independent Director received additional monthly cash retainer fees of $1,042, $625, $417, and $1,417, respectively. It is the Company’s policy that directors will not receive per-meeting fees unless the number of committee meetings in any given year exceeds a preset number of committee meetings expected to be held during the year. If such a circumstance occurs, directors who are members of the Audit, Compensation and Nominating and Corporate Governance committees would be paid $1,071, $1,000 and $833, respectively, per additional meeting. All directors’ fees are paid in arrears on a monthly basis. In addition to cash compensation, the Board may determine, from time to time, to award stock options or restricted stock as compensation to non-employee directors.</w:t>
      </w:r>
    </w:p>
    <w:p>
      <w:pPr>
        <w:spacing w:after="0" w:line="179"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In lieu of receiving their fees in cash, each director can elect to have some or all of their fees paid in unrestricted shares of the Company’s common stock, with such shares being issued to the director out of the shares reserved for issuance under the Company’s 2024 Equity Incentive Plan. The award of shares in lieu of cash uses the closing price of the Company's common stock as of the last trading day of the month for which the fees are being paid and the shares are held in book entry. Any cash in lieu of fractional shares resulting from the transfer of whole shares is paid out in accordance with the same methodology used in the Company’s Dividend Reinvestment Plan. A director’s election to receive shares in lieu of cash must have been made by July 1 of each year, and may only be changed on an annual basis.</w:t>
      </w:r>
    </w:p>
    <w:p>
      <w:pPr>
        <w:spacing w:after="0" w:line="173"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All directors are reimbursed for the out-of-pocket expenses they incur in attending director education programs. Additionally, directors are reimbursed for documented mileage and other related expenses incurred for travel to and from Board and committee meetings.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21" w:name="page22"/>
    <w:bookmarkEnd w:id="21"/>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compensation paid to the non-employee directors of the Company for their service in 2025.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20" w:type="dxa"/>
            <w:vAlign w:val="bottom"/>
          </w:tcPr>
          <w:p>
            <w:pPr>
              <w:spacing w:after="0"/>
              <w:rPr>
                <w:sz w:val="19"/>
                <w:szCs w:val="19"/>
                <w:color w:val="auto"/>
              </w:rPr>
            </w:pPr>
          </w:p>
        </w:tc>
        <w:tc>
          <w:tcPr>
            <w:tcW w:w="384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2025 Director Compensation Table</w:t>
            </w: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4020" w:type="dxa"/>
            <w:vAlign w:val="bottom"/>
          </w:tcPr>
          <w:p>
            <w:pPr>
              <w:spacing w:after="0"/>
              <w:rPr>
                <w:sz w:val="24"/>
                <w:szCs w:val="24"/>
                <w:color w:val="auto"/>
              </w:rPr>
            </w:pPr>
          </w:p>
        </w:tc>
        <w:tc>
          <w:tcPr>
            <w:tcW w:w="3840" w:type="dxa"/>
            <w:vAlign w:val="bottom"/>
          </w:tcPr>
          <w:p>
            <w:pPr>
              <w:jc w:val="center"/>
              <w:ind w:left="2234"/>
              <w:spacing w:after="0"/>
              <w:rPr>
                <w:sz w:val="20"/>
                <w:szCs w:val="20"/>
                <w:color w:val="auto"/>
              </w:rPr>
            </w:pPr>
            <w:r>
              <w:rPr>
                <w:rFonts w:ascii="Times New Roman" w:cs="Times New Roman" w:eastAsia="Times New Roman" w:hAnsi="Times New Roman"/>
                <w:sz w:val="17"/>
                <w:szCs w:val="17"/>
                <w:b w:val="1"/>
                <w:bCs w:val="1"/>
                <w:color w:val="auto"/>
              </w:rPr>
              <w:t>Fees Earned</w:t>
            </w:r>
          </w:p>
        </w:tc>
        <w:tc>
          <w:tcPr>
            <w:tcW w:w="5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RSU</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020" w:type="dxa"/>
            <w:vAlign w:val="bottom"/>
            <w:vMerge w:val="restart"/>
          </w:tcPr>
          <w:p>
            <w:pPr>
              <w:ind w:left="29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3840" w:type="dxa"/>
            <w:vAlign w:val="bottom"/>
          </w:tcPr>
          <w:p>
            <w:pPr>
              <w:jc w:val="center"/>
              <w:ind w:left="2194"/>
              <w:spacing w:after="0" w:line="173" w:lineRule="exact"/>
              <w:rPr>
                <w:sz w:val="20"/>
                <w:szCs w:val="20"/>
                <w:color w:val="auto"/>
              </w:rPr>
            </w:pPr>
            <w:r>
              <w:rPr>
                <w:rFonts w:ascii="Times New Roman" w:cs="Times New Roman" w:eastAsia="Times New Roman" w:hAnsi="Times New Roman"/>
                <w:sz w:val="17"/>
                <w:szCs w:val="17"/>
                <w:b w:val="1"/>
                <w:bCs w:val="1"/>
                <w:color w:val="auto"/>
              </w:rPr>
              <w:t>or Paid In</w:t>
            </w:r>
          </w:p>
        </w:tc>
        <w:tc>
          <w:tcPr>
            <w:tcW w:w="580" w:type="dxa"/>
            <w:vAlign w:val="bottom"/>
          </w:tcPr>
          <w:p>
            <w:pPr>
              <w:spacing w:after="0"/>
              <w:rPr>
                <w:sz w:val="15"/>
                <w:szCs w:val="15"/>
                <w:color w:val="auto"/>
              </w:rPr>
            </w:pPr>
          </w:p>
        </w:tc>
        <w:tc>
          <w:tcPr>
            <w:tcW w:w="1300" w:type="dxa"/>
            <w:vAlign w:val="bottom"/>
          </w:tcPr>
          <w:p>
            <w:pPr>
              <w:jc w:val="center"/>
              <w:ind w:right="94"/>
              <w:spacing w:after="0" w:line="173" w:lineRule="exact"/>
              <w:rPr>
                <w:sz w:val="20"/>
                <w:szCs w:val="20"/>
                <w:color w:val="auto"/>
              </w:rPr>
            </w:pPr>
            <w:r>
              <w:rPr>
                <w:rFonts w:ascii="Times New Roman" w:cs="Times New Roman" w:eastAsia="Times New Roman" w:hAnsi="Times New Roman"/>
                <w:sz w:val="17"/>
                <w:szCs w:val="17"/>
                <w:b w:val="1"/>
                <w:bCs w:val="1"/>
                <w:color w:val="auto"/>
                <w:w w:val="98"/>
              </w:rPr>
              <w:t>Awards</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Total ($)</w:t>
            </w:r>
          </w:p>
        </w:tc>
        <w:tc>
          <w:tcPr>
            <w:tcW w:w="0" w:type="dxa"/>
            <w:vAlign w:val="bottom"/>
          </w:tcPr>
          <w:p>
            <w:pPr>
              <w:spacing w:after="0"/>
              <w:rPr>
                <w:sz w:val="1"/>
                <w:szCs w:val="1"/>
                <w:color w:val="auto"/>
              </w:rPr>
            </w:pPr>
          </w:p>
        </w:tc>
      </w:tr>
      <w:tr>
        <w:trPr>
          <w:trHeight w:val="227"/>
        </w:trPr>
        <w:tc>
          <w:tcPr>
            <w:tcW w:w="4020" w:type="dxa"/>
            <w:vAlign w:val="bottom"/>
            <w:vMerge w:val="continue"/>
          </w:tcPr>
          <w:p>
            <w:pPr>
              <w:spacing w:after="0"/>
              <w:rPr>
                <w:sz w:val="19"/>
                <w:szCs w:val="19"/>
                <w:color w:val="auto"/>
              </w:rPr>
            </w:pPr>
          </w:p>
        </w:tc>
        <w:tc>
          <w:tcPr>
            <w:tcW w:w="3840" w:type="dxa"/>
            <w:vAlign w:val="bottom"/>
          </w:tcPr>
          <w:p>
            <w:pPr>
              <w:jc w:val="center"/>
              <w:ind w:left="2234"/>
              <w:spacing w:after="0"/>
              <w:rPr>
                <w:sz w:val="20"/>
                <w:szCs w:val="20"/>
                <w:color w:val="auto"/>
              </w:rPr>
            </w:pPr>
            <w:r>
              <w:rPr>
                <w:rFonts w:ascii="Times New Roman" w:cs="Times New Roman" w:eastAsia="Times New Roman" w:hAnsi="Times New Roman"/>
                <w:sz w:val="17"/>
                <w:szCs w:val="17"/>
                <w:b w:val="1"/>
                <w:bCs w:val="1"/>
                <w:color w:val="auto"/>
                <w:w w:val="98"/>
              </w:rPr>
              <w:t>Cash ($)</w:t>
            </w:r>
          </w:p>
        </w:tc>
        <w:tc>
          <w:tcPr>
            <w:tcW w:w="580" w:type="dxa"/>
            <w:vAlign w:val="bottom"/>
          </w:tcPr>
          <w:p>
            <w:pPr>
              <w:spacing w:after="0"/>
              <w:rPr>
                <w:sz w:val="19"/>
                <w:szCs w:val="19"/>
                <w:color w:val="auto"/>
              </w:rPr>
            </w:pPr>
          </w:p>
        </w:tc>
        <w:tc>
          <w:tcPr>
            <w:tcW w:w="130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($)(a)</w:t>
            </w: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Victor C. Barnes</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65,833</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w:t>
            </w:r>
          </w:p>
        </w:tc>
        <w:tc>
          <w:tcPr>
            <w:tcW w:w="130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7"/>
                <w:szCs w:val="17"/>
                <w:color w:val="auto"/>
              </w:rPr>
              <w:t>129,996</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195,829</w:t>
            </w:r>
          </w:p>
        </w:tc>
        <w:tc>
          <w:tcPr>
            <w:tcW w:w="0" w:type="dxa"/>
            <w:vAlign w:val="bottom"/>
          </w:tcPr>
          <w:p>
            <w:pPr>
              <w:spacing w:after="0"/>
              <w:rPr>
                <w:sz w:val="1"/>
                <w:szCs w:val="1"/>
                <w:color w:val="auto"/>
              </w:rPr>
            </w:pPr>
          </w:p>
        </w:tc>
      </w:tr>
      <w:tr>
        <w:trPr>
          <w:trHeight w:val="219"/>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Thomas A. Beckett</w:t>
            </w:r>
          </w:p>
        </w:tc>
        <w:tc>
          <w:tcPr>
            <w:tcW w:w="3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62,500</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w:t>
            </w:r>
          </w:p>
        </w:tc>
        <w:tc>
          <w:tcPr>
            <w:tcW w:w="13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129,996</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192,496</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James DiMola</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62,500</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7"/>
                <w:szCs w:val="17"/>
                <w:color w:val="auto"/>
              </w:rPr>
              <w:t>129,996</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192,496</w:t>
            </w:r>
          </w:p>
        </w:tc>
        <w:tc>
          <w:tcPr>
            <w:tcW w:w="0" w:type="dxa"/>
            <w:vAlign w:val="bottom"/>
          </w:tcPr>
          <w:p>
            <w:pPr>
              <w:spacing w:after="0"/>
              <w:rPr>
                <w:sz w:val="1"/>
                <w:szCs w:val="1"/>
                <w:color w:val="auto"/>
              </w:rPr>
            </w:pPr>
          </w:p>
        </w:tc>
      </w:tr>
      <w:tr>
        <w:trPr>
          <w:trHeight w:val="219"/>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Matthew DeNichilo</w:t>
            </w:r>
          </w:p>
        </w:tc>
        <w:tc>
          <w:tcPr>
            <w:tcW w:w="3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67,500</w:t>
            </w:r>
          </w:p>
        </w:tc>
        <w:tc>
          <w:tcPr>
            <w:tcW w:w="580" w:type="dxa"/>
            <w:vAlign w:val="bottom"/>
          </w:tcPr>
          <w:p>
            <w:pPr>
              <w:spacing w:after="0"/>
              <w:rPr>
                <w:sz w:val="19"/>
                <w:szCs w:val="19"/>
                <w:color w:val="auto"/>
              </w:rPr>
            </w:pPr>
          </w:p>
        </w:tc>
        <w:tc>
          <w:tcPr>
            <w:tcW w:w="13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129,996</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197,496</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Tracy Fitzsimmons</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89,500</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w:t>
            </w:r>
          </w:p>
        </w:tc>
        <w:tc>
          <w:tcPr>
            <w:tcW w:w="130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7"/>
                <w:szCs w:val="17"/>
                <w:color w:val="auto"/>
              </w:rPr>
              <w:t>129,996</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219,496</w:t>
            </w:r>
          </w:p>
        </w:tc>
        <w:tc>
          <w:tcPr>
            <w:tcW w:w="0" w:type="dxa"/>
            <w:vAlign w:val="bottom"/>
          </w:tcPr>
          <w:p>
            <w:pPr>
              <w:spacing w:after="0"/>
              <w:rPr>
                <w:sz w:val="1"/>
                <w:szCs w:val="1"/>
                <w:color w:val="auto"/>
              </w:rPr>
            </w:pPr>
          </w:p>
        </w:tc>
      </w:tr>
      <w:tr>
        <w:trPr>
          <w:trHeight w:val="219"/>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W. Flora</w:t>
            </w:r>
          </w:p>
        </w:tc>
        <w:tc>
          <w:tcPr>
            <w:tcW w:w="3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580" w:type="dxa"/>
            <w:vAlign w:val="bottom"/>
          </w:tcPr>
          <w:p>
            <w:pPr>
              <w:spacing w:after="0"/>
              <w:rPr>
                <w:sz w:val="19"/>
                <w:szCs w:val="19"/>
                <w:color w:val="auto"/>
              </w:rPr>
            </w:pPr>
          </w:p>
        </w:tc>
        <w:tc>
          <w:tcPr>
            <w:tcW w:w="13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129,996</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204,996</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Richard L. Koontz, Jr.</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65,000</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w:t>
            </w:r>
          </w:p>
        </w:tc>
        <w:tc>
          <w:tcPr>
            <w:tcW w:w="130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7"/>
                <w:szCs w:val="17"/>
                <w:color w:val="auto"/>
              </w:rPr>
              <w:t>129,996</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194,996</w:t>
            </w:r>
          </w:p>
        </w:tc>
        <w:tc>
          <w:tcPr>
            <w:tcW w:w="0" w:type="dxa"/>
            <w:vAlign w:val="bottom"/>
          </w:tcPr>
          <w:p>
            <w:pPr>
              <w:spacing w:after="0"/>
              <w:rPr>
                <w:sz w:val="1"/>
                <w:szCs w:val="1"/>
                <w:color w:val="auto"/>
              </w:rPr>
            </w:pPr>
          </w:p>
        </w:tc>
      </w:tr>
      <w:tr>
        <w:trPr>
          <w:trHeight w:val="219"/>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Kenneth L. Quaglio</w:t>
            </w:r>
          </w:p>
        </w:tc>
        <w:tc>
          <w:tcPr>
            <w:tcW w:w="3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67,500</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w:t>
            </w:r>
          </w:p>
        </w:tc>
        <w:tc>
          <w:tcPr>
            <w:tcW w:w="13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129,996</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197,496</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Michael Rhymes</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67,500</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w:t>
            </w:r>
          </w:p>
        </w:tc>
        <w:tc>
          <w:tcPr>
            <w:tcW w:w="130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7"/>
                <w:szCs w:val="17"/>
                <w:color w:val="auto"/>
              </w:rPr>
              <w:t>129,996</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197,496</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Leigh Ann Schultz</w:t>
            </w:r>
          </w:p>
        </w:tc>
        <w:tc>
          <w:tcPr>
            <w:tcW w:w="3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w:t>
            </w:r>
          </w:p>
        </w:tc>
        <w:tc>
          <w:tcPr>
            <w:tcW w:w="13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129,996</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209,996</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w:t>
      </w:r>
    </w:p>
    <w:p>
      <w:pPr>
        <w:spacing w:after="0" w:line="32" w:lineRule="exact"/>
        <w:rPr>
          <w:sz w:val="20"/>
          <w:szCs w:val="20"/>
          <w:color w:val="auto"/>
        </w:rPr>
      </w:pPr>
    </w:p>
    <w:p>
      <w:pPr>
        <w:ind w:left="540" w:right="320" w:hanging="382"/>
        <w:spacing w:after="0" w:line="253" w:lineRule="auto"/>
        <w:tabs>
          <w:tab w:leader="none" w:pos="53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18, 2025, each then serving director was awarded a grant of 10,924 restricted stock units with a fair value of $11.90 per share. All of such shares vest fully on the first anniversary of the grant date or upon retirement or resignation from the Board after at least five years of service.</w:t>
      </w:r>
    </w:p>
    <w:p>
      <w:pPr>
        <w:ind w:left="540" w:right="180" w:hanging="382"/>
        <w:spacing w:after="0" w:line="259" w:lineRule="auto"/>
        <w:tabs>
          <w:tab w:leader="none" w:pos="53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2025 service, Mr. Barnes, Mr. Beckett, Dr. Fitzsimmons, Mr. Koontz, Mr. Quaglio, Mr. Rhymes, and Ms. Schultz elected to receive $10,633, $4,800, $12,500, $6,000, $7,500, $6,000 and $8,000, respectively, of their cash compensation in the form of unrestricted shares of common stock, which were valued at the closing price as of the last trading day of the service month.</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CORPORATE SOCIAL AND ENVIRONMENTAL RESPONSIBILITY</w:t>
      </w:r>
    </w:p>
    <w:p>
      <w:pPr>
        <w:spacing w:after="0" w:line="217" w:lineRule="exact"/>
        <w:rPr>
          <w:sz w:val="20"/>
          <w:szCs w:val="20"/>
          <w:color w:val="auto"/>
        </w:rPr>
      </w:pPr>
    </w:p>
    <w:p>
      <w:pPr>
        <w:ind w:right="120"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Our Company. </w:t>
      </w:r>
      <w:r>
        <w:rPr>
          <w:rFonts w:ascii="Times New Roman" w:cs="Times New Roman" w:eastAsia="Times New Roman" w:hAnsi="Times New Roman"/>
          <w:sz w:val="17"/>
          <w:szCs w:val="17"/>
          <w:color w:val="auto"/>
        </w:rPr>
        <w:t>The Board of Directors recognizes the importance of our corporate responsibility and sustainability policies and practices and the need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 effective oversight in these areas. Shentel strives to make a positive difference in the communities we serve through our dedication to providing high quality and reliable services, our sincere commitment to being a good employer, our efforts to maximize business outcomes while also minimizing our impact on the environment, our ongoing engagement and support for the communities where we operate and our unwavering and strict adherence to the highest ethical standards.</w:t>
      </w:r>
    </w:p>
    <w:p>
      <w:pPr>
        <w:spacing w:after="0" w:line="175"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We specialize in providing state of the art services to rural and underserved markets, and our vision is to ensure that the communities we serve have access to the same level of telecommunications services as those found anywhere in the United States. Our mission is to enrich the lives of the customers we serve with the highest quality telecommunications services by making investments in technology, using innovative thinking and delivering high-quality local customer service that makes using technology easy.</w:t>
      </w:r>
    </w:p>
    <w:p>
      <w:pPr>
        <w:spacing w:after="0" w:line="16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Governance</w:t>
      </w:r>
      <w:r>
        <w:rPr>
          <w:rFonts w:ascii="Times New Roman" w:cs="Times New Roman" w:eastAsia="Times New Roman" w:hAnsi="Times New Roman"/>
          <w:sz w:val="17"/>
          <w:szCs w:val="17"/>
          <w:color w:val="auto"/>
        </w:rPr>
        <w:t>. Our Board of Directors has risk oversight responsibility for Shentel and administers this responsibility both directly and with the assistance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from its committees, which is described further under the section above entitled "Role of the Board of Directors in Risk Oversight". Each of the committees periodically reports to the Board of Directors on its risk oversight activities. In addition to other oversight responsibilities, the Nominating and Corporate Governance Committee of the Board of Directors oversees Shentel's environmental, social, and governance (“ESG”) program, including oversight of ESG-related policies, objectives and practices and Shentel's strategy relating to such matters. Shentel's ESG Steering Committee established sub-committees specific to the Environmental and Social pillars tasked with identifying relevant risks and opportunities over the short, medium and long term, as well as quantifying the potential impact of the same. In an effort to provide ongoing updates regarding our ESG program, we established a webpage that contains relevant information, including the charter of the ESG Steering Committee and our ESG-related policies. This webpage can be found at </w:t>
      </w:r>
      <w:r>
        <w:rPr>
          <w:rFonts w:ascii="Times New Roman" w:cs="Times New Roman" w:eastAsia="Times New Roman" w:hAnsi="Times New Roman"/>
          <w:sz w:val="17"/>
          <w:szCs w:val="17"/>
          <w:i w:val="1"/>
          <w:iCs w:val="1"/>
          <w:color w:val="auto"/>
        </w:rPr>
        <w:t>www.shentel.com/en/legal/esg</w:t>
      </w:r>
      <w:r>
        <w:rPr>
          <w:rFonts w:ascii="Times New Roman" w:cs="Times New Roman" w:eastAsia="Times New Roman" w:hAnsi="Times New Roman"/>
          <w:sz w:val="17"/>
          <w:szCs w:val="17"/>
          <w:color w:val="auto"/>
        </w:rPr>
        <w:t xml:space="preserve"> and may be updated periodically.</w:t>
      </w:r>
    </w:p>
    <w:p>
      <w:pPr>
        <w:spacing w:after="0" w:line="382"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Strategy. </w:t>
      </w:r>
      <w:r>
        <w:rPr>
          <w:rFonts w:ascii="Times New Roman" w:cs="Times New Roman" w:eastAsia="Times New Roman" w:hAnsi="Times New Roman"/>
          <w:sz w:val="17"/>
          <w:szCs w:val="17"/>
          <w:color w:val="auto"/>
        </w:rPr>
        <w:t>Shentel's Risk Management Policy defines the framework for risk identification and assessment through which Shentel seeks to assess, identify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manage risks and opportunities, including ESG-related risks, that could meaningfully impact our operations and business. Among the risks identified are weather-related events that could damage our networks and impact service delivery, such as downed transmission lines, flooded facilities, power outages, fuel shortages, network congestion, delay or failure, damaged or destroyed property and equipment, and work interruptions. We also understand that concern over climate change or other ESG matters may result in new or increased legal and regulatory requirements. We aim to have a thorough understanding of all relevant risks and ensure that each risk is mitigated or managed in an effective way.</w:t>
      </w:r>
    </w:p>
    <w:p>
      <w:pPr>
        <w:spacing w:after="0" w:line="168"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Risk Management. </w:t>
      </w:r>
      <w:r>
        <w:rPr>
          <w:rFonts w:ascii="Times New Roman" w:cs="Times New Roman" w:eastAsia="Times New Roman" w:hAnsi="Times New Roman"/>
          <w:sz w:val="17"/>
          <w:szCs w:val="17"/>
          <w:color w:val="auto"/>
        </w:rPr>
        <w:t>Shentel's ESG Steering Committee is focused on each of the ESG pillars Environmental, Social and Governance. The ESG sub-committees seek to identify and assess the associated risks within its focus area and, where appropriate, provide recommendations to the ESG Steering Committee on how to properly mitigate or manage the same. The ESG Steering Committee, through Shentel's General Counsel, provides the Nominating &amp; Corporate Governance Committee bi-annual updates regarding Shentel's ESG-related risks, opportunities, and related activities. We also have a robust enterprise risk management program led by a cross-functional Enterprise Risk Management Committee. The Enterprise Risk Management Committee meets quarterly and is charged with identifying, assessing and managing enterprise-wide risks. The Enterprise Risk Management Committee ranks each risk according to likelihood and potential impact and tracks changes to those rankings on an on-going basis to determine whether additional action plans should be developed in response. ESG-related risks are integrated into the committee's overall risk management program, ensuring that these risks get the same level of focus and oversight as any other enterprise-level risk. As further described in the above section entitled "Role of the Board of Directors in Risk Oversight", the CIO provides a report, at least annually, to the full Board regarding Shentel's risk management program, which includes, among other risks, ESG risks and opportunities, ensuring not only committee visibility, but also full-Board visibility.</w:t>
      </w:r>
    </w:p>
    <w:p>
      <w:pPr>
        <w:spacing w:after="0" w:line="173"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Our Communities. </w:t>
      </w:r>
      <w:r>
        <w:rPr>
          <w:rFonts w:ascii="Times New Roman" w:cs="Times New Roman" w:eastAsia="Times New Roman" w:hAnsi="Times New Roman"/>
          <w:sz w:val="17"/>
          <w:szCs w:val="17"/>
          <w:color w:val="auto"/>
        </w:rPr>
        <w:t>Shentel is committed to developing partnerships with the communities we serve. We seek to strengthen the communities where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customers, business partners and employees live and work through philanthropy, volunteerism and support of local community initiatives. Shentel strives to be a good neighbor and encourages our employees to do the same by volunteering time and talent to support causes. We support the philanthropic interests of our employees and empower them to be a positive influence in their community, including through our Summer Backpack program (our summer food service program for local children) and The Big Give during the holiday months. Shentel has a charitable contribution matching program, in which the Shentel Foundation matches employees’ charitable contributions</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23" w:name="page24"/>
    <w:bookmarkEnd w:id="23"/>
    <w:p>
      <w:pPr>
        <w:spacing w:after="0" w:line="270" w:lineRule="auto"/>
        <w:rPr>
          <w:sz w:val="20"/>
          <w:szCs w:val="20"/>
          <w:color w:val="auto"/>
        </w:rPr>
      </w:pPr>
      <w:r>
        <w:rPr>
          <w:rFonts w:ascii="Times New Roman" w:cs="Times New Roman" w:eastAsia="Times New Roman" w:hAnsi="Times New Roman"/>
          <w:sz w:val="17"/>
          <w:szCs w:val="17"/>
          <w:color w:val="auto"/>
        </w:rPr>
        <w:t>dollar for dollar up to a specified amount to qualified non-profit organizations of the employees’ choosing. Significant donations of funds, time and materials are given to the communities we serve and are evidence of Shentel’s desire and commitment to create deeper connections with our communities and between our team members.</w:t>
      </w:r>
    </w:p>
    <w:p>
      <w:pPr>
        <w:spacing w:after="0" w:line="16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Our Employees. </w:t>
      </w:r>
      <w:r>
        <w:rPr>
          <w:rFonts w:ascii="Times New Roman" w:cs="Times New Roman" w:eastAsia="Times New Roman" w:hAnsi="Times New Roman"/>
          <w:sz w:val="17"/>
          <w:szCs w:val="17"/>
          <w:color w:val="auto"/>
        </w:rPr>
        <w:t>Shentel believes that the key to building a stronger company rests firmly with our employees. We are committed to creating a workplace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where our employees feel valued, respected and safe. We respect and encourage diverse viewpoints in all areas of our business, including hiring, compensation, promotion and career development. In 2023, we conducted a company-wide survey and developed relevant training based off of survey results, as well as best practices. The Company does not tolerate or condone any type of discrimination prohibited by law, including harassment. We seek to create a work environment in which our employees can grow their careers and offer continuous training and development at all employee levels and career stages, including offering a tuition assistance program for full-time employees. Shentel supports its employees’ well-being by hiring experienced and motivated personnel dedicated to the safety and wellness of its employees and empowering its Safety Committee to continuously discuss and implement ways to improve safety conditions and programs. Shentel also offers benefits programs that promote wellness, safety and a healthy work/life balance.</w:t>
      </w:r>
    </w:p>
    <w:p>
      <w:pPr>
        <w:spacing w:after="0" w:line="175"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Our Environment. </w:t>
      </w:r>
      <w:r>
        <w:rPr>
          <w:rFonts w:ascii="Times New Roman" w:cs="Times New Roman" w:eastAsia="Times New Roman" w:hAnsi="Times New Roman"/>
          <w:sz w:val="17"/>
          <w:szCs w:val="17"/>
          <w:color w:val="auto"/>
        </w:rPr>
        <w:t>Shentel endeavors to minimize our impact on the environment through thoughtful actions, such as by balancing environmental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sustainability initiatives intended to reduce energy, waste and materials consumption with the needs of our employees, customers, shareholders and the communities we serve. We pursue this balance by striving to ensure that our efforts support the financial health of Shentel, the health and wellness of our employees, the quality and reliability of service we offer our customers, our mission to ensure access to the same level of telecommunications for rural and underserved markets and the value we create for our shareholders. In connection with this effort, Shentel adopted an Environmental Policy, which was distributed to every employee of the Company.</w:t>
      </w:r>
    </w:p>
    <w:p>
      <w:pPr>
        <w:spacing w:after="0" w:line="168"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Our Ethics. </w:t>
      </w:r>
      <w:r>
        <w:rPr>
          <w:rFonts w:ascii="Times New Roman" w:cs="Times New Roman" w:eastAsia="Times New Roman" w:hAnsi="Times New Roman"/>
          <w:sz w:val="17"/>
          <w:szCs w:val="17"/>
          <w:color w:val="auto"/>
        </w:rPr>
        <w:t>Our Code of Business Conduct and Ethics lays the foundation of our ethics and compliance programs. Shentel has always subscribed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highest ethical standards, and our employees, officers and directors are expected to conduct business legally and ethically and insist that our vendors and business associates do the same. Obeying the law, both in letter and in spirit, is one of the foundations on which Shentel’s ethical policies are built. Our commitment to promoting the highest ethical standards includes a responsibility to foster an environment that allows employees to report violations without the fear of retaliation or retribution. We maintain a firm no-retaliation policy. To learn more about our commitment to ethical and responsible business practices, please see our Code of Business Conduct and Ethics posted in the “Corporate Governance” section of our website at </w:t>
      </w:r>
      <w:r>
        <w:rPr>
          <w:rFonts w:ascii="Times New Roman" w:cs="Times New Roman" w:eastAsia="Times New Roman" w:hAnsi="Times New Roman"/>
          <w:sz w:val="17"/>
          <w:szCs w:val="17"/>
          <w:i w:val="1"/>
          <w:iCs w:val="1"/>
          <w:color w:val="auto"/>
        </w:rPr>
        <w:t>investor.shentel.com</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22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following Compensation Discussion and Analysis describes the Company’s compensation program for its executive officers, including its Chief Executive Officer and the other “named executive officers” identified in the 2025 Summary Compensation Table below, and explains how the Company’s independent directors determined the levels and forms of the compensation that was awarded to, earned by or paid to the executive officers for 2025. In addition to the matters described below, the independent directors considered the results of the advisory vote by shareholders on the “say-on-pay” proposal presented to shareholders at the April 22, 2025 Annual Meeting of Shareholders in determining the levels and forms of compensation that was awarded to, earned by or paid to our named executive officers in 2025. As reported in the Company’s Current Report on Form 8-K, filed with the SEC on April 24, 2025, approximately 98% of the votes cast on the say-on-pay proposal were in favor of our named executive officer compensation. Accordingly, the Company did not make any changes to its executive compensation program as a result of the vote.</w:t>
      </w:r>
    </w:p>
    <w:p>
      <w:pPr>
        <w:spacing w:after="0" w:line="175"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During fiscal year 2025, the Board of Directors implemented a planned leadership transition under which, effective September 1, 2025 (the "Transition Date"), Christopher E. French transitioned from President and Chief Executive Officer to Executive Chairman, and Edward H. McKay, previously Executive Vice President and Chief Operating Officer, was appointed to President and Chief Executive Officer. The Board of Director intends for the Executive Chairman role to be transitional in nature and designed to support leadership continuity and an effective transfer of responsibilities, without a fixed end date.</w:t>
      </w:r>
    </w:p>
    <w:p>
      <w:pPr>
        <w:spacing w:after="0" w:line="171" w:lineRule="exact"/>
        <w:rPr>
          <w:sz w:val="20"/>
          <w:szCs w:val="20"/>
          <w:color w:val="auto"/>
        </w:rPr>
      </w:pPr>
    </w:p>
    <w:p>
      <w:pPr>
        <w:ind w:firstLine="619"/>
        <w:spacing w:after="0" w:line="220" w:lineRule="exact"/>
        <w:rPr>
          <w:sz w:val="20"/>
          <w:szCs w:val="20"/>
          <w:color w:val="auto"/>
        </w:rPr>
      </w:pPr>
      <w:r>
        <w:rPr>
          <w:rFonts w:ascii="Times New Roman" w:cs="Times New Roman" w:eastAsia="Times New Roman" w:hAnsi="Times New Roman"/>
          <w:sz w:val="17"/>
          <w:szCs w:val="17"/>
          <w:color w:val="auto"/>
        </w:rPr>
        <w:t>Following the transition, Mr. French, as Executive Chairman serves as a non-independent member of the Board of Directors, oversees all of the business affairs of the Board of Directors, focuses on providing strategic counsel to the Chief Executive Officer, supporting key stakeholder relationships, and assisting with selected strategic initiatives during the transition period. The Executive Chairman does not have day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day operational responsibility for the Company.</w:t>
      </w:r>
    </w:p>
    <w:p>
      <w:pPr>
        <w:spacing w:after="0" w:line="191"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Upon assuming the role of Chief Executive Officer, Mr. McKay assumed full responsibility for the Company’s strategic direction, operational execution, and overall performance.</w:t>
      </w:r>
    </w:p>
    <w:p>
      <w:pPr>
        <w:spacing w:after="0" w:line="151" w:lineRule="exact"/>
        <w:rPr>
          <w:sz w:val="20"/>
          <w:szCs w:val="20"/>
          <w:color w:val="auto"/>
        </w:rPr>
      </w:pPr>
    </w:p>
    <w:p>
      <w:pPr>
        <w:ind w:right="140" w:firstLine="619"/>
        <w:spacing w:after="0" w:line="210" w:lineRule="exact"/>
        <w:rPr>
          <w:sz w:val="20"/>
          <w:szCs w:val="20"/>
          <w:color w:val="auto"/>
        </w:rPr>
      </w:pPr>
      <w:r>
        <w:rPr>
          <w:rFonts w:ascii="Times New Roman" w:cs="Times New Roman" w:eastAsia="Times New Roman" w:hAnsi="Times New Roman"/>
          <w:sz w:val="17"/>
          <w:szCs w:val="17"/>
          <w:color w:val="auto"/>
        </w:rPr>
        <w:t>The Board of Directors considered this leadership transition when making executive compensation decisions for fiscal year 2025, including adjustments to base salary and 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incentive opportunities to reflect the respective responsibilities of each role. The Board of Directors determined that these adjustments were appropriate to reflect the differing responsibilities of the Executive Chairman and Chief Executive Officer roles and to align each executive’s compensation with market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competitive pay practices applicable to their respective positions, while maintaining a strong link between compensation and performance.</w:t>
      </w:r>
    </w:p>
    <w:p>
      <w:pPr>
        <w:spacing w:after="0" w:line="191"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For 2025, the Board of Directors did not delegate to the Compensation Committee the authority to determine the overall compensation of the Company’s Chief Executive Officer or Executive Chairman. Instead, in accordance with the Compensation Committee charter, the compensation of the Executive Chairman and Chief Executive Officer were determined by the Company’s independent directors (representing all members of the Board of Directors except for Mr. French, who is also the Company’s Executive Chairman) upon the recommendation of the Compensation Committee. Compensation of all other executive officers was determined in accordance with the Compensation Committee charter by the Compensation Committee following consideration of the advice and recommendations of the Chief Executive Officer.</w:t>
      </w:r>
    </w:p>
    <w:p>
      <w:pPr>
        <w:spacing w:after="0" w:line="173"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Since 2015, the Compensation Committee has engaged Frederic W. Cook &amp; Co., Inc. (“FW Cook”), a company that consults on employee benefits and compensation issues, to provide a review and assessment of the Company’s executive compensation practices and to recommend possible changes that should be considered with respect to those practices. FW Cook was also asked to make recommendations regarding the structure of executive compensation, including the relative levels of base salaries, short-term incentive compensation, and long-term equity-based compensation. In 2024 FW Cook provided advice regarding the composition of the peer group used in evaluating the Company’s executive compensation practices, which the Company and the Compensation Committee continue to use to inform decisions made regarding changes to executive compensation. This peer group included the following companies: 8X8, Inc.; A10 Networks, Inc.; ATN International, Inc.; Aviat Networks, Inc.; Bandwidth Inc.; CouchBase, Inc.; Clearfield, Inc.; Cogent Communications Holdings, Inc.; Consolidated Communications Holdings, Inc.; Digi International Inc.; Digital Turbine, Inc.; Globalstar, Inc.; Gogo Inc.; Harmonic Inc.; InterDigital, Inc.; Iridium Communications Inc.; Ooma, Inc.; Progress Software Corporation; Spok Holdings, Inc.; Tucows Inc.; and WideOpenWest, Inc. One company included in the peer group was publicly traded at the time the compensation benchmarking analysis was conducted but is no longer publicly</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25" w:name="page26"/>
    <w:bookmarkEnd w:id="25"/>
    <w:p>
      <w:pPr>
        <w:spacing w:after="0" w:line="258" w:lineRule="auto"/>
        <w:rPr>
          <w:sz w:val="20"/>
          <w:szCs w:val="20"/>
          <w:color w:val="auto"/>
        </w:rPr>
      </w:pPr>
      <w:r>
        <w:rPr>
          <w:rFonts w:ascii="Times New Roman" w:cs="Times New Roman" w:eastAsia="Times New Roman" w:hAnsi="Times New Roman"/>
          <w:sz w:val="17"/>
          <w:szCs w:val="17"/>
          <w:color w:val="auto"/>
        </w:rPr>
        <w:t>traded as of the date of this proxy statement. These companies were selected for comparison because they were considered by FW Cook to reflect similar company attributes and core competencies for executive talent and reflect the labor market for the Company’s executive talent, in terms of both industry and organizational complexity, notwithstanding that none of these companies may be directly comparable to the Company. Although the Compensation Committee generally believes that the target total compensation should be at the median of the peer group, the Company does not specifically “benchmark” compensation for specific executives or strive to pay our executive officers, including the named executive officers, at a particular level of compensation. Instead, the Compensation Committee used the information to understand the range of compensation among these comparison companies and to obtain a general understanding of compensation practices. The Compensation Committee has not granted, nor does it intend to grant, equity awards in anticipation of the release of material, nonpublic information. Similarly, The Compensation Committee has not timed, nor does it intend to time, the release of material, nonpublic information based on equity award grant dates.</w:t>
      </w:r>
    </w:p>
    <w:p>
      <w:pPr>
        <w:spacing w:after="0" w:line="175"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The Compensation Committee continues to consult with FW Cook from time to time, as appropriate, and did so in 2025, including to assist the Committee in evaluating compensation arrangements associated with the transition of the Chief Executive Officer to Executive Chairman and the appointment of the Chief Operating Officer as Chief Executive Officer.</w:t>
      </w:r>
    </w:p>
    <w:p>
      <w:pPr>
        <w:spacing w:after="0" w:line="165" w:lineRule="exact"/>
        <w:rPr>
          <w:sz w:val="20"/>
          <w:szCs w:val="20"/>
          <w:color w:val="auto"/>
        </w:rPr>
      </w:pPr>
    </w:p>
    <w:p>
      <w:pPr>
        <w:ind w:right="160" w:firstLine="619"/>
        <w:spacing w:after="0" w:line="261" w:lineRule="auto"/>
        <w:rPr>
          <w:sz w:val="20"/>
          <w:szCs w:val="20"/>
          <w:color w:val="auto"/>
        </w:rPr>
      </w:pPr>
      <w:r>
        <w:rPr>
          <w:rFonts w:ascii="Times New Roman" w:cs="Times New Roman" w:eastAsia="Times New Roman" w:hAnsi="Times New Roman"/>
          <w:sz w:val="17"/>
          <w:szCs w:val="17"/>
          <w:color w:val="auto"/>
        </w:rPr>
        <w:t>The Company’s Chief Executive Officer is responsible for reviewing the performance of the other executive officers, which includes each of the Company’s other named executive officers except for the Executive Chairman. The Company’s Chief Executive Officer brings individual recommendations with respect to those officers to the Compensation Committee for their review, consideration and approval. In addition, the Chief Executive Officer is responsible for recommending to the Compensation Committee individual performance objectives in connection with annual incentive bonuses for the other executive officers except for the Executive Chairman, which are reviewed, adjusted when appropriate and approved by the Compensation Committee.</w:t>
      </w:r>
    </w:p>
    <w:p>
      <w:pPr>
        <w:spacing w:after="0" w:line="175"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The Company’s executive compensation program is intended to attract and retain the management talent needed to successfully lead our Company and increase shareholder value. The program rewards executives for using their knowledge and skills to meet defined objectives set by the Board for the Chief Executive Officer and Executive Chairman and set by the Compensation Committee for the other executive officers, and thereby motivates executives to perform and meet those objectives.</w:t>
      </w:r>
    </w:p>
    <w:p>
      <w:pPr>
        <w:spacing w:after="0" w:line="171" w:lineRule="exact"/>
        <w:rPr>
          <w:sz w:val="20"/>
          <w:szCs w:val="20"/>
          <w:color w:val="auto"/>
        </w:rPr>
      </w:pPr>
    </w:p>
    <w:p>
      <w:pPr>
        <w:ind w:right="200" w:firstLine="619"/>
        <w:spacing w:after="0" w:line="258" w:lineRule="auto"/>
        <w:rPr>
          <w:sz w:val="20"/>
          <w:szCs w:val="20"/>
          <w:color w:val="auto"/>
        </w:rPr>
      </w:pPr>
      <w:r>
        <w:rPr>
          <w:rFonts w:ascii="Times New Roman" w:cs="Times New Roman" w:eastAsia="Times New Roman" w:hAnsi="Times New Roman"/>
          <w:sz w:val="17"/>
          <w:szCs w:val="17"/>
          <w:color w:val="auto"/>
        </w:rPr>
        <w:t>The Company’s executive compensation program primarily consists of base salary, annual incentive bonuses and long-term incentives in the form of equity-based compensation. Base salary represents the fixed component of the Company’s executive compensation program and is designed to provide compensation to executives based upon their experience, duties and scope of responsibilities. Annual incentive bonuses represent a variable component of compensation and are intended to reward executives for specific achievements or improvements in the Company’s performance and individual accomplishments toward specific objectives. Long-term, equity-based incentive compensation represents a variable component which seeks to reward executives for performance that helps maximize long-term shareholder value, while further aligning the executives’ financial interests with those of our shareholders, and also serves as a retention tool.</w:t>
      </w:r>
    </w:p>
    <w:p>
      <w:pPr>
        <w:spacing w:after="0" w:line="179"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All incentive compensation (both cash and equity compensation) received by executive officers and certain other employees of the Company (“Senior Management”) is subject to reduction, cancellation, forfeiture and recoupment under the Company’s Executive Compensation Recovery Policy (the "Recovery Policy"). The Recovery Policy is intended to supplement, but not limit or constrain, any statutory or regulatory right or obligation of the Company to recover compensation from its employees (including, without limitation, the requirements of the Sarbanes-Oxley Act of 2002 and Section 16(b) of the Securities Exchange Act of 1934, as amended (the "Exchange Act")). Additionally, all cash incentive compensation received by executive officers is subject to recoupment if the Company is required to prepare an Accounting Restatement during the three-year look-back period in compliance with the provisions of the Dodd-Frank Act's clawback requirements as outlined in the Company's Incentive Award Recoupment Policy (the “Recoupment Policy”). The Recoupment Policy is designed to satisfy relevant Nasdaq requirements and is attached as an exhibit to our Annual Report on Form 10-K.</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6" w:name="page27"/>
    <w:bookmarkEnd w:id="26"/>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The Company also provides various benefit programs to executive officers and to other employees. The following table generally identifies such benefit plans and identifies those employees who may be eligible to participate: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80" w:type="dxa"/>
            <w:vAlign w:val="bottom"/>
            <w:gridSpan w:val="3"/>
            <w:vMerge w:val="restart"/>
          </w:tcPr>
          <w:p>
            <w:pPr>
              <w:ind w:left="3700"/>
              <w:spacing w:after="0"/>
              <w:rPr>
                <w:sz w:val="20"/>
                <w:szCs w:val="20"/>
                <w:color w:val="auto"/>
              </w:rPr>
            </w:pPr>
            <w:r>
              <w:rPr>
                <w:rFonts w:ascii="Times New Roman" w:cs="Times New Roman" w:eastAsia="Times New Roman" w:hAnsi="Times New Roman"/>
                <w:sz w:val="17"/>
                <w:szCs w:val="17"/>
                <w:b w:val="1"/>
                <w:bCs w:val="1"/>
                <w:color w:val="auto"/>
              </w:rPr>
              <w:t>Benefit Plan</w:t>
            </w:r>
          </w:p>
        </w:tc>
        <w:tc>
          <w:tcPr>
            <w:tcW w:w="3080" w:type="dxa"/>
            <w:vAlign w:val="bottom"/>
            <w:gridSpan w:val="3"/>
          </w:tcPr>
          <w:p>
            <w:pPr>
              <w:jc w:val="center"/>
              <w:ind w:left="1514"/>
              <w:spacing w:after="0"/>
              <w:rPr>
                <w:sz w:val="20"/>
                <w:szCs w:val="20"/>
                <w:color w:val="auto"/>
              </w:rPr>
            </w:pPr>
            <w:r>
              <w:rPr>
                <w:rFonts w:ascii="Times New Roman" w:cs="Times New Roman" w:eastAsia="Times New Roman" w:hAnsi="Times New Roman"/>
                <w:sz w:val="17"/>
                <w:szCs w:val="17"/>
                <w:b w:val="1"/>
                <w:bCs w:val="1"/>
                <w:color w:val="auto"/>
              </w:rPr>
              <w:t>Executive</w:t>
            </w:r>
          </w:p>
        </w:tc>
        <w:tc>
          <w:tcPr>
            <w:tcW w:w="34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Full-time</w:t>
            </w:r>
          </w:p>
        </w:tc>
        <w:tc>
          <w:tcPr>
            <w:tcW w:w="0" w:type="dxa"/>
            <w:vAlign w:val="bottom"/>
          </w:tcPr>
          <w:p>
            <w:pPr>
              <w:spacing w:after="0"/>
              <w:rPr>
                <w:sz w:val="1"/>
                <w:szCs w:val="1"/>
                <w:color w:val="auto"/>
              </w:rPr>
            </w:pPr>
          </w:p>
        </w:tc>
      </w:tr>
      <w:tr>
        <w:trPr>
          <w:trHeight w:val="200"/>
        </w:trPr>
        <w:tc>
          <w:tcPr>
            <w:tcW w:w="6680" w:type="dxa"/>
            <w:vAlign w:val="bottom"/>
            <w:gridSpan w:val="3"/>
            <w:vMerge w:val="continue"/>
          </w:tcPr>
          <w:p>
            <w:pPr>
              <w:spacing w:after="0"/>
              <w:rPr>
                <w:sz w:val="17"/>
                <w:szCs w:val="17"/>
                <w:color w:val="auto"/>
              </w:rPr>
            </w:pPr>
          </w:p>
        </w:tc>
        <w:tc>
          <w:tcPr>
            <w:tcW w:w="2040" w:type="dxa"/>
            <w:vAlign w:val="bottom"/>
          </w:tcPr>
          <w:p>
            <w:pPr>
              <w:spacing w:after="0"/>
              <w:rPr>
                <w:sz w:val="17"/>
                <w:szCs w:val="17"/>
                <w:color w:val="auto"/>
              </w:rPr>
            </w:pPr>
          </w:p>
        </w:tc>
        <w:tc>
          <w:tcPr>
            <w:tcW w:w="1040" w:type="dxa"/>
            <w:vAlign w:val="bottom"/>
            <w:gridSpan w:val="2"/>
          </w:tcPr>
          <w:p>
            <w:pPr>
              <w:jc w:val="center"/>
              <w:ind w:right="440"/>
              <w:spacing w:after="0" w:line="161" w:lineRule="exact"/>
              <w:rPr>
                <w:sz w:val="20"/>
                <w:szCs w:val="20"/>
                <w:color w:val="auto"/>
              </w:rPr>
            </w:pPr>
            <w:r>
              <w:rPr>
                <w:rFonts w:ascii="Times New Roman" w:cs="Times New Roman" w:eastAsia="Times New Roman" w:hAnsi="Times New Roman"/>
                <w:sz w:val="17"/>
                <w:szCs w:val="17"/>
                <w:b w:val="1"/>
                <w:bCs w:val="1"/>
                <w:color w:val="auto"/>
              </w:rPr>
              <w:t>Officers</w:t>
            </w:r>
          </w:p>
        </w:tc>
        <w:tc>
          <w:tcPr>
            <w:tcW w:w="340" w:type="dxa"/>
            <w:vAlign w:val="bottom"/>
          </w:tcPr>
          <w:p>
            <w:pPr>
              <w:spacing w:after="0"/>
              <w:rPr>
                <w:sz w:val="17"/>
                <w:szCs w:val="17"/>
                <w:color w:val="auto"/>
              </w:rPr>
            </w:pPr>
          </w:p>
        </w:tc>
        <w:tc>
          <w:tcPr>
            <w:tcW w:w="1140" w:type="dxa"/>
            <w:vAlign w:val="bottom"/>
            <w:gridSpan w:val="2"/>
          </w:tcPr>
          <w:p>
            <w:pPr>
              <w:jc w:val="center"/>
              <w:ind w:right="340"/>
              <w:spacing w:after="0" w:line="161" w:lineRule="exact"/>
              <w:rPr>
                <w:sz w:val="20"/>
                <w:szCs w:val="20"/>
                <w:color w:val="auto"/>
              </w:rPr>
            </w:pPr>
            <w:r>
              <w:rPr>
                <w:rFonts w:ascii="Times New Roman" w:cs="Times New Roman" w:eastAsia="Times New Roman" w:hAnsi="Times New Roman"/>
                <w:sz w:val="17"/>
                <w:szCs w:val="17"/>
                <w:b w:val="1"/>
                <w:bCs w:val="1"/>
                <w:color w:val="auto"/>
              </w:rPr>
              <w:t>Employees</w:t>
            </w:r>
          </w:p>
        </w:tc>
        <w:tc>
          <w:tcPr>
            <w:tcW w:w="0" w:type="dxa"/>
            <w:vAlign w:val="bottom"/>
          </w:tcPr>
          <w:p>
            <w:pPr>
              <w:spacing w:after="0"/>
              <w:rPr>
                <w:sz w:val="1"/>
                <w:szCs w:val="1"/>
                <w:color w:val="auto"/>
              </w:rPr>
            </w:pPr>
          </w:p>
        </w:tc>
      </w:tr>
      <w:tr>
        <w:trPr>
          <w:trHeight w:val="231"/>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401(k) Plan (a)</w:t>
            </w:r>
          </w:p>
        </w:tc>
        <w:tc>
          <w:tcPr>
            <w:tcW w:w="900" w:type="dxa"/>
            <w:vAlign w:val="bottom"/>
            <w:tcBorders>
              <w:top w:val="single" w:sz="8" w:color="auto"/>
            </w:tcBorders>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Medical/Dental/Vision Plans (a)</w:t>
            </w:r>
          </w:p>
        </w:tc>
        <w:tc>
          <w:tcPr>
            <w:tcW w:w="2040" w:type="dxa"/>
            <w:vAlign w:val="bottom"/>
          </w:tcPr>
          <w:p>
            <w:pPr>
              <w:spacing w:after="0"/>
              <w:rPr>
                <w:sz w:val="19"/>
                <w:szCs w:val="19"/>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7"/>
              </w:rPr>
              <w:t>X</w:t>
            </w:r>
          </w:p>
        </w:tc>
        <w:tc>
          <w:tcPr>
            <w:tcW w:w="34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19"/>
        </w:trPr>
        <w:tc>
          <w:tcPr>
            <w:tcW w:w="6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Life and Disability Insurance (a)</w:t>
            </w:r>
          </w:p>
        </w:tc>
        <w:tc>
          <w:tcPr>
            <w:tcW w:w="20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7"/>
                <w:szCs w:val="17"/>
                <w:color w:val="auto"/>
                <w:w w:val="97"/>
              </w:rPr>
              <w:t>X</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19"/>
        </w:trPr>
        <w:tc>
          <w:tcPr>
            <w:tcW w:w="6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Annual Incentive Plan (Bonus)</w:t>
            </w:r>
          </w:p>
        </w:tc>
        <w:tc>
          <w:tcPr>
            <w:tcW w:w="2040" w:type="dxa"/>
            <w:vAlign w:val="bottom"/>
          </w:tcPr>
          <w:p>
            <w:pPr>
              <w:spacing w:after="0"/>
              <w:rPr>
                <w:sz w:val="19"/>
                <w:szCs w:val="19"/>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7"/>
              </w:rPr>
              <w:t>X</w:t>
            </w:r>
          </w:p>
        </w:tc>
        <w:tc>
          <w:tcPr>
            <w:tcW w:w="34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19"/>
        </w:trPr>
        <w:tc>
          <w:tcPr>
            <w:tcW w:w="6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Incentive Plan (Stock Awards)</w:t>
            </w:r>
          </w:p>
        </w:tc>
        <w:tc>
          <w:tcPr>
            <w:tcW w:w="20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7"/>
                <w:szCs w:val="17"/>
                <w:color w:val="auto"/>
                <w:w w:val="97"/>
              </w:rPr>
              <w:t>X</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19"/>
        </w:trPr>
        <w:tc>
          <w:tcPr>
            <w:tcW w:w="6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Severance Arrangements</w:t>
            </w:r>
          </w:p>
        </w:tc>
        <w:tc>
          <w:tcPr>
            <w:tcW w:w="2040" w:type="dxa"/>
            <w:vAlign w:val="bottom"/>
          </w:tcPr>
          <w:p>
            <w:pPr>
              <w:spacing w:after="0"/>
              <w:rPr>
                <w:sz w:val="19"/>
                <w:szCs w:val="19"/>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7"/>
              </w:rPr>
              <w:t>X</w:t>
            </w:r>
          </w:p>
        </w:tc>
        <w:tc>
          <w:tcPr>
            <w:tcW w:w="34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19"/>
        </w:trPr>
        <w:tc>
          <w:tcPr>
            <w:tcW w:w="6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Compensation Plan (b)</w:t>
            </w:r>
          </w:p>
        </w:tc>
        <w:tc>
          <w:tcPr>
            <w:tcW w:w="20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7"/>
                <w:szCs w:val="17"/>
                <w:color w:val="auto"/>
                <w:w w:val="97"/>
              </w:rPr>
              <w:t>X</w:t>
            </w:r>
          </w:p>
        </w:tc>
        <w:tc>
          <w:tcPr>
            <w:tcW w:w="1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0" w:type="dxa"/>
            <w:vAlign w:val="bottom"/>
          </w:tcPr>
          <w:p>
            <w:pPr>
              <w:spacing w:after="0"/>
              <w:rPr>
                <w:sz w:val="1"/>
                <w:szCs w:val="1"/>
                <w:color w:val="auto"/>
              </w:rPr>
            </w:pPr>
          </w:p>
        </w:tc>
      </w:tr>
      <w:tr>
        <w:trPr>
          <w:trHeight w:val="219"/>
        </w:trPr>
        <w:tc>
          <w:tcPr>
            <w:tcW w:w="6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Defined Benefit Pension Plan (c)</w:t>
            </w:r>
          </w:p>
        </w:tc>
        <w:tc>
          <w:tcPr>
            <w:tcW w:w="3080" w:type="dxa"/>
            <w:vAlign w:val="bottom"/>
            <w:gridSpan w:val="3"/>
          </w:tcPr>
          <w:p>
            <w:pPr>
              <w:jc w:val="center"/>
              <w:ind w:left="1514"/>
              <w:spacing w:after="0"/>
              <w:rPr>
                <w:sz w:val="20"/>
                <w:szCs w:val="20"/>
                <w:color w:val="auto"/>
              </w:rPr>
            </w:pPr>
            <w:r>
              <w:rPr>
                <w:rFonts w:ascii="Times New Roman" w:cs="Times New Roman" w:eastAsia="Times New Roman" w:hAnsi="Times New Roman"/>
                <w:sz w:val="17"/>
                <w:szCs w:val="17"/>
                <w:color w:val="auto"/>
              </w:rPr>
              <w:t>Not offered</w:t>
            </w:r>
          </w:p>
        </w:tc>
        <w:tc>
          <w:tcPr>
            <w:tcW w:w="34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19"/>
        </w:trPr>
        <w:tc>
          <w:tcPr>
            <w:tcW w:w="6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Defined Benefit Executive Supplemental Retirement Plan</w:t>
            </w:r>
          </w:p>
        </w:tc>
        <w:tc>
          <w:tcPr>
            <w:tcW w:w="3080" w:type="dxa"/>
            <w:vAlign w:val="bottom"/>
            <w:gridSpan w:val="3"/>
            <w:shd w:val="clear" w:color="auto" w:fill="CCEEFF"/>
          </w:tcPr>
          <w:p>
            <w:pPr>
              <w:jc w:val="center"/>
              <w:ind w:left="1514"/>
              <w:spacing w:after="0"/>
              <w:rPr>
                <w:sz w:val="20"/>
                <w:szCs w:val="20"/>
                <w:color w:val="auto"/>
              </w:rPr>
            </w:pPr>
            <w:r>
              <w:rPr>
                <w:rFonts w:ascii="Times New Roman" w:cs="Times New Roman" w:eastAsia="Times New Roman" w:hAnsi="Times New Roman"/>
                <w:sz w:val="17"/>
                <w:szCs w:val="17"/>
                <w:color w:val="auto"/>
              </w:rPr>
              <w:t>Not offered</w:t>
            </w:r>
          </w:p>
        </w:tc>
        <w:tc>
          <w:tcPr>
            <w:tcW w:w="1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0" w:type="dxa"/>
            <w:vAlign w:val="bottom"/>
          </w:tcPr>
          <w:p>
            <w:pPr>
              <w:spacing w:after="0"/>
              <w:rPr>
                <w:sz w:val="1"/>
                <w:szCs w:val="1"/>
                <w:color w:val="auto"/>
              </w:rPr>
            </w:pPr>
          </w:p>
        </w:tc>
      </w:tr>
      <w:tr>
        <w:trPr>
          <w:trHeight w:val="219"/>
        </w:trPr>
        <w:tc>
          <w:tcPr>
            <w:tcW w:w="6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3080" w:type="dxa"/>
            <w:vAlign w:val="bottom"/>
            <w:gridSpan w:val="3"/>
          </w:tcPr>
          <w:p>
            <w:pPr>
              <w:jc w:val="center"/>
              <w:ind w:left="1514"/>
              <w:spacing w:after="0"/>
              <w:rPr>
                <w:sz w:val="20"/>
                <w:szCs w:val="20"/>
                <w:color w:val="auto"/>
              </w:rPr>
            </w:pPr>
            <w:r>
              <w:rPr>
                <w:rFonts w:ascii="Times New Roman" w:cs="Times New Roman" w:eastAsia="Times New Roman" w:hAnsi="Times New Roman"/>
                <w:sz w:val="17"/>
                <w:szCs w:val="17"/>
                <w:color w:val="auto"/>
              </w:rPr>
              <w:t>Not offered</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0" w:type="dxa"/>
            <w:vAlign w:val="bottom"/>
          </w:tcPr>
          <w:p>
            <w:pPr>
              <w:spacing w:after="0"/>
              <w:rPr>
                <w:sz w:val="1"/>
                <w:szCs w:val="1"/>
                <w:color w:val="auto"/>
              </w:rPr>
            </w:pPr>
          </w:p>
        </w:tc>
      </w:tr>
      <w:tr>
        <w:trPr>
          <w:trHeight w:val="219"/>
        </w:trPr>
        <w:tc>
          <w:tcPr>
            <w:tcW w:w="6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Employment Contracts</w:t>
            </w:r>
          </w:p>
        </w:tc>
        <w:tc>
          <w:tcPr>
            <w:tcW w:w="3080" w:type="dxa"/>
            <w:vAlign w:val="bottom"/>
            <w:gridSpan w:val="3"/>
            <w:shd w:val="clear" w:color="auto" w:fill="CCEEFF"/>
          </w:tcPr>
          <w:p>
            <w:pPr>
              <w:jc w:val="center"/>
              <w:ind w:left="1514"/>
              <w:spacing w:after="0"/>
              <w:rPr>
                <w:sz w:val="20"/>
                <w:szCs w:val="20"/>
                <w:color w:val="auto"/>
              </w:rPr>
            </w:pPr>
            <w:r>
              <w:rPr>
                <w:rFonts w:ascii="Times New Roman" w:cs="Times New Roman" w:eastAsia="Times New Roman" w:hAnsi="Times New Roman"/>
                <w:sz w:val="17"/>
                <w:szCs w:val="17"/>
                <w:color w:val="auto"/>
              </w:rPr>
              <w:t>Not offered</w:t>
            </w:r>
          </w:p>
        </w:tc>
        <w:tc>
          <w:tcPr>
            <w:tcW w:w="1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0" w:type="dxa"/>
            <w:vAlign w:val="bottom"/>
          </w:tcPr>
          <w:p>
            <w:pPr>
              <w:spacing w:after="0"/>
              <w:rPr>
                <w:sz w:val="1"/>
                <w:szCs w:val="1"/>
                <w:color w:val="auto"/>
              </w:rPr>
            </w:pPr>
          </w:p>
        </w:tc>
      </w:tr>
      <w:tr>
        <w:trPr>
          <w:trHeight w:val="297"/>
        </w:trPr>
        <w:tc>
          <w:tcPr>
            <w:tcW w:w="66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w:t>
            </w:r>
          </w:p>
        </w:tc>
        <w:tc>
          <w:tcPr>
            <w:tcW w:w="2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620" w:right="120" w:hanging="307"/>
        <w:spacing w:after="0" w:line="263" w:lineRule="auto"/>
        <w:tabs>
          <w:tab w:leader="none" w:pos="61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full-time employees meeting certain eligibility requirements are eligible to participate in these plans on essentially the same terms (except for certain differences resulting from differences in annual base compensation).</w:t>
      </w:r>
    </w:p>
    <w:p>
      <w:pPr>
        <w:ind w:left="620" w:right="120" w:hanging="307"/>
        <w:spacing w:after="0" w:line="253" w:lineRule="auto"/>
        <w:tabs>
          <w:tab w:leader="none" w:pos="61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maintains an Executive Supplemental Retirement Plan for certain of its executive officers, but discontinued contributions to the Plan as of June 2010. Only the Company's Executive Chairman currently participates in this Plan.</w:t>
      </w:r>
    </w:p>
    <w:p>
      <w:pPr>
        <w:ind w:left="620" w:right="280" w:hanging="307"/>
        <w:spacing w:after="0" w:line="266" w:lineRule="auto"/>
        <w:tabs>
          <w:tab w:leader="none" w:pos="61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employees, but no Named Executive Officers, have historic pension benefits pursuant to frozen pension plans and no new pension benefits are being offered.</w:t>
      </w:r>
    </w:p>
    <w:p>
      <w:pPr>
        <w:spacing w:after="0" w:line="169" w:lineRule="exact"/>
        <w:rPr>
          <w:sz w:val="20"/>
          <w:szCs w:val="20"/>
          <w:color w:val="auto"/>
        </w:rPr>
      </w:pPr>
    </w:p>
    <w:p>
      <w:pPr>
        <w:ind w:right="820" w:firstLine="619"/>
        <w:spacing w:after="0" w:line="287" w:lineRule="auto"/>
        <w:rPr>
          <w:sz w:val="20"/>
          <w:szCs w:val="20"/>
          <w:color w:val="auto"/>
        </w:rPr>
      </w:pPr>
      <w:r>
        <w:rPr>
          <w:rFonts w:ascii="Times New Roman" w:cs="Times New Roman" w:eastAsia="Times New Roman" w:hAnsi="Times New Roman"/>
          <w:sz w:val="17"/>
          <w:szCs w:val="17"/>
          <w:color w:val="auto"/>
        </w:rPr>
        <w:t>The Company believes that perquisites for executive officers should be extremely limited in scope and value and has historically provided few perquisites. The following table lists the perquisites offered, and which employees are eligible to receive them: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vMerge w:val="restart"/>
          </w:tcPr>
          <w:p>
            <w:pPr>
              <w:spacing w:after="0"/>
              <w:rPr>
                <w:sz w:val="16"/>
                <w:szCs w:val="16"/>
                <w:color w:val="auto"/>
              </w:rPr>
            </w:pPr>
          </w:p>
        </w:tc>
        <w:tc>
          <w:tcPr>
            <w:tcW w:w="14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w w:val="98"/>
              </w:rPr>
              <w:t>Type of Perquisites</w:t>
            </w:r>
          </w:p>
        </w:tc>
        <w:tc>
          <w:tcPr>
            <w:tcW w:w="4920" w:type="dxa"/>
            <w:vAlign w:val="bottom"/>
            <w:gridSpan w:val="3"/>
          </w:tcPr>
          <w:p>
            <w:pPr>
              <w:jc w:val="center"/>
              <w:ind w:left="3354"/>
              <w:spacing w:after="0"/>
              <w:rPr>
                <w:sz w:val="20"/>
                <w:szCs w:val="20"/>
                <w:color w:val="auto"/>
              </w:rPr>
            </w:pPr>
            <w:r>
              <w:rPr>
                <w:rFonts w:ascii="Times New Roman" w:cs="Times New Roman" w:eastAsia="Times New Roman" w:hAnsi="Times New Roman"/>
                <w:sz w:val="17"/>
                <w:szCs w:val="17"/>
                <w:b w:val="1"/>
                <w:bCs w:val="1"/>
                <w:color w:val="auto"/>
              </w:rPr>
              <w:t>Executive</w:t>
            </w:r>
          </w:p>
        </w:tc>
        <w:tc>
          <w:tcPr>
            <w:tcW w:w="3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Full-time</w:t>
            </w:r>
          </w:p>
        </w:tc>
        <w:tc>
          <w:tcPr>
            <w:tcW w:w="0" w:type="dxa"/>
            <w:vAlign w:val="bottom"/>
          </w:tcPr>
          <w:p>
            <w:pPr>
              <w:spacing w:after="0"/>
              <w:rPr>
                <w:sz w:val="1"/>
                <w:szCs w:val="1"/>
                <w:color w:val="auto"/>
              </w:rPr>
            </w:pPr>
          </w:p>
        </w:tc>
      </w:tr>
      <w:tr>
        <w:trPr>
          <w:trHeight w:val="200"/>
        </w:trPr>
        <w:tc>
          <w:tcPr>
            <w:tcW w:w="3440" w:type="dxa"/>
            <w:vAlign w:val="bottom"/>
            <w:vMerge w:val="continue"/>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3880" w:type="dxa"/>
            <w:vAlign w:val="bottom"/>
          </w:tcPr>
          <w:p>
            <w:pPr>
              <w:spacing w:after="0"/>
              <w:rPr>
                <w:sz w:val="17"/>
                <w:szCs w:val="17"/>
                <w:color w:val="auto"/>
              </w:rPr>
            </w:pPr>
          </w:p>
        </w:tc>
        <w:tc>
          <w:tcPr>
            <w:tcW w:w="600" w:type="dxa"/>
            <w:vAlign w:val="bottom"/>
            <w:tcBorders>
              <w:bottom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Officers</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Borders>
              <w:bottom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Employees</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Discounts (a)</w:t>
            </w:r>
          </w:p>
        </w:tc>
        <w:tc>
          <w:tcPr>
            <w:tcW w:w="38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7"/>
                <w:szCs w:val="17"/>
                <w:color w:val="auto"/>
                <w:w w:val="97"/>
              </w:rPr>
              <w:t>X</w:t>
            </w:r>
          </w:p>
        </w:tc>
        <w:tc>
          <w:tcPr>
            <w:tcW w:w="3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1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Spousal Travel Reimbursements (b)</w:t>
            </w:r>
          </w:p>
        </w:tc>
        <w:tc>
          <w:tcPr>
            <w:tcW w:w="3880" w:type="dxa"/>
            <w:vAlign w:val="bottom"/>
          </w:tcPr>
          <w:p>
            <w:pPr>
              <w:spacing w:after="0"/>
              <w:rPr>
                <w:sz w:val="19"/>
                <w:szCs w:val="19"/>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7"/>
              </w:rPr>
              <w:t>X</w:t>
            </w:r>
          </w:p>
        </w:tc>
        <w:tc>
          <w:tcPr>
            <w:tcW w:w="34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1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Automobile Allowance</w:t>
            </w:r>
          </w:p>
        </w:tc>
        <w:tc>
          <w:tcPr>
            <w:tcW w:w="4920" w:type="dxa"/>
            <w:vAlign w:val="bottom"/>
            <w:gridSpan w:val="3"/>
            <w:shd w:val="clear" w:color="auto" w:fill="CCEEFF"/>
          </w:tcPr>
          <w:p>
            <w:pPr>
              <w:jc w:val="center"/>
              <w:ind w:left="3354"/>
              <w:spacing w:after="0"/>
              <w:rPr>
                <w:sz w:val="20"/>
                <w:szCs w:val="20"/>
                <w:color w:val="auto"/>
              </w:rPr>
            </w:pPr>
            <w:r>
              <w:rPr>
                <w:rFonts w:ascii="Times New Roman" w:cs="Times New Roman" w:eastAsia="Times New Roman" w:hAnsi="Times New Roman"/>
                <w:sz w:val="17"/>
                <w:szCs w:val="17"/>
                <w:color w:val="auto"/>
              </w:rPr>
              <w:t>Not offered</w:t>
            </w:r>
          </w:p>
        </w:tc>
        <w:tc>
          <w:tcPr>
            <w:tcW w:w="1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0" w:type="dxa"/>
            <w:vAlign w:val="bottom"/>
          </w:tcPr>
          <w:p>
            <w:pPr>
              <w:spacing w:after="0"/>
              <w:rPr>
                <w:sz w:val="1"/>
                <w:szCs w:val="1"/>
                <w:color w:val="auto"/>
              </w:rPr>
            </w:pPr>
          </w:p>
        </w:tc>
      </w:tr>
      <w:tr>
        <w:trPr>
          <w:trHeight w:val="21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Financial Planning Allowances</w:t>
            </w:r>
          </w:p>
        </w:tc>
        <w:tc>
          <w:tcPr>
            <w:tcW w:w="4920" w:type="dxa"/>
            <w:vAlign w:val="bottom"/>
            <w:gridSpan w:val="3"/>
          </w:tcPr>
          <w:p>
            <w:pPr>
              <w:jc w:val="center"/>
              <w:ind w:left="3354"/>
              <w:spacing w:after="0"/>
              <w:rPr>
                <w:sz w:val="20"/>
                <w:szCs w:val="20"/>
                <w:color w:val="auto"/>
              </w:rPr>
            </w:pPr>
            <w:r>
              <w:rPr>
                <w:rFonts w:ascii="Times New Roman" w:cs="Times New Roman" w:eastAsia="Times New Roman" w:hAnsi="Times New Roman"/>
                <w:sz w:val="17"/>
                <w:szCs w:val="17"/>
                <w:color w:val="auto"/>
              </w:rPr>
              <w:t>Not offered</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0" w:type="dxa"/>
            <w:vAlign w:val="bottom"/>
          </w:tcPr>
          <w:p>
            <w:pPr>
              <w:spacing w:after="0"/>
              <w:rPr>
                <w:sz w:val="1"/>
                <w:szCs w:val="1"/>
                <w:color w:val="auto"/>
              </w:rPr>
            </w:pPr>
          </w:p>
        </w:tc>
      </w:tr>
      <w:tr>
        <w:trPr>
          <w:trHeight w:val="21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Country Club Memberships</w:t>
            </w:r>
          </w:p>
        </w:tc>
        <w:tc>
          <w:tcPr>
            <w:tcW w:w="4920" w:type="dxa"/>
            <w:vAlign w:val="bottom"/>
            <w:gridSpan w:val="3"/>
            <w:shd w:val="clear" w:color="auto" w:fill="CCEEFF"/>
          </w:tcPr>
          <w:p>
            <w:pPr>
              <w:jc w:val="center"/>
              <w:ind w:left="3354"/>
              <w:spacing w:after="0"/>
              <w:rPr>
                <w:sz w:val="20"/>
                <w:szCs w:val="20"/>
                <w:color w:val="auto"/>
              </w:rPr>
            </w:pPr>
            <w:r>
              <w:rPr>
                <w:rFonts w:ascii="Times New Roman" w:cs="Times New Roman" w:eastAsia="Times New Roman" w:hAnsi="Times New Roman"/>
                <w:sz w:val="17"/>
                <w:szCs w:val="17"/>
                <w:color w:val="auto"/>
              </w:rPr>
              <w:t>Not offered</w:t>
            </w:r>
          </w:p>
        </w:tc>
        <w:tc>
          <w:tcPr>
            <w:tcW w:w="1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0" w:type="dxa"/>
            <w:vAlign w:val="bottom"/>
          </w:tcPr>
          <w:p>
            <w:pPr>
              <w:spacing w:after="0"/>
              <w:rPr>
                <w:sz w:val="1"/>
                <w:szCs w:val="1"/>
                <w:color w:val="auto"/>
              </w:rPr>
            </w:pPr>
          </w:p>
        </w:tc>
      </w:tr>
      <w:tr>
        <w:trPr>
          <w:trHeight w:val="21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Personal Use of Company Aircraft (c)</w:t>
            </w:r>
          </w:p>
        </w:tc>
        <w:tc>
          <w:tcPr>
            <w:tcW w:w="4920" w:type="dxa"/>
            <w:vAlign w:val="bottom"/>
            <w:gridSpan w:val="3"/>
          </w:tcPr>
          <w:p>
            <w:pPr>
              <w:jc w:val="center"/>
              <w:ind w:left="3354"/>
              <w:spacing w:after="0"/>
              <w:rPr>
                <w:sz w:val="20"/>
                <w:szCs w:val="20"/>
                <w:color w:val="auto"/>
              </w:rPr>
            </w:pPr>
            <w:r>
              <w:rPr>
                <w:rFonts w:ascii="Times New Roman" w:cs="Times New Roman" w:eastAsia="Times New Roman" w:hAnsi="Times New Roman"/>
                <w:sz w:val="17"/>
                <w:szCs w:val="17"/>
                <w:color w:val="auto"/>
              </w:rPr>
              <w:t>Not offered</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0" w:type="dxa"/>
            <w:vAlign w:val="bottom"/>
          </w:tcPr>
          <w:p>
            <w:pPr>
              <w:spacing w:after="0"/>
              <w:rPr>
                <w:sz w:val="1"/>
                <w:szCs w:val="1"/>
                <w:color w:val="auto"/>
              </w:rPr>
            </w:pPr>
          </w:p>
        </w:tc>
      </w:tr>
      <w:tr>
        <w:trPr>
          <w:trHeight w:val="21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Security Services</w:t>
            </w:r>
          </w:p>
        </w:tc>
        <w:tc>
          <w:tcPr>
            <w:tcW w:w="4920" w:type="dxa"/>
            <w:vAlign w:val="bottom"/>
            <w:gridSpan w:val="3"/>
            <w:shd w:val="clear" w:color="auto" w:fill="CCEEFF"/>
          </w:tcPr>
          <w:p>
            <w:pPr>
              <w:jc w:val="center"/>
              <w:ind w:left="3354"/>
              <w:spacing w:after="0"/>
              <w:rPr>
                <w:sz w:val="20"/>
                <w:szCs w:val="20"/>
                <w:color w:val="auto"/>
              </w:rPr>
            </w:pPr>
            <w:r>
              <w:rPr>
                <w:rFonts w:ascii="Times New Roman" w:cs="Times New Roman" w:eastAsia="Times New Roman" w:hAnsi="Times New Roman"/>
                <w:sz w:val="17"/>
                <w:szCs w:val="17"/>
                <w:color w:val="auto"/>
              </w:rPr>
              <w:t>Not offered</w:t>
            </w:r>
          </w:p>
        </w:tc>
        <w:tc>
          <w:tcPr>
            <w:tcW w:w="1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Dwellings for Personal Use (d)</w:t>
            </w:r>
          </w:p>
        </w:tc>
        <w:tc>
          <w:tcPr>
            <w:tcW w:w="4920" w:type="dxa"/>
            <w:vAlign w:val="bottom"/>
            <w:gridSpan w:val="3"/>
          </w:tcPr>
          <w:p>
            <w:pPr>
              <w:jc w:val="center"/>
              <w:ind w:left="3354"/>
              <w:spacing w:after="0"/>
              <w:rPr>
                <w:sz w:val="20"/>
                <w:szCs w:val="20"/>
                <w:color w:val="auto"/>
              </w:rPr>
            </w:pPr>
            <w:r>
              <w:rPr>
                <w:rFonts w:ascii="Times New Roman" w:cs="Times New Roman" w:eastAsia="Times New Roman" w:hAnsi="Times New Roman"/>
                <w:sz w:val="17"/>
                <w:szCs w:val="17"/>
                <w:color w:val="auto"/>
              </w:rPr>
              <w:t>Not offered</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0" w:type="dxa"/>
            <w:vAlign w:val="bottom"/>
          </w:tcPr>
          <w:p>
            <w:pPr>
              <w:spacing w:after="0"/>
              <w:rPr>
                <w:sz w:val="1"/>
                <w:szCs w:val="1"/>
                <w:color w:val="auto"/>
              </w:rPr>
            </w:pPr>
          </w:p>
        </w:tc>
      </w:tr>
      <w:tr>
        <w:trPr>
          <w:trHeight w:val="280"/>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w:t>
            </w:r>
          </w:p>
        </w:tc>
        <w:tc>
          <w:tcPr>
            <w:tcW w:w="3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employees are eligible for discounts on Company services.</w:t>
      </w:r>
    </w:p>
    <w:p>
      <w:pPr>
        <w:spacing w:after="0" w:line="27" w:lineRule="exact"/>
        <w:rPr>
          <w:rFonts w:ascii="Times New Roman" w:cs="Times New Roman" w:eastAsia="Times New Roman" w:hAnsi="Times New Roman"/>
          <w:sz w:val="17"/>
          <w:szCs w:val="17"/>
          <w:color w:val="auto"/>
        </w:rPr>
      </w:pPr>
    </w:p>
    <w:p>
      <w:pPr>
        <w:ind w:left="620" w:right="180" w:hanging="307"/>
        <w:spacing w:after="0" w:line="253" w:lineRule="auto"/>
        <w:tabs>
          <w:tab w:leader="none" w:pos="61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encourages the spouses of executive officers and certain employees to accompany them to certain Company-sponsored events (such as industry association conventions and conferences). The Company reimburses the executive or employee for the cost of the spouse’s travel and expenses and adds such reimbursements to taxable pay for W-2 purposes. The Company does not gross up pay to cover the taxes on such reimbursements.</w:t>
      </w: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does not own, lease or use private aircraft.</w:t>
      </w:r>
    </w:p>
    <w:p>
      <w:pPr>
        <w:spacing w:after="0" w:line="10" w:lineRule="exact"/>
        <w:rPr>
          <w:rFonts w:ascii="Times New Roman" w:cs="Times New Roman" w:eastAsia="Times New Roman" w:hAnsi="Times New Roman"/>
          <w:sz w:val="17"/>
          <w:szCs w:val="17"/>
          <w:color w:val="auto"/>
        </w:rPr>
      </w:pPr>
    </w:p>
    <w:p>
      <w:pPr>
        <w:ind w:left="620" w:right="20" w:hanging="307"/>
        <w:spacing w:after="0" w:line="266" w:lineRule="auto"/>
        <w:tabs>
          <w:tab w:leader="none" w:pos="61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does, under certain circumstances, provide hiring/relocation bonuses to newly hired employees and executive officers that may, in whole or in part, be used for temporary living expenses.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Base Salaries</w:t>
      </w:r>
    </w:p>
    <w:p>
      <w:pPr>
        <w:spacing w:after="0" w:line="223"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Base salaries reflect the scope of an executive’s responsibilities and their performance in directing and managing the efforts of the Company or the business unit for which the executive is responsible. Base salaries are initially determined by evaluating the responsibilities of the position, the experience and knowledge of the executive, and the competitive marketplace for recruiting executive talent. Base salaries are reviewed annually by the Compensation Committee, taking into consideration such factors as individual performance and responsibilities, changes to cost of living, the executive’s potential overall compensation package and general economic conditions. Comparisons to base salaries for comparable positions at public companies considered to be peers of the Company are also taken into consideration.</w:t>
      </w:r>
    </w:p>
    <w:p>
      <w:pPr>
        <w:spacing w:after="0" w:line="173" w:lineRule="exact"/>
        <w:rPr>
          <w:sz w:val="20"/>
          <w:szCs w:val="20"/>
          <w:color w:val="auto"/>
        </w:rPr>
      </w:pPr>
    </w:p>
    <w:p>
      <w:pPr>
        <w:jc w:val="both"/>
        <w:ind w:right="40" w:firstLine="619"/>
        <w:spacing w:after="0" w:line="211" w:lineRule="exact"/>
        <w:rPr>
          <w:sz w:val="20"/>
          <w:szCs w:val="20"/>
          <w:color w:val="auto"/>
        </w:rPr>
      </w:pPr>
      <w:r>
        <w:rPr>
          <w:rFonts w:ascii="Times New Roman" w:cs="Times New Roman" w:eastAsia="Times New Roman" w:hAnsi="Times New Roman"/>
          <w:sz w:val="17"/>
          <w:szCs w:val="17"/>
          <w:color w:val="auto"/>
        </w:rPr>
        <w:t>In connection with the planned leadership transition, the Board of Directors adjusted base salaries to reflect the respective responsibilities associated with the Executive Chairman and Chief Executive Officer roles. Effective as of the Transition Date, Mr. French’s base salary was reduced to align with the transitional and advisory nature of the Executive Chairman role and the associated reduction in day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day operational responsibilities. At the same time, the Board increased Mr. McKay’s base salary to align with the scope and accountability of the Chief Executive Officer role.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Annual Incentive Bonuses</w:t>
      </w:r>
    </w:p>
    <w:p>
      <w:pPr>
        <w:spacing w:after="0" w:line="223"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Annual incentive bonuses are intended to focus the executive’s energy into improving corporate performance based on priorities set by the Board, and to reward the executives for the achievement of specific objectives that are deemed to be important to the ongoing success of the Company. Annual incentive bonuses are calculated as a percentage of base pay.</w:t>
      </w:r>
    </w:p>
    <w:p>
      <w:pPr>
        <w:spacing w:after="0" w:line="165" w:lineRule="exact"/>
        <w:rPr>
          <w:sz w:val="20"/>
          <w:szCs w:val="20"/>
          <w:color w:val="auto"/>
        </w:rPr>
      </w:pPr>
    </w:p>
    <w:p>
      <w:pPr>
        <w:jc w:val="both"/>
        <w:ind w:firstLine="619"/>
        <w:spacing w:after="0" w:line="217" w:lineRule="exact"/>
        <w:rPr>
          <w:sz w:val="20"/>
          <w:szCs w:val="20"/>
          <w:color w:val="auto"/>
        </w:rPr>
      </w:pPr>
      <w:r>
        <w:rPr>
          <w:rFonts w:ascii="Times New Roman" w:cs="Times New Roman" w:eastAsia="Times New Roman" w:hAnsi="Times New Roman"/>
          <w:sz w:val="17"/>
          <w:szCs w:val="17"/>
          <w:color w:val="auto"/>
        </w:rPr>
        <w:t>In connection with the planned leadership transition, the Board of Directors adjusted base salaries to reflect the respective responsibilities associated with the Executive Chairman and Chief Executive Officer roles. Effective as of the Transition Date, Mr. French’s target short-term incentive opportunity was reduced to align with the transitional and advisory nature of the Executive Chairman role and the associated reduction in day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day operational responsibilities. At the same time, the Board increased Mr. McKay’s target 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incentive opportunity to align with the scope and accountability of the Chief Executive Officer role.</w:t>
      </w:r>
    </w:p>
    <w:p>
      <w:pPr>
        <w:spacing w:after="0" w:line="165"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Target bonuses for named executives were 70% for Mr. McKay for the period of January 1, 2025 through August 31, 2025 when he served as Chief Operating Officer, and 90% for the remainder of the year beginning September 1, 2025 when he was appointed Chief Executive Officer; 90% for Mr. French for the period of January 1, 2025 through August 31, 2025 when he served as Chief Executive Officer, and 80% for the remainder of the year beginning September 1, 2025 when he was appointed Executive Chairman; 60% for James J. Volk as Chief Financial Officer; 50% for Richard W. Mason, Jr. as SVP-Engineering &amp; Operations; and 50% for Elaine M. Cheng as Chief Information Officer. In order to be eligible to receive the annual incentive bonus, every eligible employee of the Company, including named executive officers, must remain employed through December 31 of the performance year except in the case of retirement, death, or disability.</w:t>
      </w:r>
    </w:p>
    <w:p>
      <w:pPr>
        <w:spacing w:after="0" w:line="179"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Annual incentive bonuses for salaried employees, including the named executive officers, have been based upon the achievement of a combination of Company-wide financial and service performance goals and achievement of individual objectives. For 2025, the Company-wide objectives represented 80% of the total target for each of the named executive officers, and the individual objectives represented 20% of the total target. Individual objectives for the Executive Chairman and Chief Executive Officer were established by the Board of Directors, based on recommendation by the Compensation Committee. The annual incentive bonus targets for the Chief Financial Officer and other named executive officers were approved by the Compensation Committee, based on recommendations from our Chief Executive Officer. In a given year’s plan, each officer’s actual bonus can range from zero, in the event there is a failure to achieve any of the goals or objectives, up to 200% of the target bonus, in the event all of the goals and objectives are exceeded.</w:t>
      </w:r>
    </w:p>
    <w:p>
      <w:pPr>
        <w:spacing w:after="0" w:line="179"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For 2025, Company-wide performance goals consisted of five components for salaried Company employees, including the named executive officers. The first component, representing 70% of the total target for the Executive Chairman, Chief Executive Officer and the Chief Operating Officer, and 60% of the total target for the Chief Financial Officer, the Chief Information Officer, and the SVP-Engineering and Operations, was a financial objective based on Adjusted Earnings Before Interest, Taxes, Depreciation, and Amortization (EBITDA), which the Company believes is a key driver to creating long-term shareholder value. Adjusted EBITDA, as used for determining executive compensation ("Compensation Adjusted EBITDA"), is different than Adjusted EBITDA, as reported in the Company’s earnings releases and other financial reporting filings with the SEC. The Company defines Adjusted EBITDA in financial reporting filings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8" w:name="page29"/>
    <w:bookmarkEnd w:id="28"/>
    <w:p>
      <w:pPr>
        <w:ind w:right="20"/>
        <w:spacing w:after="0" w:line="258" w:lineRule="auto"/>
        <w:rPr>
          <w:sz w:val="20"/>
          <w:szCs w:val="20"/>
          <w:color w:val="auto"/>
        </w:rPr>
      </w:pPr>
      <w:r>
        <w:rPr>
          <w:rFonts w:ascii="Times New Roman" w:cs="Times New Roman" w:eastAsia="Times New Roman" w:hAnsi="Times New Roman"/>
          <w:sz w:val="17"/>
          <w:szCs w:val="17"/>
          <w:color w:val="auto"/>
        </w:rPr>
        <w:t>with the SEC as net income (loss) from continuing operations calculated in accordance with GAAP, adjusted for the impact of depreciation and amortization, impairment, other income (expense), net, interest income, interest expense, income tax expense (benefit), stock compensation expense, transaction costs related to acquisition and disposition events (including professional advisory fees, integration costs, and related compensatory matters), restructuring expense, tax on equity award vesting and exercise events, and other non-comparable items. Compensation Adjusted EBITDA used in the context of the Company-wide performance goals also excludes accrued expenses for the current year’s incentive plan, expenses relating to retirement plans mark-to-market adjustments and plan termination expenses, acquisition integration and restructuring expenses, litigation expenses and settlements resulting in income or loss greater than $500,000 per incident; and impact from changes to accounting policies which result in an individual outcome of $500,000 or more.</w:t>
      </w:r>
    </w:p>
    <w:p>
      <w:pPr>
        <w:spacing w:after="0" w:line="179"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Achievement levels for the Compensation Adjusted EBITDA Company-wide performance goal were: a threshold performance of $105.5 million (below which no bonus would be earned on this component); a target performance of $124.1 million (which represented 100% achievement toward this component); and a maximum performance of $142.7 million (which represented 200% achievement, and beyond which no additional bonus would be earned on this component). The maximum performance level of $142.7 million represented 115% of budgeted Compensation Adjusted EBITDA for 2025 and was viewed when set as an aspirational goal, the attainment of which would reflect particularly high achievement.</w:t>
      </w:r>
    </w:p>
    <w:p>
      <w:pPr>
        <w:spacing w:after="0" w:line="162" w:lineRule="exact"/>
        <w:rPr>
          <w:sz w:val="20"/>
          <w:szCs w:val="20"/>
          <w:color w:val="auto"/>
        </w:rPr>
      </w:pPr>
    </w:p>
    <w:p>
      <w:pPr>
        <w:jc w:val="both"/>
        <w:ind w:right="20" w:firstLine="619"/>
        <w:spacing w:after="0" w:line="254" w:lineRule="auto"/>
        <w:rPr>
          <w:sz w:val="20"/>
          <w:szCs w:val="20"/>
          <w:color w:val="auto"/>
        </w:rPr>
      </w:pPr>
      <w:r>
        <w:rPr>
          <w:rFonts w:ascii="Times New Roman" w:cs="Times New Roman" w:eastAsia="Times New Roman" w:hAnsi="Times New Roman"/>
          <w:sz w:val="17"/>
          <w:szCs w:val="17"/>
          <w:color w:val="auto"/>
        </w:rPr>
        <w:t>Calculated as set forth above, the Compensation Adjusted EBITDA for 2025 was $125.6 million. Based upon these results and after considering whether any unusual items impacted the financial accomplishments in 2025, the Company’s independent directors, upon recommendation of the Compensation Committee, determined that the $105.5 million target performance had been exceeded, resulting in a 108% achievement for the financial objective.</w:t>
      </w:r>
    </w:p>
    <w:p>
      <w:pPr>
        <w:spacing w:after="0" w:line="179" w:lineRule="exact"/>
        <w:rPr>
          <w:sz w:val="20"/>
          <w:szCs w:val="20"/>
          <w:color w:val="auto"/>
        </w:rPr>
      </w:pPr>
    </w:p>
    <w:p>
      <w:pPr>
        <w:ind w:right="260" w:firstLine="619"/>
        <w:spacing w:after="0" w:line="264" w:lineRule="auto"/>
        <w:rPr>
          <w:sz w:val="20"/>
          <w:szCs w:val="20"/>
          <w:color w:val="auto"/>
        </w:rPr>
      </w:pPr>
      <w:r>
        <w:rPr>
          <w:rFonts w:ascii="Times New Roman" w:cs="Times New Roman" w:eastAsia="Times New Roman" w:hAnsi="Times New Roman"/>
          <w:sz w:val="17"/>
          <w:szCs w:val="17"/>
          <w:color w:val="auto"/>
        </w:rPr>
        <w:t>The other four Company-wide performance goals for 2025 were: 1) total net additions of Data Revenue Generating Units (RGUs) served by Glo Fiber and Virginia Telecommunications Initiative ("VATI") or subsidized networks; 2) Households/Businesses Passed Released to Sales for Glo Fiber and VATI or subsidized networks; 3) Incumbent Cable Residential and SMB Revenue; and 4) Commercial Fiber Sales Bookings. These metrics were chosen as performance objectives to align with the Company’s focus on continued customer growth as a measure of performance against alternative providers.</w:t>
      </w:r>
    </w:p>
    <w:p>
      <w:pPr>
        <w:spacing w:after="0" w:line="171"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The Glo Fiber and VATI RGU Net Additions component represented 3.5% of the total target bonus for the Executive Chairman, Chief Executive Officer and the Chief Operating Officer, and 7% of the total target bonus for each of the Chief Financial Officer, the Chief Information Officer, and the SVP-Engineering and Operations. Achievement levels for the Glo Fiber and VATI RGU Net Additions component were: a threshold performance of 24,957 net additional RGUs (below which no bonus would be earned), a target performance of 29,361 net additional RGUs (which represented 100% achievement toward this component), and a maximum performance of 33,765 net additional RGUs (which represented 200% achievement, and beyond which no additional bonus would be earned on this component). In 2025, the Company delivered 26,028 Glo Fiber and VATI RGU Net Additions, resulting in a 24% achievement for this portion of the Company-wide objectives.</w:t>
      </w:r>
    </w:p>
    <w:p>
      <w:pPr>
        <w:spacing w:after="0" w:line="179"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The Glo Fiber and VATI Households/Businesses Released to Sales objective represented 3.5% of the total target bonus for the Executive Chairman, Chief Executive Officer and the Chief Operating Officer, and 7% of the total target bonus for each of the Chief Financial Officer, the Chief Information Officer, and the SVP-Engineering and Operations. Achievement levels for the Glo Fiber and VATI Households/Businesses Passed Released to Sales component were: a threshold performance of 88,213 Households/Businesses Passed Released to Sales (below which no bonus would be earned), a target performance of 103,780Households/Businesses Passed Released to Sales (which represented 100% achievement toward this component), and a maximum performance of 119,347 Households/Businesses Passed Released to Sales (which represented 200% achievement, and beyond which no additional bonus would be earned on this component). In 2025, the Company delivered 90,582 Glo Fiber and VATI Households/Businesses Passed Released to Sales, resulting in a 15% achievement for this portion of the Company-wide objectives.</w:t>
      </w:r>
    </w:p>
    <w:p>
      <w:pPr>
        <w:spacing w:after="0" w:line="175" w:lineRule="exact"/>
        <w:rPr>
          <w:sz w:val="20"/>
          <w:szCs w:val="20"/>
          <w:color w:val="auto"/>
        </w:rPr>
      </w:pPr>
    </w:p>
    <w:p>
      <w:pPr>
        <w:ind w:right="120" w:firstLine="619"/>
        <w:spacing w:after="0" w:line="260" w:lineRule="auto"/>
        <w:rPr>
          <w:sz w:val="20"/>
          <w:szCs w:val="20"/>
          <w:color w:val="auto"/>
        </w:rPr>
      </w:pPr>
      <w:r>
        <w:rPr>
          <w:rFonts w:ascii="Times New Roman" w:cs="Times New Roman" w:eastAsia="Times New Roman" w:hAnsi="Times New Roman"/>
          <w:sz w:val="17"/>
          <w:szCs w:val="17"/>
          <w:color w:val="auto"/>
        </w:rPr>
        <w:t>The Incumbent Cable Residential and SMB Revenue component represented 1.5% of the total target bonus for the Executive Chairman, Chief Executive Officer and the Chief Operating Officer, and 3% of the total target bonus for each of the Chief Financial Officer, the Chief Information Officer, and the SVP-Engineering and Operations. Achievement levels for the Incumbent Cable Residential and SMB Revenue component were: a threshold performance of $190.2 million (below which no bonus would be earned), a target performance of $198.1 million (which represented 100% achievement toward this component), and a maximum performance of $206.0 million (which represented 200% achievement, and beyond which no additional bonus would be earned on this component). In 2025, the Incumbent Cable Residential and SMB Revenue was $198.4 million, resulting in a 104% achievement for this portion of the Company-wide objectives.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9" w:name="page30"/>
    <w:bookmarkEnd w:id="29"/>
    <w:p>
      <w:pPr>
        <w:ind w:firstLine="619"/>
        <w:spacing w:after="0" w:line="244" w:lineRule="auto"/>
        <w:rPr>
          <w:sz w:val="20"/>
          <w:szCs w:val="20"/>
          <w:color w:val="auto"/>
        </w:rPr>
      </w:pPr>
      <w:r>
        <w:rPr>
          <w:rFonts w:ascii="Times New Roman" w:cs="Times New Roman" w:eastAsia="Times New Roman" w:hAnsi="Times New Roman"/>
          <w:sz w:val="17"/>
          <w:szCs w:val="17"/>
          <w:color w:val="auto"/>
        </w:rPr>
        <w:t>The Commercial Fiber Sales Bookings component represented 1.5% of the total target bonus for the Executive Chairman, Chief Executive Officer and the Chief Operating Officer, and 3% of the total target bonus for each of the Chief Financial Officer, the Chief Information Officer, and the SVP-Engineering and Operations. Achievement levels for the Commercial Fiber Sales Bookings component were: a threshold performance of $681,167 (below which no bonus would be earned), a target performance of $794,786 (which represented 100% achievement toward this component), and a maximum performance of $971,406 (which represented 200% achievement, and beyond which no additional bonus would be earned on this component). In 2025, the Commercial Fiber Sales Bookings were $654,552, resulting in a 21% achievement for this portion of the Company-wide objectives.</w:t>
      </w:r>
    </w:p>
    <w:p>
      <w:pPr>
        <w:spacing w:after="0" w:line="174" w:lineRule="exact"/>
        <w:rPr>
          <w:sz w:val="20"/>
          <w:szCs w:val="20"/>
          <w:color w:val="auto"/>
        </w:rPr>
      </w:pPr>
    </w:p>
    <w:p>
      <w:pPr>
        <w:ind w:right="200" w:firstLine="619"/>
        <w:spacing w:after="0" w:line="243" w:lineRule="auto"/>
        <w:rPr>
          <w:sz w:val="20"/>
          <w:szCs w:val="20"/>
          <w:color w:val="auto"/>
        </w:rPr>
      </w:pPr>
      <w:r>
        <w:rPr>
          <w:rFonts w:ascii="Times New Roman" w:cs="Times New Roman" w:eastAsia="Times New Roman" w:hAnsi="Times New Roman"/>
          <w:sz w:val="17"/>
          <w:szCs w:val="17"/>
          <w:color w:val="auto"/>
        </w:rPr>
        <w:t>For 2025, individual performance objectives represented 20% of the total potential achievement toward the incentive bonuses of each of the named executive officers. Each of our named executive officers had different individual performance objectives based on their roles, but each depended in part on the achievement of a refinancing objective (the "Refinancing Objective") based on timely and cost-effective refinancing of the Company's credit facilities to include the delivery of accurate and complete reporting.</w:t>
      </w:r>
    </w:p>
    <w:p>
      <w:pPr>
        <w:spacing w:after="0" w:line="175"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17"/>
          <w:szCs w:val="17"/>
          <w:color w:val="auto"/>
        </w:rPr>
        <w:t>The individual performance objective of the Chief Executive Officer, including when he served as the Executive Vice President – Chief Operating Officer through August 31, 2025, was made up of two components: 1) the Refinancing Objective , weighted 75%; and 2) achievement of strategic and operational performance goals to include delivering sales growth, driving revenue growth, executing on the construction plan, and improving operational efficiency and effectiveness, weighted 25%. Achievement of the first component, was determined by the Compensation Committee as having met expectations, resulting in a performance of 100% of target. Achievement of the second component was determined by the Compensation Committee as having met expectations, resulting in a weighted performance of 101% of target. As a result of his achievement on all components with respect to those goals, the Compensation Committee determined, and the Board of Directors approved that the Chief Executive Officer, including when he served as Executive Vice President – Chief Operating Officer, achieved a combined weighted performance of 100% of his individual performance objective.</w:t>
      </w:r>
    </w:p>
    <w:p>
      <w:pPr>
        <w:spacing w:after="0" w:line="176" w:lineRule="exact"/>
        <w:rPr>
          <w:sz w:val="20"/>
          <w:szCs w:val="20"/>
          <w:color w:val="auto"/>
        </w:rPr>
      </w:pPr>
    </w:p>
    <w:p>
      <w:pPr>
        <w:ind w:right="40" w:firstLine="619"/>
        <w:spacing w:after="0"/>
        <w:rPr>
          <w:sz w:val="20"/>
          <w:szCs w:val="20"/>
          <w:color w:val="auto"/>
        </w:rPr>
      </w:pPr>
      <w:r>
        <w:rPr>
          <w:rFonts w:ascii="Times New Roman" w:cs="Times New Roman" w:eastAsia="Times New Roman" w:hAnsi="Times New Roman"/>
          <w:sz w:val="17"/>
          <w:szCs w:val="17"/>
          <w:color w:val="auto"/>
        </w:rPr>
        <w:t>The individual performance objective of the Executive Chairman, including when he served as the Chief Executive Officer through August 31, 2025, was made up of two components: 1) the Refinancing Objective, weighted 75%; and 2) executive succession planning, weighted 25%. Achievement of the first component was determined by the Compensation Committee as having met expectations, resulting in a performance of 100% of target. Achievement of the second component was determined by the Compensation Committee as having met expectations, resulting in a performance of 100% of target. As a result of his achievement on all components with respect to those goals, the Compensation Committee determined, and the Board of Directors approved, that the Executive Chairman, including when he served as the Chief Executive Officer through August 31, 2025, achieved a combined weighted performance of 100% of his individual performance objective.</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individual performance objective of the Chief Financial Officer was made up of two components: 1) the Refinancing Objective, weighted 80%; and</w:t>
      </w:r>
    </w:p>
    <w:p>
      <w:pPr>
        <w:spacing w:after="0" w:line="16" w:lineRule="exact"/>
        <w:rPr>
          <w:sz w:val="20"/>
          <w:szCs w:val="20"/>
          <w:color w:val="auto"/>
        </w:rPr>
      </w:pPr>
    </w:p>
    <w:p>
      <w:pPr>
        <w:ind w:right="40" w:firstLine="3"/>
        <w:spacing w:after="0"/>
        <w:tabs>
          <w:tab w:leader="none" w:pos="18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achievement of strategic and operational finance and accounting performance goals and improving operational efficiency and effectiveness, weighted 20%. Achievement of the first component was determined by the Compensation Committee based on the assessment of the Chief Executive Officer as having exceeded expectations, resulting in a performance of 125% of target. Achievement of the second component, was determined by the Compensation Committee based on the assessment of the Chief Executive Officer as having met expectations, resulting in a weighted performance of 100% of target. As a result of his achievement on all components, the Chief Financial Officer achieved a weighted performance of 120% of his individual performance objective.</w:t>
      </w:r>
    </w:p>
    <w:p>
      <w:pPr>
        <w:spacing w:after="0" w:line="178"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17"/>
          <w:szCs w:val="17"/>
          <w:color w:val="auto"/>
        </w:rPr>
        <w:t>The individual performance objective for the Chief Information Officer was made up of two components: 1) the Refinancing Objective, weighted 75%; and 2) achievement of strategic and operational performance goals and improving operational efficiency and effectiveness, weighted 25%. Achievement of the first component was determined by the Compensation Committee based on the assessment of the Chief Executive Officer as having exceeded expectations , resulting in a performance of 150% of target. Achievement of the second component was determined by the Compensation Committee based on the assessment of the Chief Executive Officer as having met threshold expectations, resulting in a weighted performance of 93% of target. As a result of her achievement on all components, the Chief Information Officer achieved a weighted performance of 134% of her individual performance objective.</w:t>
      </w:r>
    </w:p>
    <w:p>
      <w:pPr>
        <w:spacing w:after="0" w:line="176" w:lineRule="exact"/>
        <w:rPr>
          <w:sz w:val="20"/>
          <w:szCs w:val="20"/>
          <w:color w:val="auto"/>
        </w:rPr>
      </w:pPr>
    </w:p>
    <w:p>
      <w:pPr>
        <w:ind w:right="100" w:firstLine="619"/>
        <w:spacing w:after="0" w:line="244" w:lineRule="auto"/>
        <w:rPr>
          <w:sz w:val="20"/>
          <w:szCs w:val="20"/>
          <w:color w:val="auto"/>
        </w:rPr>
      </w:pPr>
      <w:r>
        <w:rPr>
          <w:rFonts w:ascii="Times New Roman" w:cs="Times New Roman" w:eastAsia="Times New Roman" w:hAnsi="Times New Roman"/>
          <w:sz w:val="17"/>
          <w:szCs w:val="17"/>
          <w:color w:val="auto"/>
        </w:rPr>
        <w:t>The individual performance objective for the SVP-Engineering and Operations was made up of two components: 1) the Refinancing Objective, weighted 50%; and 2) achievement of strategic and operational performance goals to include executing on the construction plan and improving operational efficiency and effectiveness, weighted 50%. Achievement of the first component was determined by the Compensation Committee based on the assessment of the Chief Executive Officer as having met expectations, resulting in a performance of 100% of target. Achievement of the second component was determined by the Compensation Committee based on the assessment of the Chief Executive Officer as having met threshold expectations, resulting in a weighted performance of 84% of target. As a result of his achievement on all</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auto"/>
        </w:rPr>
        <w:t>components, the SVP-Engineering and Operations achieved a weighted performance of 92% of his individual performance objective.</w:t>
      </w:r>
    </w:p>
    <w:p>
      <w:pPr>
        <w:spacing w:after="0" w:line="204"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Based on these determinations and results, the Chief Executive Officer, Executive Chairman, Chief Financial Officer, Chief Information Officer, and SVP-Engineering and Operations achieved 100%, 100%, 120%, 136% and 92% of target, respectively, for their individual performance objectives. Along with the combined performance on the Company-wide objectives, the Chief Executive Officer, Executive Chairman, Chief Operating Officer, Chief Financial Officer, Chief Information Officer, and SVP-Engineering and Operations achieved 99%, 99%, 95%, 98% and 90%, respectively, of their total targeted bonus.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Equity-Based Compensation</w:t>
      </w:r>
    </w:p>
    <w:p>
      <w:pPr>
        <w:spacing w:after="0" w:line="223"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Long-term equity-based compensation is intended to focus each of the executives on the long-term, overall impact of their performance on the Company as a whole, as opposed to the shorter, annual timeframe associated with the annual incentive bonuses. Long-term equity-based compensation also aligns the executives’ interests more closely to those of the Company’s shareholders by generally rewarding executives in proportion to increases in value seen by the entire shareholder base. Due to the long-term nature of this component of compensation, it also serves as a retention tool, helping the Company retain desired management talent.</w:t>
      </w:r>
    </w:p>
    <w:p>
      <w:pPr>
        <w:spacing w:after="0" w:line="175"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Historically, the Compensation Committee, with input from its consultant, FW Cook, has structured the Company’s long-term, equity-based incentive compensation program for named executive officers and other management employees as an annual grant of Relative Total Shareholder Return performance-vesting share units (“RTSR PSUs”), time-vesting restricted stock units (“RSUs”), and performance share units that vest at the end of a three-year performance period based on the Company’s achievement of key performance metrics believed to be most closely aligned to creating long-term shareholder value (“Strategic PSUs”). Providing executives with a greater equity stake in the Company increases their motivation to drive the Company’s strategic growth and success and further enhances their alignment with shareholders. In February 2025, the Compensation Committee granted (or, with respect to the then Chief Executive Officer, made a recommendation to the independent directors who granted) the following equity awards to our named executive officers: Edward H. McKay, 38,307 time-vesting RSUs, 38,307 RTSR PSUs and 37,097 Strategic PSUs; Christopher E. French, 73,710 time-vesting RSUs and 73,710 RTSR PSUs; James J. Volk, 32,420 time-vesting RSUs, 32,420 RTSR PSUs and 7,040 Strategic PSUs; Richard W. Mason, 18,723 time-vesting RSUs, 18,723 RTSR PSUs and 16,774 Strategic PSUs; and Elaine M. Cheng, 17,878 time-vesting RSUs, 17,878 RTSR PSUs and 12,014 Strategic PSUs. The Company expects that it will continue to grant awards of RTSR PSUs, time-vesting RSUS, and Strategic PSUs on an annual basis in February. However, the Compensation Committee, in consultation with the Board, also intends to reassess the long-term equity awards each year in light of the Company’s strategic priorities and competitive landscape.</w:t>
      </w:r>
    </w:p>
    <w:p>
      <w:pPr>
        <w:spacing w:after="0" w:line="205"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The Strategic PSUs were established to provide a meaningful incentive for senior management to remain with the Company and focus on our strategy of driving growth by expanding our broadband network and customer base . This expansion strategy includes our Fiber-To-The-Home (“FTTH”) broadband service, which we offer under the Glo Fiber brand. Accordingly, the Strategic PSUs granted in February 2025 have a three-year performance period through December 31, 2027, and vesting will only occur if the recipient remains in the continuous employ of the Company through the performance period and the key performance metrics are achieved. The Compensation Committee believes that performance (and outperformance) with respect to these key performance metrics will be consistent with performance (and outperformance) with respect to Relative Total Shareholder Return but also that these key performance metrics represent an important supplemental and focused set of strategic objectives that strike a balance between promoting a high level of strategically vital FTTH growth without encouraging the incurrence of excessive costs that would adversely impact the Company’s financial results and long-term outlook. These key performance metrics are:</w:t>
      </w:r>
    </w:p>
    <w:p>
      <w:pPr>
        <w:spacing w:after="0" w:line="205" w:lineRule="exact"/>
        <w:rPr>
          <w:sz w:val="20"/>
          <w:szCs w:val="20"/>
          <w:color w:val="auto"/>
        </w:rPr>
      </w:pPr>
    </w:p>
    <w:p>
      <w:pPr>
        <w:ind w:left="620" w:right="16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FTTH &amp; Subsidy Passings – Number of homes and businesses passed by the Company’s Glo Fiber and government-subsidized expansion networks and released to sales as of the end of the measurement period as publicly reported in the Company’s Annual Report on Form 10-K.</w:t>
      </w:r>
    </w:p>
    <w:p>
      <w:pPr>
        <w:spacing w:after="0" w:line="177" w:lineRule="exact"/>
        <w:rPr>
          <w:rFonts w:ascii="Times New Roman" w:cs="Times New Roman" w:eastAsia="Times New Roman" w:hAnsi="Times New Roman"/>
          <w:sz w:val="17"/>
          <w:szCs w:val="17"/>
          <w:color w:val="auto"/>
        </w:rPr>
      </w:pPr>
    </w:p>
    <w:p>
      <w:pPr>
        <w:ind w:left="620" w:right="120" w:hanging="307"/>
        <w:spacing w:after="0" w:line="254"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to Pass – FTTH &amp; Subsidy Construction Capital Expenditures divided by the Incremental FTTH &amp; Subsidy Passings. “FTTH &amp; Subsidy Construction Capital Expenditures” are the cumulative capital expenditures for the measurement period related to FTTH &amp; Subsidy Construction, net of subsidies. “Incremental FTTH &amp; Subsidy Passings” is FTTH &amp; Subsidy Passings as of the end of the measurement period less the FTTH &amp; Subsidy Passings as of the beginning of the measurement period.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0" w:right="359" w:bottom="1440" w:gutter="0" w:footer="0" w:header="0"/>
        </w:sectPr>
      </w:pPr>
    </w:p>
    <w:bookmarkStart w:id="31" w:name="page32"/>
    <w:bookmarkEnd w:id="31"/>
    <w:p>
      <w:pPr>
        <w:ind w:left="620" w:right="140" w:hanging="307"/>
        <w:spacing w:after="0" w:line="254"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Adjusted EBITDA – This non-GAAP financial measure means the Consolidated Adjusted EBITDA as publicly reported in the Company’s public disclosures for the year ending December 31, 2027. The Consolidated Adjusted EBITDA is the consolidated net income (loss) from continuing operations less depreciation, amortization, interest expense, income tax expense (benefit), stock-based compensation expense, impairment expense, restructuring expense, merger and acquisition transaction related expenses and other expense (income).</w:t>
      </w:r>
    </w:p>
    <w:p>
      <w:pPr>
        <w:spacing w:after="0" w:line="191" w:lineRule="exact"/>
        <w:rPr>
          <w:sz w:val="20"/>
          <w:szCs w:val="20"/>
          <w:color w:val="auto"/>
        </w:rPr>
      </w:pPr>
    </w:p>
    <w:p>
      <w:pPr>
        <w:jc w:val="both"/>
        <w:ind w:right="700" w:firstLine="619"/>
        <w:spacing w:after="0" w:line="287" w:lineRule="auto"/>
        <w:rPr>
          <w:sz w:val="20"/>
          <w:szCs w:val="20"/>
          <w:color w:val="auto"/>
        </w:rPr>
      </w:pPr>
      <w:r>
        <w:rPr>
          <w:rFonts w:ascii="Times New Roman" w:cs="Times New Roman" w:eastAsia="Times New Roman" w:hAnsi="Times New Roman"/>
          <w:sz w:val="17"/>
          <w:szCs w:val="17"/>
          <w:color w:val="auto"/>
        </w:rPr>
        <w:t>As described in more detail below under “Potential Payments Upon Termination or Change in Control,” the Strategic PSUs have similar vesting acceleration provisions upon change in control or death and disability as the RTSR PSUs, but do not provide for acceleration of vesting upon retirement.</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Further details relating to the long-term equity grants can be found in the “Grants of Plan-Based Awards” table located on page 31 of this proxy statement.</w:t>
      </w:r>
    </w:p>
    <w:p>
      <w:pPr>
        <w:spacing w:after="0" w:line="217"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The Company does not have a program, plan or practice to time equity awards, including option grants, to its executive officers or employees in coordination with the release of material non-public information. The grant date of long-term equity awards for our executive officers is the date of the Board of Directors or relevant Compensation Committee meeting at which the award determinations are made.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Ownership Guidelines and Anti-Hedging Policy</w:t>
      </w:r>
    </w:p>
    <w:p>
      <w:pPr>
        <w:spacing w:after="0" w:line="223" w:lineRule="exact"/>
        <w:rPr>
          <w:sz w:val="20"/>
          <w:szCs w:val="20"/>
          <w:color w:val="auto"/>
        </w:rPr>
      </w:pPr>
    </w:p>
    <w:p>
      <w:pPr>
        <w:ind w:right="140" w:firstLine="619"/>
        <w:spacing w:after="0" w:line="258" w:lineRule="auto"/>
        <w:rPr>
          <w:sz w:val="20"/>
          <w:szCs w:val="20"/>
          <w:color w:val="auto"/>
        </w:rPr>
      </w:pPr>
      <w:r>
        <w:rPr>
          <w:rFonts w:ascii="Times New Roman" w:cs="Times New Roman" w:eastAsia="Times New Roman" w:hAnsi="Times New Roman"/>
          <w:sz w:val="17"/>
          <w:szCs w:val="17"/>
          <w:color w:val="auto"/>
        </w:rPr>
        <w:t>The Compensation Committee has implemented stock ownership guidelines for the Company’s directors and executive officers in order to reinforce the importance of stock ownership and long-term focus. The guidelines apply to all members of the Board of Directors and executive officers of the Company. In 2023, based on the results of a review of practices in the Company’s peer group by FW Cook, the Board, upon the recommendation of the Compensation Committee, updated the Company’s stock ownership guidelines. Expected ownership levels remain: (i) five (5) times base salary for the Chief Executive Officer;</w:t>
      </w:r>
    </w:p>
    <w:p>
      <w:pPr>
        <w:spacing w:after="0" w:line="1" w:lineRule="exact"/>
        <w:rPr>
          <w:sz w:val="20"/>
          <w:szCs w:val="20"/>
          <w:color w:val="auto"/>
        </w:rPr>
      </w:pPr>
    </w:p>
    <w:p>
      <w:pPr>
        <w:ind w:right="60" w:firstLine="3"/>
        <w:spacing w:after="0" w:line="255" w:lineRule="auto"/>
        <w:tabs>
          <w:tab w:leader="none" w:pos="25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three (3) times base salary for the Chief Operating Officer and Chief Financial Officer; (iii) two (2) times base salary for all other executive officers; and (iv) sixty (60) times the monthly retainer fee for members of the Board. Stock ownership is the sum of the shares of the Company’s stock beneficially owned and does not include unvested shares relating to awards of RSUs, stock options, performance share units, or shares pledged as collateral. Additionally, to emphasize the importance of sharing the same objectives as all shareholders of the Company, the Company’s Insider Trading policy prohibits directors, senior executives, and other designated employees from engaging in hedging transactions, including, but not limited to, collars, forward sale contracts, trading in publicly-traded options, puts, calls or other derivative instruments related to the Company’s common stock that protect against downward changes in the Company’s common stock price.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Retirement Compensation</w:t>
      </w:r>
    </w:p>
    <w:p>
      <w:pPr>
        <w:spacing w:after="0" w:line="223" w:lineRule="exact"/>
        <w:rPr>
          <w:sz w:val="20"/>
          <w:szCs w:val="20"/>
          <w:color w:val="auto"/>
        </w:rPr>
      </w:pPr>
    </w:p>
    <w:p>
      <w:pPr>
        <w:ind w:right="440" w:firstLine="619"/>
        <w:spacing w:after="0" w:line="270" w:lineRule="auto"/>
        <w:rPr>
          <w:sz w:val="20"/>
          <w:szCs w:val="20"/>
          <w:color w:val="auto"/>
        </w:rPr>
      </w:pPr>
      <w:r>
        <w:rPr>
          <w:rFonts w:ascii="Times New Roman" w:cs="Times New Roman" w:eastAsia="Times New Roman" w:hAnsi="Times New Roman"/>
          <w:sz w:val="17"/>
          <w:szCs w:val="17"/>
          <w:color w:val="auto"/>
        </w:rPr>
        <w:t>The Company maintains a defined contribution Executive Supplemental Retirement Plan. Vesting in the Executive Supplemental Retirement Plan is subject to a ten-year service requirement. The Company discontinued contributions to the Executive Supplemental Retirement Plan during 2010. See “Nonqualified Deferred Compensation” for further details.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2" w:name="page33"/>
    <w:bookmarkEnd w:id="32"/>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2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 following table presents details about compensation awarded to, earned by or paid to the Company’s Chief Executive Officer, Chief Financial Officer, and the next three most highly compensated executive officers serving with the Company at December 31, 2025. We have omitted the columns entitled “Bonus Option Awards” and “Change in Pension Value and Nonqualified Deferred Compensation Earnings” because our named executive officers did not receive option awards or above market earnings on deferred compensation during the years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vMerge w:val="restart"/>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Stock</w:t>
            </w:r>
          </w:p>
        </w:tc>
        <w:tc>
          <w:tcPr>
            <w:tcW w:w="280" w:type="dxa"/>
            <w:vAlign w:val="bottom"/>
          </w:tcPr>
          <w:p>
            <w:pPr>
              <w:spacing w:after="0"/>
              <w:rPr>
                <w:sz w:val="17"/>
                <w:szCs w:val="17"/>
                <w:color w:val="auto"/>
              </w:rPr>
            </w:pPr>
          </w:p>
        </w:tc>
        <w:tc>
          <w:tcPr>
            <w:tcW w:w="138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Non-Equity</w:t>
            </w:r>
          </w:p>
        </w:tc>
        <w:tc>
          <w:tcPr>
            <w:tcW w:w="220" w:type="dxa"/>
            <w:vAlign w:val="bottom"/>
          </w:tcPr>
          <w:p>
            <w:pPr>
              <w:spacing w:after="0"/>
              <w:rPr>
                <w:sz w:val="17"/>
                <w:szCs w:val="17"/>
                <w:color w:val="auto"/>
              </w:rPr>
            </w:pPr>
          </w:p>
        </w:tc>
        <w:tc>
          <w:tcPr>
            <w:tcW w:w="144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right="134"/>
              <w:spacing w:after="0" w:line="167" w:lineRule="exact"/>
              <w:rPr>
                <w:sz w:val="20"/>
                <w:szCs w:val="20"/>
                <w:color w:val="auto"/>
              </w:rPr>
            </w:pPr>
            <w:r>
              <w:rPr>
                <w:rFonts w:ascii="Times New Roman" w:cs="Times New Roman" w:eastAsia="Times New Roman" w:hAnsi="Times New Roman"/>
                <w:sz w:val="17"/>
                <w:szCs w:val="17"/>
                <w:b w:val="1"/>
                <w:bCs w:val="1"/>
                <w:color w:val="auto"/>
              </w:rPr>
              <w:t>Incentive</w:t>
            </w:r>
          </w:p>
        </w:tc>
        <w:tc>
          <w:tcPr>
            <w:tcW w:w="2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80" w:type="dxa"/>
            <w:vAlign w:val="bottom"/>
          </w:tcPr>
          <w:p>
            <w:pPr>
              <w:spacing w:after="0"/>
              <w:rPr>
                <w:sz w:val="15"/>
                <w:szCs w:val="15"/>
                <w:color w:val="auto"/>
              </w:rPr>
            </w:pPr>
          </w:p>
        </w:tc>
        <w:tc>
          <w:tcPr>
            <w:tcW w:w="90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Year</w:t>
            </w:r>
          </w:p>
        </w:tc>
        <w:tc>
          <w:tcPr>
            <w:tcW w:w="340" w:type="dxa"/>
            <w:vAlign w:val="bottom"/>
          </w:tcPr>
          <w:p>
            <w:pPr>
              <w:spacing w:after="0"/>
              <w:rPr>
                <w:sz w:val="15"/>
                <w:szCs w:val="15"/>
                <w:color w:val="auto"/>
              </w:rPr>
            </w:pPr>
          </w:p>
        </w:tc>
        <w:tc>
          <w:tcPr>
            <w:tcW w:w="1300" w:type="dxa"/>
            <w:vAlign w:val="bottom"/>
            <w:vMerge w:val="restart"/>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340" w:type="dxa"/>
            <w:vAlign w:val="bottom"/>
          </w:tcPr>
          <w:p>
            <w:pPr>
              <w:spacing w:after="0"/>
              <w:rPr>
                <w:sz w:val="15"/>
                <w:szCs w:val="15"/>
                <w:color w:val="auto"/>
              </w:rPr>
            </w:pPr>
          </w:p>
        </w:tc>
        <w:tc>
          <w:tcPr>
            <w:tcW w:w="1320" w:type="dxa"/>
            <w:vAlign w:val="bottom"/>
          </w:tcPr>
          <w:p>
            <w:pPr>
              <w:jc w:val="center"/>
              <w:ind w:right="194"/>
              <w:spacing w:after="0" w:line="181" w:lineRule="exact"/>
              <w:rPr>
                <w:sz w:val="20"/>
                <w:szCs w:val="20"/>
                <w:color w:val="auto"/>
              </w:rPr>
            </w:pPr>
            <w:r>
              <w:rPr>
                <w:rFonts w:ascii="Times New Roman" w:cs="Times New Roman" w:eastAsia="Times New Roman" w:hAnsi="Times New Roman"/>
                <w:sz w:val="17"/>
                <w:szCs w:val="17"/>
                <w:b w:val="1"/>
                <w:bCs w:val="1"/>
                <w:color w:val="auto"/>
                <w:w w:val="98"/>
              </w:rPr>
              <w:t>Awards</w:t>
            </w:r>
          </w:p>
        </w:tc>
        <w:tc>
          <w:tcPr>
            <w:tcW w:w="280" w:type="dxa"/>
            <w:vAlign w:val="bottom"/>
          </w:tcPr>
          <w:p>
            <w:pPr>
              <w:spacing w:after="0"/>
              <w:rPr>
                <w:sz w:val="15"/>
                <w:szCs w:val="15"/>
                <w:color w:val="auto"/>
              </w:rPr>
            </w:pPr>
          </w:p>
        </w:tc>
        <w:tc>
          <w:tcPr>
            <w:tcW w:w="1380" w:type="dxa"/>
            <w:vAlign w:val="bottom"/>
          </w:tcPr>
          <w:p>
            <w:pPr>
              <w:jc w:val="center"/>
              <w:ind w:right="154"/>
              <w:spacing w:after="0" w:line="181" w:lineRule="exact"/>
              <w:rPr>
                <w:sz w:val="20"/>
                <w:szCs w:val="20"/>
                <w:color w:val="auto"/>
              </w:rPr>
            </w:pPr>
            <w:r>
              <w:rPr>
                <w:rFonts w:ascii="Times New Roman" w:cs="Times New Roman" w:eastAsia="Times New Roman" w:hAnsi="Times New Roman"/>
                <w:sz w:val="17"/>
                <w:szCs w:val="17"/>
                <w:b w:val="1"/>
                <w:bCs w:val="1"/>
                <w:color w:val="auto"/>
              </w:rPr>
              <w:t>Plan Comp</w:t>
            </w:r>
          </w:p>
        </w:tc>
        <w:tc>
          <w:tcPr>
            <w:tcW w:w="220" w:type="dxa"/>
            <w:vAlign w:val="bottom"/>
          </w:tcPr>
          <w:p>
            <w:pPr>
              <w:spacing w:after="0"/>
              <w:rPr>
                <w:sz w:val="15"/>
                <w:szCs w:val="15"/>
                <w:color w:val="auto"/>
              </w:rPr>
            </w:pPr>
          </w:p>
        </w:tc>
        <w:tc>
          <w:tcPr>
            <w:tcW w:w="144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7"/>
                <w:szCs w:val="17"/>
                <w:b w:val="1"/>
                <w:bCs w:val="1"/>
                <w:color w:val="auto"/>
              </w:rPr>
              <w:t>Compensation</w:t>
            </w:r>
          </w:p>
        </w:tc>
        <w:tc>
          <w:tcPr>
            <w:tcW w:w="400" w:type="dxa"/>
            <w:vAlign w:val="bottom"/>
          </w:tcPr>
          <w:p>
            <w:pPr>
              <w:spacing w:after="0"/>
              <w:rPr>
                <w:sz w:val="15"/>
                <w:szCs w:val="15"/>
                <w:color w:val="auto"/>
              </w:rPr>
            </w:pPr>
          </w:p>
        </w:tc>
        <w:tc>
          <w:tcPr>
            <w:tcW w:w="1300" w:type="dxa"/>
            <w:vAlign w:val="bottom"/>
            <w:vMerge w:val="restart"/>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19"/>
        </w:trPr>
        <w:tc>
          <w:tcPr>
            <w:tcW w:w="19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(a)</w:t>
            </w:r>
          </w:p>
        </w:tc>
        <w:tc>
          <w:tcPr>
            <w:tcW w:w="280" w:type="dxa"/>
            <w:vAlign w:val="bottom"/>
          </w:tcPr>
          <w:p>
            <w:pPr>
              <w:spacing w:after="0"/>
              <w:rPr>
                <w:sz w:val="19"/>
                <w:szCs w:val="19"/>
                <w:color w:val="auto"/>
              </w:rPr>
            </w:pPr>
          </w:p>
        </w:tc>
        <w:tc>
          <w:tcPr>
            <w:tcW w:w="138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6"/>
              </w:rPr>
              <w:t>(b)</w:t>
            </w:r>
          </w:p>
        </w:tc>
        <w:tc>
          <w:tcPr>
            <w:tcW w:w="220" w:type="dxa"/>
            <w:vAlign w:val="bottom"/>
          </w:tcPr>
          <w:p>
            <w:pPr>
              <w:spacing w:after="0"/>
              <w:rPr>
                <w:sz w:val="19"/>
                <w:szCs w:val="19"/>
                <w:color w:val="auto"/>
              </w:rPr>
            </w:pPr>
          </w:p>
        </w:tc>
        <w:tc>
          <w:tcPr>
            <w:tcW w:w="144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(c)</w:t>
            </w:r>
          </w:p>
        </w:tc>
        <w:tc>
          <w:tcPr>
            <w:tcW w:w="4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9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Edward H. McKay</w:t>
            </w:r>
          </w:p>
        </w:tc>
        <w:tc>
          <w:tcPr>
            <w:tcW w:w="9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2025</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494,568</w:t>
            </w:r>
          </w:p>
        </w:tc>
        <w:tc>
          <w:tcPr>
            <w:tcW w:w="3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1,368,867</w:t>
            </w: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376,715</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30,716</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2,270,866</w:t>
            </w:r>
          </w:p>
        </w:tc>
        <w:tc>
          <w:tcPr>
            <w:tcW w:w="0" w:type="dxa"/>
            <w:vAlign w:val="bottom"/>
          </w:tcPr>
          <w:p>
            <w:pPr>
              <w:spacing w:after="0"/>
              <w:rPr>
                <w:sz w:val="1"/>
                <w:szCs w:val="1"/>
                <w:color w:val="auto"/>
              </w:rPr>
            </w:pPr>
          </w:p>
        </w:tc>
      </w:tr>
      <w:tr>
        <w:trPr>
          <w:trHeight w:val="173"/>
        </w:trPr>
        <w:tc>
          <w:tcPr>
            <w:tcW w:w="1980" w:type="dxa"/>
            <w:vAlign w:val="bottom"/>
            <w:shd w:val="clear" w:color="auto" w:fill="CCEEFF"/>
          </w:tcPr>
          <w:p>
            <w:pPr>
              <w:ind w:left="100"/>
              <w:spacing w:after="0" w:line="173" w:lineRule="exact"/>
              <w:rPr>
                <w:sz w:val="20"/>
                <w:szCs w:val="20"/>
                <w:color w:val="auto"/>
              </w:rPr>
            </w:pPr>
            <w:r>
              <w:rPr>
                <w:rFonts w:ascii="Times New Roman" w:cs="Times New Roman" w:eastAsia="Times New Roman" w:hAnsi="Times New Roman"/>
                <w:sz w:val="17"/>
                <w:szCs w:val="17"/>
                <w:i w:val="1"/>
                <w:iCs w:val="1"/>
                <w:color w:val="auto"/>
              </w:rPr>
              <w:t>President and CEO</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shd w:val="clear" w:color="auto" w:fill="CCEEFF"/>
          </w:tcPr>
          <w:p>
            <w:pPr>
              <w:ind w:left="100"/>
              <w:spacing w:after="0" w:line="175" w:lineRule="exact"/>
              <w:rPr>
                <w:sz w:val="20"/>
                <w:szCs w:val="20"/>
                <w:color w:val="auto"/>
              </w:rPr>
            </w:pPr>
            <w:r>
              <w:rPr>
                <w:rFonts w:ascii="Times New Roman" w:cs="Times New Roman" w:eastAsia="Times New Roman" w:hAnsi="Times New Roman"/>
                <w:sz w:val="17"/>
                <w:szCs w:val="17"/>
                <w:i w:val="1"/>
                <w:iCs w:val="1"/>
                <w:color w:val="auto"/>
              </w:rPr>
              <w:t>(served as EVP and COO</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3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447,400</w:t>
            </w:r>
          </w:p>
        </w:tc>
        <w:tc>
          <w:tcPr>
            <w:tcW w:w="3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1,323,637</w:t>
            </w:r>
          </w:p>
        </w:tc>
        <w:tc>
          <w:tcPr>
            <w:tcW w:w="28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413,287</w:t>
            </w: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28,508</w:t>
            </w:r>
          </w:p>
        </w:tc>
        <w:tc>
          <w:tcPr>
            <w:tcW w:w="4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2,212,832</w:t>
            </w:r>
          </w:p>
        </w:tc>
        <w:tc>
          <w:tcPr>
            <w:tcW w:w="0" w:type="dxa"/>
            <w:vAlign w:val="bottom"/>
          </w:tcPr>
          <w:p>
            <w:pPr>
              <w:spacing w:after="0"/>
              <w:rPr>
                <w:sz w:val="1"/>
                <w:szCs w:val="1"/>
                <w:color w:val="auto"/>
              </w:rPr>
            </w:pPr>
          </w:p>
        </w:tc>
      </w:tr>
      <w:tr>
        <w:trPr>
          <w:trHeight w:val="116"/>
        </w:trPr>
        <w:tc>
          <w:tcPr>
            <w:tcW w:w="19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i w:val="1"/>
                <w:iCs w:val="1"/>
                <w:color w:val="auto"/>
              </w:rPr>
              <w:t>until August 31)</w:t>
            </w:r>
          </w:p>
        </w:tc>
        <w:tc>
          <w:tcPr>
            <w:tcW w:w="900" w:type="dxa"/>
            <w:vAlign w:val="bottom"/>
            <w:vMerge w:val="continue"/>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300" w:type="dxa"/>
            <w:vAlign w:val="bottom"/>
            <w:vMerge w:val="continue"/>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320" w:type="dxa"/>
            <w:vAlign w:val="bottom"/>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8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40" w:type="dxa"/>
            <w:vAlign w:val="bottom"/>
            <w:vMerge w:val="continue"/>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980" w:type="dxa"/>
            <w:vAlign w:val="bottom"/>
            <w:vMerge w:val="continue"/>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411,269</w:t>
            </w:r>
          </w:p>
        </w:tc>
        <w:tc>
          <w:tcPr>
            <w:tcW w:w="34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1,271,430</w:t>
            </w:r>
          </w:p>
        </w:tc>
        <w:tc>
          <w:tcPr>
            <w:tcW w:w="280" w:type="dxa"/>
            <w:vAlign w:val="bottom"/>
            <w:shd w:val="clear" w:color="auto" w:fill="CCEEFF"/>
          </w:tcPr>
          <w:p>
            <w:pPr>
              <w:spacing w:after="0"/>
              <w:rPr>
                <w:sz w:val="9"/>
                <w:szCs w:val="9"/>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388,735</w:t>
            </w:r>
          </w:p>
        </w:tc>
        <w:tc>
          <w:tcPr>
            <w:tcW w:w="220" w:type="dxa"/>
            <w:vAlign w:val="bottom"/>
            <w:shd w:val="clear" w:color="auto" w:fill="CCEEFF"/>
          </w:tcPr>
          <w:p>
            <w:pPr>
              <w:spacing w:after="0"/>
              <w:rPr>
                <w:sz w:val="9"/>
                <w:szCs w:val="9"/>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25,567</w:t>
            </w:r>
          </w:p>
        </w:tc>
        <w:tc>
          <w:tcPr>
            <w:tcW w:w="40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2,097,001</w:t>
            </w:r>
          </w:p>
        </w:tc>
        <w:tc>
          <w:tcPr>
            <w:tcW w:w="0" w:type="dxa"/>
            <w:vAlign w:val="bottom"/>
          </w:tcPr>
          <w:p>
            <w:pPr>
              <w:spacing w:after="0"/>
              <w:rPr>
                <w:sz w:val="1"/>
                <w:szCs w:val="1"/>
                <w:color w:val="auto"/>
              </w:rPr>
            </w:pPr>
          </w:p>
        </w:tc>
      </w:tr>
      <w:tr>
        <w:trPr>
          <w:trHeight w:val="165"/>
        </w:trPr>
        <w:tc>
          <w:tcPr>
            <w:tcW w:w="19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vMerge w:val="continue"/>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vMerge w:val="continue"/>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vMerge w:val="continue"/>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9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Christopher E. French</w:t>
            </w:r>
          </w:p>
        </w:tc>
        <w:tc>
          <w:tcPr>
            <w:tcW w:w="9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2025</w:t>
            </w:r>
          </w:p>
        </w:tc>
        <w:tc>
          <w:tcPr>
            <w:tcW w:w="340" w:type="dxa"/>
            <w:vAlign w:val="bottom"/>
            <w:shd w:val="clear" w:color="auto" w:fill="CCEEFF"/>
          </w:tcPr>
          <w:p>
            <w:pPr>
              <w:jc w:val="right"/>
              <w:ind w:right="154"/>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638,779</w:t>
            </w:r>
          </w:p>
        </w:tc>
        <w:tc>
          <w:tcPr>
            <w:tcW w:w="340" w:type="dxa"/>
            <w:vAlign w:val="bottom"/>
            <w:shd w:val="clear" w:color="auto" w:fill="CCEEFF"/>
          </w:tcPr>
          <w:p>
            <w:pPr>
              <w:jc w:val="right"/>
              <w:ind w:right="134"/>
              <w:spacing w:after="0" w:line="167"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1,784,519</w:t>
            </w:r>
          </w:p>
        </w:tc>
        <w:tc>
          <w:tcPr>
            <w:tcW w:w="280" w:type="dxa"/>
            <w:vAlign w:val="bottom"/>
            <w:shd w:val="clear" w:color="auto" w:fill="CCEEFF"/>
          </w:tcPr>
          <w:p>
            <w:pPr>
              <w:jc w:val="right"/>
              <w:ind w:right="74"/>
              <w:spacing w:after="0" w:line="167" w:lineRule="exact"/>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555,061</w:t>
            </w:r>
          </w:p>
        </w:tc>
        <w:tc>
          <w:tcPr>
            <w:tcW w:w="2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29,000</w:t>
            </w:r>
          </w:p>
        </w:tc>
        <w:tc>
          <w:tcPr>
            <w:tcW w:w="400" w:type="dxa"/>
            <w:vAlign w:val="bottom"/>
            <w:shd w:val="clear" w:color="auto" w:fill="CCEEFF"/>
          </w:tcPr>
          <w:p>
            <w:pPr>
              <w:jc w:val="right"/>
              <w:ind w:right="174"/>
              <w:spacing w:after="0" w:line="167" w:lineRule="exact"/>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3,007,359</w:t>
            </w:r>
          </w:p>
        </w:tc>
        <w:tc>
          <w:tcPr>
            <w:tcW w:w="0" w:type="dxa"/>
            <w:vAlign w:val="bottom"/>
          </w:tcPr>
          <w:p>
            <w:pPr>
              <w:spacing w:after="0"/>
              <w:rPr>
                <w:sz w:val="1"/>
                <w:szCs w:val="1"/>
                <w:color w:val="auto"/>
              </w:rPr>
            </w:pPr>
          </w:p>
        </w:tc>
      </w:tr>
      <w:tr>
        <w:trPr>
          <w:trHeight w:val="173"/>
        </w:trPr>
        <w:tc>
          <w:tcPr>
            <w:tcW w:w="1980" w:type="dxa"/>
            <w:vAlign w:val="bottom"/>
            <w:shd w:val="clear" w:color="auto" w:fill="CCEEFF"/>
          </w:tcPr>
          <w:p>
            <w:pPr>
              <w:ind w:left="100"/>
              <w:spacing w:after="0" w:line="173" w:lineRule="exact"/>
              <w:rPr>
                <w:sz w:val="20"/>
                <w:szCs w:val="20"/>
                <w:color w:val="auto"/>
              </w:rPr>
            </w:pPr>
            <w:r>
              <w:rPr>
                <w:rFonts w:ascii="Times New Roman" w:cs="Times New Roman" w:eastAsia="Times New Roman" w:hAnsi="Times New Roman"/>
                <w:sz w:val="17"/>
                <w:szCs w:val="17"/>
                <w:i w:val="1"/>
                <w:iCs w:val="1"/>
                <w:color w:val="auto"/>
              </w:rPr>
              <w:t>Executive Chairman</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shd w:val="clear" w:color="auto" w:fill="CCEEFF"/>
          </w:tcPr>
          <w:p>
            <w:pPr>
              <w:ind w:left="100"/>
              <w:spacing w:after="0" w:line="175" w:lineRule="exact"/>
              <w:rPr>
                <w:sz w:val="20"/>
                <w:szCs w:val="20"/>
                <w:color w:val="auto"/>
              </w:rPr>
            </w:pPr>
            <w:r>
              <w:rPr>
                <w:rFonts w:ascii="Times New Roman" w:cs="Times New Roman" w:eastAsia="Times New Roman" w:hAnsi="Times New Roman"/>
                <w:sz w:val="17"/>
                <w:szCs w:val="17"/>
                <w:i w:val="1"/>
                <w:iCs w:val="1"/>
                <w:color w:val="auto"/>
              </w:rPr>
              <w:t>(served as President and</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i w:val="1"/>
                <w:iCs w:val="1"/>
                <w:color w:val="auto"/>
              </w:rPr>
              <w:t>CEO until August 31)</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704,900</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1,771,704</w:t>
            </w: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841,942</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28,600</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3,347,146</w:t>
            </w:r>
          </w:p>
        </w:tc>
        <w:tc>
          <w:tcPr>
            <w:tcW w:w="0" w:type="dxa"/>
            <w:vAlign w:val="bottom"/>
          </w:tcPr>
          <w:p>
            <w:pPr>
              <w:spacing w:after="0"/>
              <w:rPr>
                <w:sz w:val="1"/>
                <w:szCs w:val="1"/>
                <w:color w:val="auto"/>
              </w:rPr>
            </w:pPr>
          </w:p>
        </w:tc>
      </w:tr>
      <w:tr>
        <w:trPr>
          <w:trHeight w:val="276"/>
        </w:trPr>
        <w:tc>
          <w:tcPr>
            <w:tcW w:w="19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689,000</w:t>
            </w: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1,863,158</w:t>
            </w:r>
          </w:p>
        </w:tc>
        <w:tc>
          <w:tcPr>
            <w:tcW w:w="2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839,266</w:t>
            </w:r>
          </w:p>
        </w:tc>
        <w:tc>
          <w:tcPr>
            <w:tcW w:w="2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27,400</w:t>
            </w:r>
          </w:p>
        </w:tc>
        <w:tc>
          <w:tcPr>
            <w:tcW w:w="4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3,418,824</w:t>
            </w:r>
          </w:p>
        </w:tc>
        <w:tc>
          <w:tcPr>
            <w:tcW w:w="0" w:type="dxa"/>
            <w:vAlign w:val="bottom"/>
          </w:tcPr>
          <w:p>
            <w:pPr>
              <w:spacing w:after="0"/>
              <w:rPr>
                <w:sz w:val="1"/>
                <w:szCs w:val="1"/>
                <w:color w:val="auto"/>
              </w:rPr>
            </w:pPr>
          </w:p>
        </w:tc>
      </w:tr>
      <w:tr>
        <w:trPr>
          <w:trHeight w:val="245"/>
        </w:trPr>
        <w:tc>
          <w:tcPr>
            <w:tcW w:w="1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9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James J. Volk</w:t>
            </w:r>
          </w:p>
        </w:tc>
        <w:tc>
          <w:tcPr>
            <w:tcW w:w="9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2025</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436,048</w:t>
            </w:r>
          </w:p>
        </w:tc>
        <w:tc>
          <w:tcPr>
            <w:tcW w:w="3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868,664</w:t>
            </w: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250,015</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29,848</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1,584,575</w:t>
            </w:r>
          </w:p>
        </w:tc>
        <w:tc>
          <w:tcPr>
            <w:tcW w:w="0" w:type="dxa"/>
            <w:vAlign w:val="bottom"/>
          </w:tcPr>
          <w:p>
            <w:pPr>
              <w:spacing w:after="0"/>
              <w:rPr>
                <w:sz w:val="1"/>
                <w:szCs w:val="1"/>
                <w:color w:val="auto"/>
              </w:rPr>
            </w:pPr>
          </w:p>
        </w:tc>
      </w:tr>
      <w:tr>
        <w:trPr>
          <w:trHeight w:val="227"/>
        </w:trPr>
        <w:tc>
          <w:tcPr>
            <w:tcW w:w="1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i w:val="1"/>
                <w:iCs w:val="1"/>
                <w:color w:val="auto"/>
              </w:rPr>
              <w:t>SVP–Finance and CFO</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34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422,700</w:t>
            </w:r>
          </w:p>
        </w:tc>
        <w:tc>
          <w:tcPr>
            <w:tcW w:w="3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856,426</w:t>
            </w:r>
          </w:p>
        </w:tc>
        <w:tc>
          <w:tcPr>
            <w:tcW w:w="28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313,934</w:t>
            </w:r>
          </w:p>
        </w:tc>
        <w:tc>
          <w:tcPr>
            <w:tcW w:w="22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28,600</w:t>
            </w:r>
          </w:p>
        </w:tc>
        <w:tc>
          <w:tcPr>
            <w:tcW w:w="4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1,621,660</w:t>
            </w:r>
          </w:p>
        </w:tc>
        <w:tc>
          <w:tcPr>
            <w:tcW w:w="0" w:type="dxa"/>
            <w:vAlign w:val="bottom"/>
          </w:tcPr>
          <w:p>
            <w:pPr>
              <w:spacing w:after="0"/>
              <w:rPr>
                <w:sz w:val="1"/>
                <w:szCs w:val="1"/>
                <w:color w:val="auto"/>
              </w:rPr>
            </w:pPr>
          </w:p>
        </w:tc>
      </w:tr>
      <w:tr>
        <w:trPr>
          <w:trHeight w:val="83"/>
        </w:trPr>
        <w:tc>
          <w:tcPr>
            <w:tcW w:w="198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409,392</w:t>
            </w: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890,005</w:t>
            </w:r>
          </w:p>
        </w:tc>
        <w:tc>
          <w:tcPr>
            <w:tcW w:w="2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325,279</w:t>
            </w:r>
          </w:p>
        </w:tc>
        <w:tc>
          <w:tcPr>
            <w:tcW w:w="2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27,400</w:t>
            </w:r>
          </w:p>
        </w:tc>
        <w:tc>
          <w:tcPr>
            <w:tcW w:w="4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1,652,076</w:t>
            </w:r>
          </w:p>
        </w:tc>
        <w:tc>
          <w:tcPr>
            <w:tcW w:w="0" w:type="dxa"/>
            <w:vAlign w:val="bottom"/>
          </w:tcPr>
          <w:p>
            <w:pPr>
              <w:spacing w:after="0"/>
              <w:rPr>
                <w:sz w:val="1"/>
                <w:szCs w:val="1"/>
                <w:color w:val="auto"/>
              </w:rPr>
            </w:pPr>
          </w:p>
        </w:tc>
      </w:tr>
      <w:tr>
        <w:trPr>
          <w:trHeight w:val="245"/>
        </w:trPr>
        <w:tc>
          <w:tcPr>
            <w:tcW w:w="1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9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Richard W. Mason</w:t>
            </w:r>
          </w:p>
        </w:tc>
        <w:tc>
          <w:tcPr>
            <w:tcW w:w="9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2025</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351,261</w:t>
            </w:r>
          </w:p>
        </w:tc>
        <w:tc>
          <w:tcPr>
            <w:tcW w:w="3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652,894</w:t>
            </w: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157,907</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28,473</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1,190,535</w:t>
            </w:r>
          </w:p>
        </w:tc>
        <w:tc>
          <w:tcPr>
            <w:tcW w:w="0" w:type="dxa"/>
            <w:vAlign w:val="bottom"/>
          </w:tcPr>
          <w:p>
            <w:pPr>
              <w:spacing w:after="0"/>
              <w:rPr>
                <w:sz w:val="1"/>
                <w:szCs w:val="1"/>
                <w:color w:val="auto"/>
              </w:rPr>
            </w:pPr>
          </w:p>
        </w:tc>
      </w:tr>
      <w:tr>
        <w:trPr>
          <w:trHeight w:val="227"/>
        </w:trPr>
        <w:tc>
          <w:tcPr>
            <w:tcW w:w="1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i w:val="1"/>
                <w:iCs w:val="1"/>
                <w:color w:val="auto"/>
              </w:rPr>
              <w:t>SVP-Eng &amp; Ops</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34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336,831</w:t>
            </w:r>
          </w:p>
        </w:tc>
        <w:tc>
          <w:tcPr>
            <w:tcW w:w="3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631,518</w:t>
            </w:r>
          </w:p>
        </w:tc>
        <w:tc>
          <w:tcPr>
            <w:tcW w:w="28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205,310</w:t>
            </w:r>
          </w:p>
        </w:tc>
        <w:tc>
          <w:tcPr>
            <w:tcW w:w="22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26,947</w:t>
            </w:r>
          </w:p>
        </w:tc>
        <w:tc>
          <w:tcPr>
            <w:tcW w:w="4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1,200,606</w:t>
            </w:r>
          </w:p>
        </w:tc>
        <w:tc>
          <w:tcPr>
            <w:tcW w:w="0" w:type="dxa"/>
            <w:vAlign w:val="bottom"/>
          </w:tcPr>
          <w:p>
            <w:pPr>
              <w:spacing w:after="0"/>
              <w:rPr>
                <w:sz w:val="1"/>
                <w:szCs w:val="1"/>
                <w:color w:val="auto"/>
              </w:rPr>
            </w:pPr>
          </w:p>
        </w:tc>
      </w:tr>
      <w:tr>
        <w:trPr>
          <w:trHeight w:val="83"/>
        </w:trPr>
        <w:tc>
          <w:tcPr>
            <w:tcW w:w="198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325,000</w:t>
            </w: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645,671</w:t>
            </w:r>
          </w:p>
        </w:tc>
        <w:tc>
          <w:tcPr>
            <w:tcW w:w="2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199,997</w:t>
            </w:r>
          </w:p>
        </w:tc>
        <w:tc>
          <w:tcPr>
            <w:tcW w:w="2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26,000</w:t>
            </w:r>
          </w:p>
        </w:tc>
        <w:tc>
          <w:tcPr>
            <w:tcW w:w="4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1,196,668</w:t>
            </w:r>
          </w:p>
        </w:tc>
        <w:tc>
          <w:tcPr>
            <w:tcW w:w="0" w:type="dxa"/>
            <w:vAlign w:val="bottom"/>
          </w:tcPr>
          <w:p>
            <w:pPr>
              <w:spacing w:after="0"/>
              <w:rPr>
                <w:sz w:val="1"/>
                <w:szCs w:val="1"/>
                <w:color w:val="auto"/>
              </w:rPr>
            </w:pPr>
          </w:p>
        </w:tc>
      </w:tr>
      <w:tr>
        <w:trPr>
          <w:trHeight w:val="245"/>
        </w:trPr>
        <w:tc>
          <w:tcPr>
            <w:tcW w:w="1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9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Elaine M. Cheng</w:t>
            </w:r>
          </w:p>
        </w:tc>
        <w:tc>
          <w:tcPr>
            <w:tcW w:w="9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2025</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336,659</w:t>
            </w:r>
          </w:p>
        </w:tc>
        <w:tc>
          <w:tcPr>
            <w:tcW w:w="3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575,793</w:t>
            </w: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166,118</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30,026</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1,108,596</w:t>
            </w:r>
          </w:p>
        </w:tc>
        <w:tc>
          <w:tcPr>
            <w:tcW w:w="0" w:type="dxa"/>
            <w:vAlign w:val="bottom"/>
          </w:tcPr>
          <w:p>
            <w:pPr>
              <w:spacing w:after="0"/>
              <w:rPr>
                <w:sz w:val="1"/>
                <w:szCs w:val="1"/>
                <w:color w:val="auto"/>
              </w:rPr>
            </w:pPr>
          </w:p>
        </w:tc>
      </w:tr>
      <w:tr>
        <w:trPr>
          <w:trHeight w:val="227"/>
        </w:trPr>
        <w:tc>
          <w:tcPr>
            <w:tcW w:w="1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i w:val="1"/>
                <w:iCs w:val="1"/>
                <w:color w:val="auto"/>
              </w:rPr>
              <w:t>SVP and CIO</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34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331,477</w:t>
            </w:r>
          </w:p>
        </w:tc>
        <w:tc>
          <w:tcPr>
            <w:tcW w:w="3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574,054</w:t>
            </w:r>
          </w:p>
        </w:tc>
        <w:tc>
          <w:tcPr>
            <w:tcW w:w="28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202,047</w:t>
            </w:r>
          </w:p>
        </w:tc>
        <w:tc>
          <w:tcPr>
            <w:tcW w:w="22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26,748</w:t>
            </w:r>
          </w:p>
        </w:tc>
        <w:tc>
          <w:tcPr>
            <w:tcW w:w="4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1,134,326</w:t>
            </w:r>
          </w:p>
        </w:tc>
        <w:tc>
          <w:tcPr>
            <w:tcW w:w="0" w:type="dxa"/>
            <w:vAlign w:val="bottom"/>
          </w:tcPr>
          <w:p>
            <w:pPr>
              <w:spacing w:after="0"/>
              <w:rPr>
                <w:sz w:val="1"/>
                <w:szCs w:val="1"/>
                <w:color w:val="auto"/>
              </w:rPr>
            </w:pPr>
          </w:p>
        </w:tc>
      </w:tr>
      <w:tr>
        <w:trPr>
          <w:trHeight w:val="83"/>
        </w:trPr>
        <w:tc>
          <w:tcPr>
            <w:tcW w:w="198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19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321,923</w:t>
            </w: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592,416</w:t>
            </w: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201,169</w:t>
            </w: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26,281</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1,141,789</w:t>
            </w:r>
          </w:p>
        </w:tc>
        <w:tc>
          <w:tcPr>
            <w:tcW w:w="0" w:type="dxa"/>
            <w:vAlign w:val="bottom"/>
          </w:tcPr>
          <w:p>
            <w:pPr>
              <w:spacing w:after="0"/>
              <w:rPr>
                <w:sz w:val="1"/>
                <w:szCs w:val="1"/>
                <w:color w:val="auto"/>
              </w:rPr>
            </w:pPr>
          </w:p>
        </w:tc>
      </w:tr>
      <w:tr>
        <w:trPr>
          <w:trHeight w:val="38"/>
        </w:trPr>
        <w:tc>
          <w:tcPr>
            <w:tcW w:w="19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w:t>
      </w:r>
    </w:p>
    <w:p>
      <w:pPr>
        <w:spacing w:after="0" w:line="32" w:lineRule="exact"/>
        <w:rPr>
          <w:sz w:val="20"/>
          <w:szCs w:val="20"/>
          <w:color w:val="auto"/>
        </w:rPr>
      </w:pPr>
    </w:p>
    <w:p>
      <w:pPr>
        <w:ind w:left="460" w:right="80" w:hanging="302"/>
        <w:spacing w:after="0" w:line="253" w:lineRule="auto"/>
        <w:tabs>
          <w:tab w:leader="none" w:pos="45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all periods shown, amounts represent aggregate grant date fair values for awards of share-based compensation determined pursuant to Financial Accounting Standards Board (“FASB”) Codification Topic 718. See Note 12, Stock Compensation, Earnings per Share, and Dividends, included with the Company’s consolidated financial statements included in our Annual Report on Form 10-K for the fiscal year ended December 31, 2025, for additional details regarding the assumption used in calculating the grant date fair values of the stock awards. Assuming maximum performance level is achieved with respect to the 2025 RTSR PSU grants, the grant date fair value of such awards was $471,559 for Mr. McKay, $907,370 for Mr. French, $399,090 for Mr. Volk, $230,480 for Mr. Mason, and $220,078 for Ms. Cheng. Assuming maximum performance level is achieved with respect to the 2025 Strategic PSU grants, the grant date fair value of such awards was $441,454 for Mr. McKay, $83,776 for Mr. Volk, $199,611 for Mr. Mason, and $142,967 for Ms. Cheng.</w:t>
      </w:r>
    </w:p>
    <w:p>
      <w:pPr>
        <w:spacing w:after="0" w:line="1"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for annual incentive bonuses each year were earned for performance in that year and were paid in the first fiscal quarter of the following year.</w:t>
      </w:r>
    </w:p>
    <w:p>
      <w:pPr>
        <w:spacing w:after="0" w:line="10" w:lineRule="exact"/>
        <w:rPr>
          <w:rFonts w:ascii="Times New Roman" w:cs="Times New Roman" w:eastAsia="Times New Roman" w:hAnsi="Times New Roman"/>
          <w:sz w:val="17"/>
          <w:szCs w:val="17"/>
          <w:color w:val="auto"/>
        </w:rPr>
      </w:pPr>
    </w:p>
    <w:p>
      <w:pPr>
        <w:ind w:left="460" w:hanging="302"/>
        <w:spacing w:after="0" w:line="259" w:lineRule="auto"/>
        <w:tabs>
          <w:tab w:leader="none" w:pos="45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for all years include employer and matching contributions to the Company’s 401(k) plan and employer contributions to health savings accounts for each named executive officer. The tax-deferred 401(k) and health savings accounts contributions for the Company’s named executive officers were as follows for 2025: $30,716 to Mr. McKay, $29,000 to Mr. French, $29,848 for Mr. Volk, $28,473 for Mr. Mason, and $30,026 for Ms. Cheng.</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ind w:right="120" w:firstLine="619"/>
        <w:spacing w:after="0" w:line="260" w:lineRule="auto"/>
        <w:rPr>
          <w:sz w:val="20"/>
          <w:szCs w:val="20"/>
          <w:color w:val="auto"/>
        </w:rPr>
      </w:pPr>
      <w:r>
        <w:rPr>
          <w:rFonts w:ascii="Times New Roman" w:cs="Times New Roman" w:eastAsia="Times New Roman" w:hAnsi="Times New Roman"/>
          <w:sz w:val="17"/>
          <w:szCs w:val="17"/>
          <w:color w:val="auto"/>
        </w:rPr>
        <w:t>The Company’s named executive officers do not have employment agreements, and thus are not entitled to any additional benefits upon separation from the Company or following a change in control except as set forth in the sections below titled “Severance Arrangements with our Named Executive Officers” and “Potential Payments Upon Termination or Change in Control.” Vested stock options must be exercised before separation from the Company (except in the case of retirement) and unvested stock and options at separation are forfeited upon separation (except in the case of retirement). If an employee reaches retirement, their award will continue to vest according to the vesting schedule set forth in the award. Retirement is reached when an employee voluntarily resigns from active employment with the Company after completing 10 years of continuous service, and the sum of the employee’s age and years of service is greater than 75.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Grants of Plan-Based Awards</w:t>
      </w:r>
    </w:p>
    <w:p>
      <w:pPr>
        <w:spacing w:after="0" w:line="221"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The table under “2025 Grants of Plan-Based Awards Table” presents information with respect to the grants of plan-based awards by the Company to the named executive officers during 2025.</w:t>
      </w:r>
    </w:p>
    <w:p>
      <w:pPr>
        <w:spacing w:after="0" w:line="151"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7"/>
          <w:szCs w:val="17"/>
          <w:color w:val="auto"/>
        </w:rPr>
        <w:t>All named executive officers were granted RTSR PSU awards on February 18, 2025 under the 2024 Equity Incentive Plan in the amounts reflected below in “2025 Grants of Plan-Based Awards Table”. These RTSR PSUs have a three-year performance period through December 31, 2027, and vesting will only occur if the recipient remains in the continuous employ of the Company through the performance period based on the Company’s relative performance as compared to a peer group of companies recommended by Aon. The actual number of shares to be issued will be determined based upon the Company’s total shareholder return as compared with the total shareholder return of the peer group. A target number of performance units (as shown in the “2025 Grants of Plan-Based Awards Table” below) was established for each named executive officer at the time of the grant. The actual number of shares to be issued will range from 0 shares (if the Company’s stock performance is in the bottom 25% of the peer group) to 150% of the target number of shares (if the Company’s stock performance is in the top 25% of the peer group). Subject to requirements relating to continued employment with the Company through the performance period end (December 31, 2027), and to special vesting provisions in case of a change of control, death, disability or retirement, the shares will be delivered on the date (which will be no earlier than January 1, 2028 and no later than March 15, 2028) that the Compensation Committee makes the determination as to the Company’s performance relative to the peer group.</w:t>
      </w:r>
    </w:p>
    <w:p>
      <w:pPr>
        <w:spacing w:after="0" w:line="182"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All named executive officers were also granted time-vesting RSU awards on February 18, 2025 under the 2024 Equity Incentive Plan in the amounts reflected below in “2025 Grants of Plan-Based Awards Table.” These RSUs vest 25% in February of each of 2026, 2027, 2028, and 2029 if the recipient remains in the continuous employ of the Company through the applicable vesting date.</w:t>
      </w:r>
    </w:p>
    <w:p>
      <w:pPr>
        <w:spacing w:after="0" w:line="165"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All named executive officers, except for the then Chief Executive Officer, were also granted Strategic PSUs on February 18, 2025 under the 2024 Equity Incentive Plan in the amounts reflected below in the “2025 Grants of Plan-Based Awards Table.” These Strategic PSUs have a three-year performance period through December 31, 2027 and vesting will only occur if the recipient remains in the continuous employ of the Company through the performance period and the key performance metrics are achieved. The actual number of shares to be issued will be determined based upon the Company’s relative achievement of the key performance metrics, which are described in detail above under “Compensation Discussion and Analysis – Long-Term Equity-Based Compensation.” A target number of performance units, as shown below in the “2025 Grants of Plan-Based Awards Table” under the maximum column, was established for each named executive officer receiving such a grant at the time of the grant. The actual number of shares to be issued will range from 0 shares to 100% of the target number of shares. Subject to requirements relating to continued employment with the Company through the performance period end (December 31, 2027), and to special vesting provisions in case of a change of control, death, or disability, the shares will be delivered on the date (which will be no earlier than January 1, 2028 and no later than March 15, 2028) that the Compensation Committee makes the determination as to the Company’s performance relative to the key performance metrics.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2025 Grants of Plan-Based Awards Table</w:t>
      </w:r>
    </w:p>
    <w:p>
      <w:pPr>
        <w:spacing w:after="0" w:line="221" w:lineRule="exact"/>
        <w:rPr>
          <w:sz w:val="20"/>
          <w:szCs w:val="20"/>
          <w:color w:val="auto"/>
        </w:rPr>
      </w:pPr>
    </w:p>
    <w:p>
      <w:pPr>
        <w:jc w:val="both"/>
        <w:ind w:right="260" w:firstLine="619"/>
        <w:spacing w:after="0" w:line="270" w:lineRule="auto"/>
        <w:rPr>
          <w:sz w:val="20"/>
          <w:szCs w:val="20"/>
          <w:color w:val="auto"/>
        </w:rPr>
      </w:pPr>
      <w:r>
        <w:rPr>
          <w:rFonts w:ascii="Times New Roman" w:cs="Times New Roman" w:eastAsia="Times New Roman" w:hAnsi="Times New Roman"/>
          <w:sz w:val="17"/>
          <w:szCs w:val="17"/>
          <w:color w:val="auto"/>
        </w:rPr>
        <w:t>The following table lists grants of plan-based awards to each of our named executive officers during 2025. We have omitted the columns entitled “All Other Option Awards: Number of Securities Underlying Options” and “Exercise or Base Price of Option Awards” because our named executive officers did not receive option awards during 2025.</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 w:type="dxa"/>
            <w:vAlign w:val="bottom"/>
          </w:tcPr>
          <w:p>
            <w:pPr>
              <w:spacing w:after="0"/>
              <w:rPr>
                <w:sz w:val="13"/>
                <w:szCs w:val="13"/>
                <w:color w:val="auto"/>
              </w:rPr>
            </w:pPr>
          </w:p>
        </w:tc>
        <w:tc>
          <w:tcPr>
            <w:tcW w:w="33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 Stock</w:t>
            </w: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60" w:type="dxa"/>
            <w:vAlign w:val="bottom"/>
            <w:gridSpan w:val="1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Estimated Future Payouts Under Non-Equity</w:t>
            </w:r>
          </w:p>
        </w:tc>
        <w:tc>
          <w:tcPr>
            <w:tcW w:w="3040" w:type="dxa"/>
            <w:vAlign w:val="bottom"/>
            <w:gridSpan w:val="1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 Future Payouts Under Equity Incentive</w:t>
            </w:r>
          </w:p>
        </w:tc>
        <w:tc>
          <w:tcPr>
            <w:tcW w:w="102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102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60" w:type="dxa"/>
            <w:vAlign w:val="bottom"/>
            <w:gridSpan w:val="15"/>
            <w:vMerge w:val="continue"/>
          </w:tcPr>
          <w:p>
            <w:pPr>
              <w:spacing w:after="0"/>
              <w:rPr>
                <w:sz w:val="4"/>
                <w:szCs w:val="4"/>
                <w:color w:val="auto"/>
              </w:rPr>
            </w:pPr>
          </w:p>
        </w:tc>
        <w:tc>
          <w:tcPr>
            <w:tcW w:w="3040" w:type="dxa"/>
            <w:vAlign w:val="bottom"/>
            <w:gridSpan w:val="15"/>
            <w:vMerge w:val="continue"/>
          </w:tcPr>
          <w:p>
            <w:pPr>
              <w:spacing w:after="0"/>
              <w:rPr>
                <w:sz w:val="4"/>
                <w:szCs w:val="4"/>
                <w:color w:val="auto"/>
              </w:rPr>
            </w:pPr>
          </w:p>
        </w:tc>
        <w:tc>
          <w:tcPr>
            <w:tcW w:w="10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0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Value of Stock</w:t>
            </w: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Incentive Plan Awards</w:t>
            </w: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gridSpan w:val="5"/>
            <w:vMerge w:val="restart"/>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8"/>
              </w:rPr>
              <w:t>Plan Awards</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gridSpan w:val="6"/>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5"/>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gridSpan w:val="3"/>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Shares of Stock</w:t>
            </w:r>
          </w:p>
        </w:tc>
        <w:tc>
          <w:tcPr>
            <w:tcW w:w="1020" w:type="dxa"/>
            <w:vAlign w:val="bottom"/>
            <w:gridSpan w:val="3"/>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and Option</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gridSpan w:val="3"/>
          </w:tcPr>
          <w:p>
            <w:pPr>
              <w:jc w:val="center"/>
              <w:ind w:right="20"/>
              <w:spacing w:after="0" w:line="153"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200" w:type="dxa"/>
            <w:vAlign w:val="bottom"/>
          </w:tcPr>
          <w:p>
            <w:pPr>
              <w:spacing w:after="0"/>
              <w:rPr>
                <w:sz w:val="13"/>
                <w:szCs w:val="13"/>
                <w:color w:val="auto"/>
              </w:rPr>
            </w:pPr>
          </w:p>
        </w:tc>
        <w:tc>
          <w:tcPr>
            <w:tcW w:w="810" w:type="dxa"/>
            <w:vAlign w:val="bottom"/>
            <w:gridSpan w:val="4"/>
          </w:tcPr>
          <w:p>
            <w:pPr>
              <w:jc w:val="center"/>
              <w:ind w:right="141"/>
              <w:spacing w:after="0" w:line="153"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330" w:type="dxa"/>
            <w:vAlign w:val="bottom"/>
          </w:tcPr>
          <w:p>
            <w:pPr>
              <w:spacing w:after="0"/>
              <w:rPr>
                <w:sz w:val="13"/>
                <w:szCs w:val="13"/>
                <w:color w:val="auto"/>
              </w:rPr>
            </w:pPr>
          </w:p>
        </w:tc>
        <w:tc>
          <w:tcPr>
            <w:tcW w:w="880" w:type="dxa"/>
            <w:vAlign w:val="bottom"/>
            <w:gridSpan w:val="4"/>
          </w:tcPr>
          <w:p>
            <w:pPr>
              <w:jc w:val="center"/>
              <w:ind w:right="431"/>
              <w:spacing w:after="0" w:line="153"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840" w:type="dxa"/>
            <w:vAlign w:val="bottom"/>
            <w:gridSpan w:val="5"/>
          </w:tcPr>
          <w:p>
            <w:pPr>
              <w:jc w:val="center"/>
              <w:ind w:right="111"/>
              <w:spacing w:after="0" w:line="153"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200" w:type="dxa"/>
            <w:vAlign w:val="bottom"/>
          </w:tcPr>
          <w:p>
            <w:pPr>
              <w:spacing w:after="0"/>
              <w:rPr>
                <w:sz w:val="13"/>
                <w:szCs w:val="13"/>
                <w:color w:val="auto"/>
              </w:rPr>
            </w:pPr>
          </w:p>
        </w:tc>
        <w:tc>
          <w:tcPr>
            <w:tcW w:w="860" w:type="dxa"/>
            <w:vAlign w:val="bottom"/>
            <w:gridSpan w:val="4"/>
          </w:tcPr>
          <w:p>
            <w:pPr>
              <w:jc w:val="center"/>
              <w:ind w:right="191"/>
              <w:spacing w:after="0" w:line="153"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260" w:type="dxa"/>
            <w:vAlign w:val="bottom"/>
          </w:tcPr>
          <w:p>
            <w:pPr>
              <w:spacing w:after="0"/>
              <w:rPr>
                <w:sz w:val="13"/>
                <w:szCs w:val="13"/>
                <w:color w:val="auto"/>
              </w:rPr>
            </w:pPr>
          </w:p>
        </w:tc>
        <w:tc>
          <w:tcPr>
            <w:tcW w:w="780" w:type="dxa"/>
            <w:vAlign w:val="bottom"/>
            <w:gridSpan w:val="4"/>
          </w:tcPr>
          <w:p>
            <w:pPr>
              <w:jc w:val="center"/>
              <w:ind w:right="291"/>
              <w:spacing w:after="0" w:line="153"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940" w:type="dxa"/>
            <w:vAlign w:val="bottom"/>
            <w:gridSpan w:val="5"/>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1020" w:type="dxa"/>
            <w:vAlign w:val="bottom"/>
            <w:gridSpan w:val="3"/>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8"/>
              </w:rPr>
              <w:t>or Units</w:t>
            </w:r>
          </w:p>
        </w:tc>
        <w:tc>
          <w:tcPr>
            <w:tcW w:w="1020" w:type="dxa"/>
            <w:vAlign w:val="bottom"/>
            <w:gridSpan w:val="3"/>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360" w:type="dxa"/>
            <w:vAlign w:val="bottom"/>
          </w:tcPr>
          <w:p>
            <w:pPr>
              <w:spacing w:after="0" w:line="96" w:lineRule="exact"/>
              <w:rPr>
                <w:sz w:val="20"/>
                <w:szCs w:val="20"/>
                <w:color w:val="auto"/>
              </w:rPr>
            </w:pPr>
            <w:r>
              <w:rPr>
                <w:rFonts w:ascii="Times New Roman" w:cs="Times New Roman" w:eastAsia="Times New Roman" w:hAnsi="Times New Roman"/>
                <w:sz w:val="11"/>
                <w:szCs w:val="11"/>
                <w:b w:val="1"/>
                <w:bCs w:val="1"/>
                <w:color w:val="auto"/>
              </w:rPr>
              <w:t>Name</w:t>
            </w:r>
          </w:p>
        </w:tc>
        <w:tc>
          <w:tcPr>
            <w:tcW w:w="700" w:type="dxa"/>
            <w:vAlign w:val="bottom"/>
          </w:tcPr>
          <w:p>
            <w:pPr>
              <w:spacing w:after="0"/>
              <w:rPr>
                <w:sz w:val="10"/>
                <w:szCs w:val="10"/>
                <w:color w:val="auto"/>
              </w:rPr>
            </w:pPr>
          </w:p>
        </w:tc>
        <w:tc>
          <w:tcPr>
            <w:tcW w:w="900" w:type="dxa"/>
            <w:vAlign w:val="bottom"/>
            <w:gridSpan w:val="3"/>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Date</w:t>
            </w:r>
          </w:p>
        </w:tc>
        <w:tc>
          <w:tcPr>
            <w:tcW w:w="200" w:type="dxa"/>
            <w:vAlign w:val="bottom"/>
          </w:tcPr>
          <w:p>
            <w:pPr>
              <w:spacing w:after="0"/>
              <w:rPr>
                <w:sz w:val="10"/>
                <w:szCs w:val="10"/>
                <w:color w:val="auto"/>
              </w:rPr>
            </w:pPr>
          </w:p>
        </w:tc>
        <w:tc>
          <w:tcPr>
            <w:tcW w:w="600" w:type="dxa"/>
            <w:vAlign w:val="bottom"/>
            <w:tcBorders>
              <w:top w:val="single" w:sz="8" w:color="auto"/>
            </w:tcBorders>
            <w:gridSpan w:val="3"/>
          </w:tcPr>
          <w:p>
            <w:pPr>
              <w:jc w:val="center"/>
              <w:ind w:right="200"/>
              <w:spacing w:after="0" w:line="96" w:lineRule="exact"/>
              <w:rPr>
                <w:sz w:val="20"/>
                <w:szCs w:val="20"/>
                <w:color w:val="auto"/>
              </w:rPr>
            </w:pP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w:t>
            </w:r>
          </w:p>
        </w:tc>
        <w:tc>
          <w:tcPr>
            <w:tcW w:w="210" w:type="dxa"/>
            <w:vAlign w:val="bottom"/>
          </w:tcPr>
          <w:p>
            <w:pPr>
              <w:spacing w:after="0"/>
              <w:rPr>
                <w:sz w:val="10"/>
                <w:szCs w:val="10"/>
                <w:color w:val="auto"/>
              </w:rPr>
            </w:pPr>
          </w:p>
        </w:tc>
        <w:tc>
          <w:tcPr>
            <w:tcW w:w="330" w:type="dxa"/>
            <w:vAlign w:val="bottom"/>
          </w:tcPr>
          <w:p>
            <w:pPr>
              <w:spacing w:after="0"/>
              <w:rPr>
                <w:sz w:val="10"/>
                <w:szCs w:val="10"/>
                <w:color w:val="auto"/>
              </w:rPr>
            </w:pPr>
          </w:p>
        </w:tc>
        <w:tc>
          <w:tcPr>
            <w:tcW w:w="380" w:type="dxa"/>
            <w:vAlign w:val="bottom"/>
            <w:tcBorders>
              <w:top w:val="single" w:sz="8" w:color="auto"/>
            </w:tcBorders>
            <w:gridSpan w:val="3"/>
          </w:tcPr>
          <w:p>
            <w:pPr>
              <w:jc w:val="center"/>
              <w:ind w:right="20"/>
              <w:spacing w:after="0" w:line="96" w:lineRule="exact"/>
              <w:rPr>
                <w:sz w:val="20"/>
                <w:szCs w:val="20"/>
                <w:color w:val="auto"/>
              </w:rPr>
            </w:pP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auto"/>
            </w:tcBorders>
            <w:gridSpan w:val="3"/>
          </w:tcPr>
          <w:p>
            <w:pPr>
              <w:jc w:val="center"/>
              <w:ind w:right="220"/>
              <w:spacing w:after="0" w:line="96" w:lineRule="exact"/>
              <w:rPr>
                <w:sz w:val="20"/>
                <w:szCs w:val="20"/>
                <w:color w:val="auto"/>
              </w:rPr>
            </w:pP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top w:val="single" w:sz="8" w:color="auto"/>
            </w:tcBorders>
            <w:gridSpan w:val="3"/>
          </w:tcPr>
          <w:p>
            <w:pPr>
              <w:jc w:val="right"/>
              <w:ind w:right="220"/>
              <w:spacing w:after="0" w:line="96" w:lineRule="exact"/>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Borders>
              <w:top w:val="single" w:sz="8" w:color="auto"/>
            </w:tcBorders>
            <w:gridSpan w:val="3"/>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top w:val="single" w:sz="8" w:color="auto"/>
            </w:tcBorders>
            <w:gridSpan w:val="3"/>
          </w:tcPr>
          <w:p>
            <w:pPr>
              <w:jc w:val="right"/>
              <w:ind w:right="220"/>
              <w:spacing w:after="0" w:line="9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0"/>
                <w:szCs w:val="10"/>
                <w:color w:val="auto"/>
              </w:rPr>
            </w:pPr>
          </w:p>
        </w:tc>
        <w:tc>
          <w:tcPr>
            <w:tcW w:w="600" w:type="dxa"/>
            <w:vAlign w:val="bottom"/>
            <w:gridSpan w:val="2"/>
          </w:tcPr>
          <w:p>
            <w:pPr>
              <w:jc w:val="center"/>
              <w:ind w:left="373"/>
              <w:spacing w:after="0" w:line="96" w:lineRule="exact"/>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Pr>
          <w:p>
            <w:pPr>
              <w:spacing w:after="0"/>
              <w:rPr>
                <w:sz w:val="10"/>
                <w:szCs w:val="10"/>
                <w:color w:val="auto"/>
              </w:rPr>
            </w:pPr>
          </w:p>
        </w:tc>
        <w:tc>
          <w:tcPr>
            <w:tcW w:w="1020" w:type="dxa"/>
            <w:vAlign w:val="bottom"/>
            <w:gridSpan w:val="3"/>
          </w:tcPr>
          <w:p>
            <w:pPr>
              <w:jc w:val="center"/>
              <w:spacing w:after="0" w:line="96" w:lineRule="exact"/>
              <w:rPr>
                <w:sz w:val="20"/>
                <w:szCs w:val="20"/>
                <w:color w:val="auto"/>
              </w:rPr>
            </w:pP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33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Edward H. McKay</w:t>
            </w:r>
          </w:p>
        </w:tc>
        <w:tc>
          <w:tcPr>
            <w:tcW w:w="9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2/18/2025</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1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3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18,549</w:t>
            </w:r>
          </w:p>
        </w:tc>
        <w:tc>
          <w:tcPr>
            <w:tcW w:w="1040" w:type="dxa"/>
            <w:vAlign w:val="bottom"/>
            <w:gridSpan w:val="5"/>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37,097</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441,454</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206"/>
        </w:trPr>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2/18/2025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3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19,153</w:t>
            </w:r>
          </w:p>
        </w:tc>
        <w:tc>
          <w:tcPr>
            <w:tcW w:w="1040" w:type="dxa"/>
            <w:vAlign w:val="bottom"/>
            <w:gridSpan w:val="5"/>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38,307</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57,460</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471,559</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0" w:type="dxa"/>
            <w:vAlign w:val="bottom"/>
          </w:tcPr>
          <w:p>
            <w:pPr>
              <w:spacing w:after="0"/>
              <w:rPr>
                <w:sz w:val="1"/>
                <w:szCs w:val="1"/>
                <w:color w:val="auto"/>
              </w:rPr>
            </w:pPr>
          </w:p>
        </w:tc>
      </w:tr>
      <w:tr>
        <w:trPr>
          <w:trHeight w:val="206"/>
        </w:trPr>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2/18/2025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3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38,307</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455,853</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209"/>
        </w:trPr>
        <w:tc>
          <w:tcPr>
            <w:tcW w:w="7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1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10" w:type="dxa"/>
            <w:vAlign w:val="bottom"/>
            <w:tcBorders>
              <w:bottom w:val="single" w:sz="8" w:color="CCEEFF"/>
            </w:tcBorders>
            <w:gridSpan w:val="5"/>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495,000</w:t>
            </w:r>
          </w:p>
        </w:tc>
        <w:tc>
          <w:tcPr>
            <w:tcW w:w="8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990,000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Christopher E. French</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2/18/2025</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3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(a)</w:t>
            </w:r>
          </w:p>
        </w:tc>
        <w:tc>
          <w:tcPr>
            <w:tcW w:w="0" w:type="dxa"/>
            <w:vAlign w:val="bottom"/>
          </w:tcPr>
          <w:p>
            <w:pPr>
              <w:spacing w:after="0"/>
              <w:rPr>
                <w:sz w:val="1"/>
                <w:szCs w:val="1"/>
                <w:color w:val="auto"/>
              </w:rPr>
            </w:pPr>
          </w:p>
        </w:tc>
      </w:tr>
      <w:tr>
        <w:trPr>
          <w:trHeight w:val="206"/>
        </w:trPr>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2/18/2025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3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36,855</w:t>
            </w:r>
          </w:p>
        </w:tc>
        <w:tc>
          <w:tcPr>
            <w:tcW w:w="1040" w:type="dxa"/>
            <w:vAlign w:val="bottom"/>
            <w:gridSpan w:val="5"/>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73,710</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110,565</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907,370</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0" w:type="dxa"/>
            <w:vAlign w:val="bottom"/>
          </w:tcPr>
          <w:p>
            <w:pPr>
              <w:spacing w:after="0"/>
              <w:rPr>
                <w:sz w:val="1"/>
                <w:szCs w:val="1"/>
                <w:color w:val="auto"/>
              </w:rPr>
            </w:pPr>
          </w:p>
        </w:tc>
      </w:tr>
      <w:tr>
        <w:trPr>
          <w:trHeight w:val="206"/>
        </w:trPr>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2/18/2025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3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73,710</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877,149</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209"/>
        </w:trPr>
        <w:tc>
          <w:tcPr>
            <w:tcW w:w="7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1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10" w:type="dxa"/>
            <w:vAlign w:val="bottom"/>
            <w:tcBorders>
              <w:bottom w:val="single" w:sz="8" w:color="CCEEFF"/>
            </w:tcBorders>
            <w:gridSpan w:val="5"/>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657,864</w:t>
            </w:r>
          </w:p>
        </w:tc>
        <w:tc>
          <w:tcPr>
            <w:tcW w:w="8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1,315,728</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James J. Volk</w:t>
            </w:r>
          </w:p>
        </w:tc>
        <w:tc>
          <w:tcPr>
            <w:tcW w:w="9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2/18/2025</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3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3,520</w:t>
            </w:r>
          </w:p>
        </w:tc>
        <w:tc>
          <w:tcPr>
            <w:tcW w:w="1040" w:type="dxa"/>
            <w:vAlign w:val="bottom"/>
            <w:gridSpan w:val="5"/>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7,040</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83,776</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206"/>
        </w:trPr>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2/18/2025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3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16,210</w:t>
            </w:r>
          </w:p>
        </w:tc>
        <w:tc>
          <w:tcPr>
            <w:tcW w:w="1040" w:type="dxa"/>
            <w:vAlign w:val="bottom"/>
            <w:gridSpan w:val="5"/>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32,420</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48,630</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399,090</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0" w:type="dxa"/>
            <w:vAlign w:val="bottom"/>
          </w:tcPr>
          <w:p>
            <w:pPr>
              <w:spacing w:after="0"/>
              <w:rPr>
                <w:sz w:val="1"/>
                <w:szCs w:val="1"/>
                <w:color w:val="auto"/>
              </w:rPr>
            </w:pPr>
          </w:p>
        </w:tc>
      </w:tr>
      <w:tr>
        <w:trPr>
          <w:trHeight w:val="206"/>
        </w:trPr>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2/18/2025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3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32,420</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385,798</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209"/>
        </w:trPr>
        <w:tc>
          <w:tcPr>
            <w:tcW w:w="7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1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10" w:type="dxa"/>
            <w:vAlign w:val="bottom"/>
            <w:tcBorders>
              <w:bottom w:val="single" w:sz="8" w:color="CCEEFF"/>
            </w:tcBorders>
            <w:gridSpan w:val="5"/>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264,546</w:t>
            </w:r>
          </w:p>
        </w:tc>
        <w:tc>
          <w:tcPr>
            <w:tcW w:w="8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529,092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Richard W. Mason</w:t>
            </w:r>
          </w:p>
        </w:tc>
        <w:tc>
          <w:tcPr>
            <w:tcW w:w="9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2/18/2025</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3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8,387</w:t>
            </w:r>
          </w:p>
        </w:tc>
        <w:tc>
          <w:tcPr>
            <w:tcW w:w="1040" w:type="dxa"/>
            <w:vAlign w:val="bottom"/>
            <w:gridSpan w:val="5"/>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16,774</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199,611</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206"/>
        </w:trPr>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2/18/2025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3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9,361</w:t>
            </w:r>
          </w:p>
        </w:tc>
        <w:tc>
          <w:tcPr>
            <w:tcW w:w="1040" w:type="dxa"/>
            <w:vAlign w:val="bottom"/>
            <w:gridSpan w:val="5"/>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18,723</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28,084</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230,480</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0" w:type="dxa"/>
            <w:vAlign w:val="bottom"/>
          </w:tcPr>
          <w:p>
            <w:pPr>
              <w:spacing w:after="0"/>
              <w:rPr>
                <w:sz w:val="1"/>
                <w:szCs w:val="1"/>
                <w:color w:val="auto"/>
              </w:rPr>
            </w:pPr>
          </w:p>
        </w:tc>
      </w:tr>
      <w:tr>
        <w:trPr>
          <w:trHeight w:val="206"/>
        </w:trPr>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2/18/2025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3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18,723</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222,804</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209"/>
        </w:trPr>
        <w:tc>
          <w:tcPr>
            <w:tcW w:w="7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1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10" w:type="dxa"/>
            <w:vAlign w:val="bottom"/>
            <w:tcBorders>
              <w:bottom w:val="single" w:sz="8" w:color="CCEEFF"/>
            </w:tcBorders>
            <w:gridSpan w:val="5"/>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178,227</w:t>
            </w:r>
          </w:p>
        </w:tc>
        <w:tc>
          <w:tcPr>
            <w:tcW w:w="8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356,454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Elaine M. Cheng</w:t>
            </w:r>
          </w:p>
        </w:tc>
        <w:tc>
          <w:tcPr>
            <w:tcW w:w="9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2/18/2025</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3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6,007</w:t>
            </w:r>
          </w:p>
        </w:tc>
        <w:tc>
          <w:tcPr>
            <w:tcW w:w="1040" w:type="dxa"/>
            <w:vAlign w:val="bottom"/>
            <w:gridSpan w:val="5"/>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12,014</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142,967</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206"/>
        </w:trPr>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2/18/2025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3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8,939</w:t>
            </w:r>
          </w:p>
        </w:tc>
        <w:tc>
          <w:tcPr>
            <w:tcW w:w="1040" w:type="dxa"/>
            <w:vAlign w:val="bottom"/>
            <w:gridSpan w:val="5"/>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17,878</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26,817</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220,078</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0" w:type="dxa"/>
            <w:vAlign w:val="bottom"/>
          </w:tcPr>
          <w:p>
            <w:pPr>
              <w:spacing w:after="0"/>
              <w:rPr>
                <w:sz w:val="1"/>
                <w:szCs w:val="1"/>
                <w:color w:val="auto"/>
              </w:rPr>
            </w:pPr>
          </w:p>
        </w:tc>
      </w:tr>
      <w:tr>
        <w:trPr>
          <w:trHeight w:val="206"/>
        </w:trPr>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2/18/2025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3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17,878</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212,748</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206"/>
        </w:trPr>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10" w:type="dxa"/>
            <w:vAlign w:val="bottom"/>
            <w:gridSpan w:val="5"/>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170,197</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340,394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7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10" w:type="dxa"/>
            <w:vAlign w:val="bottom"/>
            <w:shd w:val="clear" w:color="auto" w:fill="CCEEFF"/>
          </w:tcPr>
          <w:p>
            <w:pPr>
              <w:spacing w:after="0" w:line="20" w:lineRule="exact"/>
              <w:rPr>
                <w:sz w:val="1"/>
                <w:szCs w:val="1"/>
                <w:color w:val="auto"/>
              </w:rPr>
            </w:pPr>
          </w:p>
        </w:tc>
        <w:tc>
          <w:tcPr>
            <w:tcW w:w="33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w:t>
      </w:r>
    </w:p>
    <w:p>
      <w:pPr>
        <w:spacing w:after="0" w:line="32" w:lineRule="exact"/>
        <w:rPr>
          <w:sz w:val="20"/>
          <w:szCs w:val="20"/>
          <w:color w:val="auto"/>
        </w:rPr>
      </w:pPr>
    </w:p>
    <w:p>
      <w:pPr>
        <w:ind w:left="620" w:right="60" w:hanging="307"/>
        <w:spacing w:after="0" w:line="253" w:lineRule="auto"/>
        <w:tabs>
          <w:tab w:leader="none" w:pos="61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stock price as of the day before the grant of the Strategic PSUs, which also represents the fair value of a share of a Strategic PSU, was $11.90 per share. The target performance amount for the Strategic PSUs represents the maximum amount that can be awarded.</w:t>
      </w:r>
    </w:p>
    <w:p>
      <w:pPr>
        <w:ind w:left="620" w:right="120" w:hanging="307"/>
        <w:spacing w:after="0" w:line="253" w:lineRule="auto"/>
        <w:tabs>
          <w:tab w:leader="none" w:pos="61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the RTSR PSUs was calculated using a combination of a Monte Carlo simulation model and the closing stock price as of the day before the grant which resulted in a grant date fair value of approximately $12.31 per unit.</w:t>
      </w:r>
    </w:p>
    <w:p>
      <w:pPr>
        <w:ind w:left="620" w:right="300" w:hanging="307"/>
        <w:spacing w:after="0" w:line="266" w:lineRule="auto"/>
        <w:tabs>
          <w:tab w:leader="none" w:pos="61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stock price as of the day before the grant of the RSU awards, which also represents the fair value of a share of RSU sward was $11.90 per share.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221"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information with respect to the outstanding equity awards at 2025 fiscal year-end for the named executive officers. We have omitted the “Option Awards” columns because our named executive officers did not have any option awards outstanding at 2025 fiscal year-end.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2"/>
        </w:trPr>
        <w:tc>
          <w:tcPr>
            <w:tcW w:w="1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7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w w:val="93"/>
              </w:rPr>
              <w:t>Stock Awards</w:t>
            </w:r>
          </w:p>
        </w:tc>
        <w:tc>
          <w:tcPr>
            <w:tcW w:w="27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2"/>
        </w:trPr>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90" w:type="dxa"/>
            <w:vAlign w:val="bottom"/>
            <w:tcBorders>
              <w:bottom w:val="single" w:sz="8" w:color="auto"/>
            </w:tcBorders>
          </w:tcPr>
          <w:p>
            <w:pPr>
              <w:spacing w:after="0" w:line="20" w:lineRule="exact"/>
              <w:rPr>
                <w:sz w:val="1"/>
                <w:szCs w:val="1"/>
                <w:color w:val="auto"/>
              </w:rPr>
            </w:pPr>
          </w:p>
        </w:tc>
        <w:tc>
          <w:tcPr>
            <w:tcW w:w="27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62"/>
        </w:trPr>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7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Equity Incentive Plan</w:t>
            </w:r>
          </w:p>
        </w:tc>
        <w:tc>
          <w:tcPr>
            <w:tcW w:w="270" w:type="dxa"/>
            <w:vAlign w:val="bottom"/>
          </w:tcPr>
          <w:p>
            <w:pPr>
              <w:spacing w:after="0"/>
              <w:rPr>
                <w:sz w:val="14"/>
                <w:szCs w:val="14"/>
                <w:color w:val="auto"/>
              </w:rPr>
            </w:pPr>
          </w:p>
        </w:tc>
        <w:tc>
          <w:tcPr>
            <w:tcW w:w="1660" w:type="dxa"/>
            <w:vAlign w:val="bottom"/>
            <w:gridSpan w:val="3"/>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6"/>
              </w:rPr>
              <w:t>Equity Incentive Plan</w:t>
            </w:r>
          </w:p>
        </w:tc>
      </w:tr>
      <w:tr>
        <w:trPr>
          <w:trHeight w:val="168"/>
        </w:trPr>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Shares or</w:t>
            </w:r>
          </w:p>
        </w:tc>
        <w:tc>
          <w:tcPr>
            <w:tcW w:w="36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Market Value of Shares or</w:t>
            </w:r>
          </w:p>
        </w:tc>
        <w:tc>
          <w:tcPr>
            <w:tcW w:w="157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 Number of</w:t>
            </w:r>
          </w:p>
        </w:tc>
        <w:tc>
          <w:tcPr>
            <w:tcW w:w="270" w:type="dxa"/>
            <w:vAlign w:val="bottom"/>
          </w:tcPr>
          <w:p>
            <w:pPr>
              <w:spacing w:after="0"/>
              <w:rPr>
                <w:sz w:val="14"/>
                <w:szCs w:val="14"/>
                <w:color w:val="auto"/>
              </w:rPr>
            </w:pPr>
          </w:p>
        </w:tc>
        <w:tc>
          <w:tcPr>
            <w:tcW w:w="1660" w:type="dxa"/>
            <w:vAlign w:val="bottom"/>
            <w:gridSpan w:val="3"/>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7"/>
              </w:rPr>
              <w:t>Awards: Market Value of</w:t>
            </w:r>
          </w:p>
        </w:tc>
      </w:tr>
      <w:tr>
        <w:trPr>
          <w:trHeight w:val="155"/>
        </w:trPr>
        <w:tc>
          <w:tcPr>
            <w:tcW w:w="1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gridSpan w:val="2"/>
          </w:tcPr>
          <w:p>
            <w:pPr>
              <w:jc w:val="center"/>
              <w:ind w:right="411"/>
              <w:spacing w:after="0" w:line="155"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360" w:type="dxa"/>
            <w:vAlign w:val="bottom"/>
          </w:tcPr>
          <w:p>
            <w:pPr>
              <w:spacing w:after="0"/>
              <w:rPr>
                <w:sz w:val="13"/>
                <w:szCs w:val="13"/>
                <w:color w:val="auto"/>
              </w:rPr>
            </w:pPr>
          </w:p>
        </w:tc>
        <w:tc>
          <w:tcPr>
            <w:tcW w:w="158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8"/>
              </w:rPr>
              <w:t>Units of Stock That Have</w:t>
            </w:r>
          </w:p>
        </w:tc>
        <w:tc>
          <w:tcPr>
            <w:tcW w:w="157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27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gridSpan w:val="2"/>
          </w:tcPr>
          <w:p>
            <w:pPr>
              <w:jc w:val="center"/>
              <w:ind w:right="331"/>
              <w:spacing w:after="0" w:line="155" w:lineRule="exact"/>
              <w:rPr>
                <w:sz w:val="20"/>
                <w:szCs w:val="20"/>
                <w:color w:val="auto"/>
              </w:rPr>
            </w:pPr>
            <w:r>
              <w:rPr>
                <w:rFonts w:ascii="Times New Roman" w:cs="Times New Roman" w:eastAsia="Times New Roman" w:hAnsi="Times New Roman"/>
                <w:sz w:val="14"/>
                <w:szCs w:val="14"/>
                <w:b w:val="1"/>
                <w:bCs w:val="1"/>
                <w:color w:val="auto"/>
                <w:w w:val="98"/>
              </w:rPr>
              <w:t>Unearned</w:t>
            </w:r>
          </w:p>
        </w:tc>
      </w:tr>
      <w:tr>
        <w:trPr>
          <w:trHeight w:val="168"/>
        </w:trPr>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That Have Not</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center"/>
              <w:ind w:right="331"/>
              <w:spacing w:after="0"/>
              <w:rPr>
                <w:sz w:val="20"/>
                <w:szCs w:val="20"/>
                <w:color w:val="auto"/>
              </w:rPr>
            </w:pPr>
            <w:r>
              <w:rPr>
                <w:rFonts w:ascii="Times New Roman" w:cs="Times New Roman" w:eastAsia="Times New Roman" w:hAnsi="Times New Roman"/>
                <w:sz w:val="14"/>
                <w:szCs w:val="14"/>
                <w:b w:val="1"/>
                <w:bCs w:val="1"/>
                <w:color w:val="auto"/>
              </w:rPr>
              <w:t>Not</w:t>
            </w:r>
          </w:p>
        </w:tc>
        <w:tc>
          <w:tcPr>
            <w:tcW w:w="157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Units That Have Not</w:t>
            </w:r>
          </w:p>
        </w:tc>
        <w:tc>
          <w:tcPr>
            <w:tcW w:w="270" w:type="dxa"/>
            <w:vAlign w:val="bottom"/>
          </w:tcPr>
          <w:p>
            <w:pPr>
              <w:spacing w:after="0"/>
              <w:rPr>
                <w:sz w:val="14"/>
                <w:szCs w:val="14"/>
                <w:color w:val="auto"/>
              </w:rPr>
            </w:pPr>
          </w:p>
        </w:tc>
        <w:tc>
          <w:tcPr>
            <w:tcW w:w="1660" w:type="dxa"/>
            <w:vAlign w:val="bottom"/>
            <w:gridSpan w:val="3"/>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8"/>
              </w:rPr>
              <w:t>Units That Have Not</w:t>
            </w:r>
          </w:p>
        </w:tc>
      </w:tr>
      <w:tr>
        <w:trPr>
          <w:trHeight w:val="173"/>
        </w:trPr>
        <w:tc>
          <w:tcPr>
            <w:tcW w:w="4080" w:type="dxa"/>
            <w:vAlign w:val="bottom"/>
            <w:gridSpan w:val="3"/>
          </w:tcPr>
          <w:p>
            <w:pPr>
              <w:ind w:left="1880"/>
              <w:spacing w:after="0" w:line="133" w:lineRule="exact"/>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Vested (#)</w:t>
            </w:r>
          </w:p>
        </w:tc>
        <w:tc>
          <w:tcPr>
            <w:tcW w:w="360" w:type="dxa"/>
            <w:vAlign w:val="bottom"/>
          </w:tcPr>
          <w:p>
            <w:pPr>
              <w:spacing w:after="0"/>
              <w:rPr>
                <w:sz w:val="15"/>
                <w:szCs w:val="15"/>
                <w:color w:val="auto"/>
              </w:rPr>
            </w:pPr>
          </w:p>
        </w:tc>
        <w:tc>
          <w:tcPr>
            <w:tcW w:w="158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 xml:space="preserve">Vested </w:t>
            </w:r>
            <w:r>
              <w:rPr>
                <w:rFonts w:ascii="Times New Roman" w:cs="Times New Roman" w:eastAsia="Times New Roman" w:hAnsi="Times New Roman"/>
                <w:sz w:val="14"/>
                <w:szCs w:val="14"/>
                <w:b w:val="1"/>
                <w:bCs w:val="1"/>
                <w:u w:val="single" w:color="auto"/>
                <w:color w:val="auto"/>
                <w:w w:val="97"/>
              </w:rPr>
              <w:t>($</w:t>
            </w:r>
            <w:r>
              <w:rPr>
                <w:rFonts w:ascii="Times New Roman" w:cs="Times New Roman" w:eastAsia="Times New Roman" w:hAnsi="Times New Roman"/>
                <w:sz w:val="14"/>
                <w:szCs w:val="14"/>
                <w:b w:val="1"/>
                <w:bCs w:val="1"/>
                <w:color w:val="auto"/>
                <w:w w:val="97"/>
              </w:rPr>
              <w:t>) (a)</w:t>
            </w:r>
          </w:p>
        </w:tc>
        <w:tc>
          <w:tcPr>
            <w:tcW w:w="157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Vested (#)</w:t>
            </w:r>
          </w:p>
        </w:tc>
        <w:tc>
          <w:tcPr>
            <w:tcW w:w="270" w:type="dxa"/>
            <w:vAlign w:val="bottom"/>
          </w:tcPr>
          <w:p>
            <w:pPr>
              <w:spacing w:after="0"/>
              <w:rPr>
                <w:sz w:val="15"/>
                <w:szCs w:val="15"/>
                <w:color w:val="auto"/>
              </w:rPr>
            </w:pPr>
          </w:p>
        </w:tc>
        <w:tc>
          <w:tcPr>
            <w:tcW w:w="1660" w:type="dxa"/>
            <w:vAlign w:val="bottom"/>
            <w:gridSpan w:val="3"/>
          </w:tcPr>
          <w:p>
            <w:pPr>
              <w:jc w:val="center"/>
              <w:ind w:left="11"/>
              <w:spacing w:after="0" w:line="133" w:lineRule="exact"/>
              <w:rPr>
                <w:sz w:val="20"/>
                <w:szCs w:val="20"/>
                <w:color w:val="auto"/>
              </w:rPr>
            </w:pPr>
            <w:r>
              <w:rPr>
                <w:rFonts w:ascii="Times New Roman" w:cs="Times New Roman" w:eastAsia="Times New Roman" w:hAnsi="Times New Roman"/>
                <w:sz w:val="14"/>
                <w:szCs w:val="14"/>
                <w:b w:val="1"/>
                <w:bCs w:val="1"/>
                <w:color w:val="auto"/>
                <w:w w:val="96"/>
              </w:rPr>
              <w:t xml:space="preserve">Vested </w:t>
            </w:r>
            <w:r>
              <w:rPr>
                <w:rFonts w:ascii="Times New Roman" w:cs="Times New Roman" w:eastAsia="Times New Roman" w:hAnsi="Times New Roman"/>
                <w:sz w:val="14"/>
                <w:szCs w:val="14"/>
                <w:b w:val="1"/>
                <w:bCs w:val="1"/>
                <w:u w:val="single" w:color="auto"/>
                <w:color w:val="auto"/>
                <w:w w:val="96"/>
              </w:rPr>
              <w:t>($</w:t>
            </w:r>
            <w:r>
              <w:rPr>
                <w:rFonts w:ascii="Times New Roman" w:cs="Times New Roman" w:eastAsia="Times New Roman" w:hAnsi="Times New Roman"/>
                <w:sz w:val="14"/>
                <w:szCs w:val="14"/>
                <w:b w:val="1"/>
                <w:bCs w:val="1"/>
                <w:color w:val="auto"/>
                <w:w w:val="96"/>
              </w:rPr>
              <w:t>) (b)</w:t>
            </w:r>
          </w:p>
        </w:tc>
      </w:tr>
      <w:tr>
        <w:trPr>
          <w:trHeight w:val="24"/>
        </w:trPr>
        <w:tc>
          <w:tcPr>
            <w:tcW w:w="18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90" w:type="dxa"/>
            <w:vAlign w:val="bottom"/>
          </w:tcPr>
          <w:p>
            <w:pPr>
              <w:spacing w:after="0"/>
              <w:rPr>
                <w:sz w:val="2"/>
                <w:szCs w:val="2"/>
                <w:color w:val="auto"/>
              </w:rPr>
            </w:pPr>
          </w:p>
        </w:tc>
        <w:tc>
          <w:tcPr>
            <w:tcW w:w="27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184"/>
        </w:trPr>
        <w:tc>
          <w:tcPr>
            <w:tcW w:w="4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Edward H. McKay</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37,097</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428,841</w:t>
            </w: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20,370</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235,477</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38,307</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442,829</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15,776</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182,371</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10,462</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120,941</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46,610</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7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38,307</w:t>
            </w:r>
          </w:p>
        </w:tc>
        <w:tc>
          <w:tcPr>
            <w:tcW w:w="270" w:type="dxa"/>
            <w:vAlign w:val="bottom"/>
            <w:shd w:val="clear" w:color="auto" w:fill="CCEEFF"/>
          </w:tcPr>
          <w:p>
            <w:pPr>
              <w:ind w:left="30"/>
              <w:spacing w:after="0"/>
              <w:rPr>
                <w:sz w:val="20"/>
                <w:szCs w:val="20"/>
                <w:color w:val="auto"/>
              </w:rPr>
            </w:pPr>
            <w:r>
              <w:rPr>
                <w:rFonts w:ascii="Times New Roman" w:cs="Times New Roman" w:eastAsia="Times New Roman" w:hAnsi="Times New Roman"/>
                <w:sz w:val="14"/>
                <w:szCs w:val="14"/>
                <w:color w:val="auto"/>
              </w:rPr>
              <w:t>(i)</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442,829</w:t>
            </w:r>
          </w:p>
        </w:tc>
      </w:tr>
      <w:tr>
        <w:trPr>
          <w:trHeight w:val="209"/>
        </w:trPr>
        <w:tc>
          <w:tcPr>
            <w:tcW w:w="18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7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21,034</w:t>
            </w:r>
          </w:p>
        </w:tc>
        <w:tc>
          <w:tcPr>
            <w:tcW w:w="270" w:type="dxa"/>
            <w:vAlign w:val="bottom"/>
            <w:tcBorders>
              <w:bottom w:val="single" w:sz="8" w:color="CCEEFF"/>
            </w:tcBorders>
            <w:shd w:val="clear" w:color="auto" w:fill="CCEEFF"/>
          </w:tcPr>
          <w:p>
            <w:pPr>
              <w:ind w:left="30"/>
              <w:spacing w:after="0"/>
              <w:rPr>
                <w:sz w:val="20"/>
                <w:szCs w:val="20"/>
                <w:color w:val="auto"/>
              </w:rPr>
            </w:pPr>
            <w:r>
              <w:rPr>
                <w:rFonts w:ascii="Times New Roman" w:cs="Times New Roman" w:eastAsia="Times New Roman" w:hAnsi="Times New Roman"/>
                <w:sz w:val="14"/>
                <w:szCs w:val="14"/>
                <w:color w:val="auto"/>
              </w:rPr>
              <w:t>(j)</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243,153</w:t>
            </w:r>
          </w:p>
        </w:tc>
      </w:tr>
      <w:tr>
        <w:trPr>
          <w:trHeight w:val="206"/>
        </w:trPr>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0" w:type="dxa"/>
            <w:vAlign w:val="bottom"/>
          </w:tcPr>
          <w:p>
            <w:pPr>
              <w:spacing w:after="0"/>
              <w:rPr>
                <w:sz w:val="17"/>
                <w:szCs w:val="17"/>
                <w:color w:val="auto"/>
              </w:rPr>
            </w:pPr>
          </w:p>
        </w:tc>
        <w:tc>
          <w:tcPr>
            <w:tcW w:w="27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84"/>
        </w:trPr>
        <w:tc>
          <w:tcPr>
            <w:tcW w:w="4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Christopher E. French</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73,710</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852,088</w:t>
            </w: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30,945</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357,724</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21,920</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253,395</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7,786</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90,006</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7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73,710</w:t>
            </w:r>
          </w:p>
        </w:tc>
        <w:tc>
          <w:tcPr>
            <w:tcW w:w="270" w:type="dxa"/>
            <w:vAlign w:val="bottom"/>
            <w:shd w:val="clear" w:color="auto" w:fill="CCEEFF"/>
          </w:tcPr>
          <w:p>
            <w:pPr>
              <w:ind w:left="30"/>
              <w:spacing w:after="0"/>
              <w:rPr>
                <w:sz w:val="20"/>
                <w:szCs w:val="20"/>
                <w:color w:val="auto"/>
              </w:rPr>
            </w:pPr>
            <w:r>
              <w:rPr>
                <w:rFonts w:ascii="Times New Roman" w:cs="Times New Roman" w:eastAsia="Times New Roman" w:hAnsi="Times New Roman"/>
                <w:sz w:val="14"/>
                <w:szCs w:val="14"/>
                <w:color w:val="auto"/>
              </w:rPr>
              <w:t>(i)</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852,088</w:t>
            </w:r>
          </w:p>
        </w:tc>
      </w:tr>
      <w:tr>
        <w:trPr>
          <w:trHeight w:val="209"/>
        </w:trPr>
        <w:tc>
          <w:tcPr>
            <w:tcW w:w="18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7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41,260</w:t>
            </w:r>
          </w:p>
        </w:tc>
        <w:tc>
          <w:tcPr>
            <w:tcW w:w="270" w:type="dxa"/>
            <w:vAlign w:val="bottom"/>
            <w:tcBorders>
              <w:bottom w:val="single" w:sz="8" w:color="CCEEFF"/>
            </w:tcBorders>
            <w:shd w:val="clear" w:color="auto" w:fill="CCEEFF"/>
          </w:tcPr>
          <w:p>
            <w:pPr>
              <w:ind w:left="30"/>
              <w:spacing w:after="0"/>
              <w:rPr>
                <w:sz w:val="20"/>
                <w:szCs w:val="20"/>
                <w:color w:val="auto"/>
              </w:rPr>
            </w:pPr>
            <w:r>
              <w:rPr>
                <w:rFonts w:ascii="Times New Roman" w:cs="Times New Roman" w:eastAsia="Times New Roman" w:hAnsi="Times New Roman"/>
                <w:sz w:val="14"/>
                <w:szCs w:val="14"/>
                <w:color w:val="auto"/>
              </w:rPr>
              <w:t>(j)</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476,966</w:t>
            </w:r>
          </w:p>
        </w:tc>
      </w:tr>
      <w:tr>
        <w:trPr>
          <w:trHeight w:val="206"/>
        </w:trPr>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0" w:type="dxa"/>
            <w:vAlign w:val="bottom"/>
          </w:tcPr>
          <w:p>
            <w:pPr>
              <w:spacing w:after="0"/>
              <w:rPr>
                <w:sz w:val="17"/>
                <w:szCs w:val="17"/>
                <w:color w:val="auto"/>
              </w:rPr>
            </w:pPr>
          </w:p>
        </w:tc>
        <w:tc>
          <w:tcPr>
            <w:tcW w:w="27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84"/>
        </w:trPr>
        <w:tc>
          <w:tcPr>
            <w:tcW w:w="4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James J. Volk</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7,040</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81,382</w:t>
            </w: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45,327</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32,420</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374,775</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13,545</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156,580</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9,551</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110,410</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3,841</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44,402</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7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32,420</w:t>
            </w:r>
          </w:p>
        </w:tc>
        <w:tc>
          <w:tcPr>
            <w:tcW w:w="270" w:type="dxa"/>
            <w:vAlign w:val="bottom"/>
            <w:shd w:val="clear" w:color="auto" w:fill="CCEEFF"/>
          </w:tcPr>
          <w:p>
            <w:pPr>
              <w:ind w:left="30"/>
              <w:spacing w:after="0"/>
              <w:rPr>
                <w:sz w:val="20"/>
                <w:szCs w:val="20"/>
                <w:color w:val="auto"/>
              </w:rPr>
            </w:pPr>
            <w:r>
              <w:rPr>
                <w:rFonts w:ascii="Times New Roman" w:cs="Times New Roman" w:eastAsia="Times New Roman" w:hAnsi="Times New Roman"/>
                <w:sz w:val="14"/>
                <w:szCs w:val="14"/>
                <w:color w:val="auto"/>
              </w:rPr>
              <w:t>(i)</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374,775</w:t>
            </w:r>
          </w:p>
        </w:tc>
      </w:tr>
      <w:tr>
        <w:trPr>
          <w:trHeight w:val="209"/>
        </w:trPr>
        <w:tc>
          <w:tcPr>
            <w:tcW w:w="18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7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18,060</w:t>
            </w:r>
          </w:p>
        </w:tc>
        <w:tc>
          <w:tcPr>
            <w:tcW w:w="270" w:type="dxa"/>
            <w:vAlign w:val="bottom"/>
            <w:tcBorders>
              <w:bottom w:val="single" w:sz="8" w:color="CCEEFF"/>
            </w:tcBorders>
            <w:shd w:val="clear" w:color="auto" w:fill="CCEEFF"/>
          </w:tcPr>
          <w:p>
            <w:pPr>
              <w:ind w:left="30"/>
              <w:spacing w:after="0"/>
              <w:rPr>
                <w:sz w:val="20"/>
                <w:szCs w:val="20"/>
                <w:color w:val="auto"/>
              </w:rPr>
            </w:pPr>
            <w:r>
              <w:rPr>
                <w:rFonts w:ascii="Times New Roman" w:cs="Times New Roman" w:eastAsia="Times New Roman" w:hAnsi="Times New Roman"/>
                <w:sz w:val="14"/>
                <w:szCs w:val="14"/>
                <w:color w:val="auto"/>
              </w:rPr>
              <w:t>(j)</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208,774</w:t>
            </w:r>
          </w:p>
        </w:tc>
      </w:tr>
      <w:tr>
        <w:trPr>
          <w:trHeight w:val="206"/>
        </w:trPr>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0" w:type="dxa"/>
            <w:vAlign w:val="bottom"/>
          </w:tcPr>
          <w:p>
            <w:pPr>
              <w:spacing w:after="0"/>
              <w:rPr>
                <w:sz w:val="17"/>
                <w:szCs w:val="17"/>
                <w:color w:val="auto"/>
              </w:rPr>
            </w:pPr>
          </w:p>
        </w:tc>
        <w:tc>
          <w:tcPr>
            <w:tcW w:w="27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84"/>
        </w:trPr>
        <w:tc>
          <w:tcPr>
            <w:tcW w:w="4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Richard W. Mason</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16,774</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193,907</w:t>
            </w: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9,210</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106,468</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18,723</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216,438</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7,710</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89,128</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5,435</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62,829</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26,380</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7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18,723</w:t>
            </w:r>
          </w:p>
        </w:tc>
        <w:tc>
          <w:tcPr>
            <w:tcW w:w="270" w:type="dxa"/>
            <w:vAlign w:val="bottom"/>
            <w:shd w:val="clear" w:color="auto" w:fill="CCEEFF"/>
          </w:tcPr>
          <w:p>
            <w:pPr>
              <w:ind w:left="30"/>
              <w:spacing w:after="0"/>
              <w:rPr>
                <w:sz w:val="20"/>
                <w:szCs w:val="20"/>
                <w:color w:val="auto"/>
              </w:rPr>
            </w:pPr>
            <w:r>
              <w:rPr>
                <w:rFonts w:ascii="Times New Roman" w:cs="Times New Roman" w:eastAsia="Times New Roman" w:hAnsi="Times New Roman"/>
                <w:sz w:val="14"/>
                <w:szCs w:val="14"/>
                <w:color w:val="auto"/>
              </w:rPr>
              <w:t>(i)</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216,438</w:t>
            </w:r>
          </w:p>
        </w:tc>
      </w:tr>
      <w:tr>
        <w:trPr>
          <w:trHeight w:val="209"/>
        </w:trPr>
        <w:tc>
          <w:tcPr>
            <w:tcW w:w="18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7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10,280</w:t>
            </w:r>
          </w:p>
        </w:tc>
        <w:tc>
          <w:tcPr>
            <w:tcW w:w="270" w:type="dxa"/>
            <w:vAlign w:val="bottom"/>
            <w:tcBorders>
              <w:bottom w:val="single" w:sz="8" w:color="CCEEFF"/>
            </w:tcBorders>
            <w:shd w:val="clear" w:color="auto" w:fill="CCEEFF"/>
          </w:tcPr>
          <w:p>
            <w:pPr>
              <w:ind w:left="30"/>
              <w:spacing w:after="0"/>
              <w:rPr>
                <w:sz w:val="20"/>
                <w:szCs w:val="20"/>
                <w:color w:val="auto"/>
              </w:rPr>
            </w:pPr>
            <w:r>
              <w:rPr>
                <w:rFonts w:ascii="Times New Roman" w:cs="Times New Roman" w:eastAsia="Times New Roman" w:hAnsi="Times New Roman"/>
                <w:sz w:val="14"/>
                <w:szCs w:val="14"/>
                <w:color w:val="auto"/>
              </w:rPr>
              <w:t>(j)</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118,837</w:t>
            </w:r>
          </w:p>
        </w:tc>
      </w:tr>
      <w:tr>
        <w:trPr>
          <w:trHeight w:val="206"/>
        </w:trPr>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0" w:type="dxa"/>
            <w:vAlign w:val="bottom"/>
          </w:tcPr>
          <w:p>
            <w:pPr>
              <w:spacing w:after="0"/>
              <w:rPr>
                <w:sz w:val="17"/>
                <w:szCs w:val="17"/>
                <w:color w:val="auto"/>
              </w:rPr>
            </w:pPr>
          </w:p>
        </w:tc>
        <w:tc>
          <w:tcPr>
            <w:tcW w:w="27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84"/>
        </w:trPr>
        <w:tc>
          <w:tcPr>
            <w:tcW w:w="4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Elaine M. Cheng</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12,014</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138,882</w:t>
            </w: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6,790</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78,492</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17,878</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206,670</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7,579</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87,613</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5,369</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62,066</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26,380</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7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17,878</w:t>
            </w:r>
          </w:p>
        </w:tc>
        <w:tc>
          <w:tcPr>
            <w:tcW w:w="270" w:type="dxa"/>
            <w:vAlign w:val="bottom"/>
            <w:shd w:val="clear" w:color="auto" w:fill="CCEEFF"/>
          </w:tcPr>
          <w:p>
            <w:pPr>
              <w:ind w:left="30"/>
              <w:spacing w:after="0"/>
              <w:rPr>
                <w:sz w:val="20"/>
                <w:szCs w:val="20"/>
                <w:color w:val="auto"/>
              </w:rPr>
            </w:pPr>
            <w:r>
              <w:rPr>
                <w:rFonts w:ascii="Times New Roman" w:cs="Times New Roman" w:eastAsia="Times New Roman" w:hAnsi="Times New Roman"/>
                <w:sz w:val="14"/>
                <w:szCs w:val="14"/>
                <w:color w:val="auto"/>
              </w:rPr>
              <w:t>(i)</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206,670</w:t>
            </w:r>
          </w:p>
        </w:tc>
      </w:tr>
      <w:tr>
        <w:trPr>
          <w:trHeight w:val="206"/>
        </w:trPr>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7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10,105</w:t>
            </w:r>
          </w:p>
        </w:tc>
        <w:tc>
          <w:tcPr>
            <w:tcW w:w="270" w:type="dxa"/>
            <w:vAlign w:val="bottom"/>
            <w:shd w:val="clear" w:color="auto" w:fill="CCEEFF"/>
          </w:tcPr>
          <w:p>
            <w:pPr>
              <w:ind w:left="30"/>
              <w:spacing w:after="0"/>
              <w:rPr>
                <w:sz w:val="20"/>
                <w:szCs w:val="20"/>
                <w:color w:val="auto"/>
              </w:rPr>
            </w:pPr>
            <w:r>
              <w:rPr>
                <w:rFonts w:ascii="Times New Roman" w:cs="Times New Roman" w:eastAsia="Times New Roman" w:hAnsi="Times New Roman"/>
                <w:sz w:val="14"/>
                <w:szCs w:val="14"/>
                <w:color w:val="auto"/>
              </w:rPr>
              <w:t>(j)</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116,814</w:t>
            </w:r>
          </w:p>
        </w:tc>
      </w:tr>
      <w:tr>
        <w:trPr>
          <w:trHeight w:val="22"/>
        </w:trPr>
        <w:tc>
          <w:tcPr>
            <w:tcW w:w="18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90" w:type="dxa"/>
            <w:vAlign w:val="bottom"/>
            <w:shd w:val="clear" w:color="auto" w:fill="CCEEFF"/>
          </w:tcPr>
          <w:p>
            <w:pPr>
              <w:spacing w:after="0" w:line="20" w:lineRule="exact"/>
              <w:rPr>
                <w:sz w:val="1"/>
                <w:szCs w:val="1"/>
                <w:color w:val="auto"/>
              </w:rPr>
            </w:pPr>
          </w:p>
        </w:tc>
        <w:tc>
          <w:tcPr>
            <w:tcW w:w="27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w:t>
      </w:r>
    </w:p>
    <w:p>
      <w:pPr>
        <w:spacing w:after="0" w:line="66" w:lineRule="exact"/>
        <w:rPr>
          <w:sz w:val="20"/>
          <w:szCs w:val="20"/>
          <w:color w:val="auto"/>
        </w:rPr>
      </w:pPr>
    </w:p>
    <w:p>
      <w:pPr>
        <w:ind w:left="460" w:hanging="302"/>
        <w:spacing w:after="0"/>
        <w:tabs>
          <w:tab w:leader="none" w:pos="4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value of the RSU awards is based on the closing price per share of the Company’s common stock ($11.56) as of December 31, 2025.</w:t>
      </w:r>
    </w:p>
    <w:p>
      <w:pPr>
        <w:spacing w:after="0" w:line="27" w:lineRule="exact"/>
        <w:rPr>
          <w:rFonts w:ascii="Times New Roman" w:cs="Times New Roman" w:eastAsia="Times New Roman" w:hAnsi="Times New Roman"/>
          <w:sz w:val="17"/>
          <w:szCs w:val="17"/>
          <w:color w:val="auto"/>
        </w:rPr>
      </w:pPr>
    </w:p>
    <w:p>
      <w:pPr>
        <w:ind w:left="460" w:right="160" w:hanging="302"/>
        <w:spacing w:after="0" w:line="253" w:lineRule="auto"/>
        <w:tabs>
          <w:tab w:leader="none" w:pos="45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value of the RTSR PSUs is based on the target number of shares under the award multiplied by the closing price per share of the Company’s common stock ($11.56) on December 31, 2025.</w:t>
      </w:r>
    </w:p>
    <w:p>
      <w:pPr>
        <w:ind w:left="460" w:hanging="302"/>
        <w:spacing w:after="0"/>
        <w:tabs>
          <w:tab w:leader="none" w:pos="4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RSUs granted on February 18, 2025 vest ratably each year for four years.</w:t>
      </w: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1134" w:right="479" w:bottom="1440" w:gutter="0" w:footer="0" w:header="0"/>
        </w:sectPr>
      </w:pPr>
    </w:p>
    <w:bookmarkStart w:id="36" w:name="page37"/>
    <w:bookmarkEnd w:id="36"/>
    <w:p>
      <w:pPr>
        <w:ind w:left="460" w:hanging="302"/>
        <w:spacing w:after="0"/>
        <w:tabs>
          <w:tab w:leader="none" w:pos="4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RSUs granted on February 13, 2024 vest ratably each year for four years.</w:t>
      </w:r>
    </w:p>
    <w:p>
      <w:pPr>
        <w:spacing w:after="0" w:line="27"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RSUs granted on February 22, 2023 vest ratably each year for four years.</w:t>
      </w:r>
    </w:p>
    <w:p>
      <w:pPr>
        <w:spacing w:after="0" w:line="10"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RSUs granted on February 22, 2022 vest ratably each year for four years.</w:t>
      </w:r>
    </w:p>
    <w:p>
      <w:pPr>
        <w:spacing w:after="0" w:line="10" w:lineRule="exact"/>
        <w:rPr>
          <w:rFonts w:ascii="Times New Roman" w:cs="Times New Roman" w:eastAsia="Times New Roman" w:hAnsi="Times New Roman"/>
          <w:sz w:val="17"/>
          <w:szCs w:val="17"/>
          <w:color w:val="auto"/>
        </w:rPr>
      </w:pPr>
    </w:p>
    <w:p>
      <w:pPr>
        <w:jc w:val="both"/>
        <w:ind w:left="460" w:hanging="302"/>
        <w:spacing w:after="0" w:line="253" w:lineRule="auto"/>
        <w:tabs>
          <w:tab w:leader="none" w:pos="45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Strategic PSUs granted on February 18, 2025 will fully vest in December 31, 2027; provided, however, that the actual number of shares that vest will be certified by the Compensation Committee after review of the Company’s performance relative to certain performance conditions. The table above represents payout at the target amount for these performance-based awards (which is the maximum amount that can be awarded).</w:t>
      </w:r>
    </w:p>
    <w:p>
      <w:pPr>
        <w:jc w:val="both"/>
        <w:ind w:left="460" w:hanging="302"/>
        <w:spacing w:after="0" w:line="253" w:lineRule="auto"/>
        <w:tabs>
          <w:tab w:leader="none" w:pos="45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Strategic PSUs granted on February 13, 2024 will fully vest in December 31, 2026; provided, however, that the actual number of shares that vest will be certified by the Compensation Committee after review of the Company’s performance relative to certain performance conditions. The table above represents payout at the target amount for these performance-based awards (which is the maximum amount that can be awarded).</w:t>
      </w:r>
    </w:p>
    <w:p>
      <w:pPr>
        <w:ind w:left="460" w:right="360" w:hanging="302"/>
        <w:spacing w:after="0" w:line="253" w:lineRule="auto"/>
        <w:tabs>
          <w:tab w:leader="none" w:pos="45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RTSR PSUs granted February 18, 2025 will vest as of December 31, 2027; provided, however, that the actual number of shares that vest will be certified by the Compensation Committee after review of the Company’s stock price performance relative to the peer group. The table above represents payout at the target amount for these performance-based awards.</w:t>
      </w:r>
    </w:p>
    <w:p>
      <w:pPr>
        <w:ind w:left="460" w:right="360" w:hanging="302"/>
        <w:spacing w:after="0" w:line="259" w:lineRule="auto"/>
        <w:tabs>
          <w:tab w:leader="none" w:pos="45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RTSR PSUs granted February 13, 2024 will vest as of December 31, 2026; provided, however, that the actual number of shares that vest will be certified by the Compensation Committee after review of the Company’s stock price performance relative to the peer group. The table above represents payout at the target amount for these performance-based awards.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Option Exercises and Stock Vested</w:t>
      </w:r>
    </w:p>
    <w:p>
      <w:pPr>
        <w:spacing w:after="0" w:line="221" w:lineRule="exact"/>
        <w:rPr>
          <w:sz w:val="20"/>
          <w:szCs w:val="20"/>
          <w:color w:val="auto"/>
        </w:rPr>
      </w:pPr>
    </w:p>
    <w:p>
      <w:pPr>
        <w:ind w:right="280" w:firstLine="619"/>
        <w:spacing w:after="0" w:line="270" w:lineRule="auto"/>
        <w:rPr>
          <w:sz w:val="20"/>
          <w:szCs w:val="20"/>
          <w:color w:val="auto"/>
        </w:rPr>
      </w:pPr>
      <w:r>
        <w:rPr>
          <w:rFonts w:ascii="Times New Roman" w:cs="Times New Roman" w:eastAsia="Times New Roman" w:hAnsi="Times New Roman"/>
          <w:sz w:val="17"/>
          <w:szCs w:val="17"/>
          <w:color w:val="auto"/>
        </w:rPr>
        <w:t>The following table presents information with respect to the options exercised and stock awards vested during the 2025 fiscal year for the named executive officers. Our named executive officers did not exercise options during the 2025 fiscal year; therefore, we have omitted the “Option Awards” columns from this 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7"/>
                <w:szCs w:val="17"/>
                <w:b w:val="1"/>
                <w:bCs w:val="1"/>
                <w:color w:val="auto"/>
              </w:rPr>
              <w:t>Stock Awards</w:t>
            </w:r>
          </w:p>
        </w:tc>
      </w:tr>
      <w:tr>
        <w:trPr>
          <w:trHeight w:val="205"/>
        </w:trPr>
        <w:tc>
          <w:tcPr>
            <w:tcW w:w="3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 of 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6"/>
        </w:trPr>
        <w:tc>
          <w:tcPr>
            <w:tcW w:w="3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Acquired Upon</w:t>
            </w:r>
          </w:p>
        </w:tc>
        <w:tc>
          <w:tcPr>
            <w:tcW w:w="160" w:type="dxa"/>
            <w:vAlign w:val="bottom"/>
          </w:tcPr>
          <w:p>
            <w:pPr>
              <w:spacing w:after="0"/>
              <w:rPr>
                <w:sz w:val="17"/>
                <w:szCs w:val="17"/>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Value Realized</w:t>
            </w:r>
          </w:p>
        </w:tc>
      </w:tr>
      <w:tr>
        <w:trPr>
          <w:trHeight w:val="188"/>
        </w:trPr>
        <w:tc>
          <w:tcPr>
            <w:tcW w:w="3920" w:type="dxa"/>
            <w:vAlign w:val="bottom"/>
          </w:tcPr>
          <w:p>
            <w:pPr>
              <w:spacing w:after="0"/>
              <w:rPr>
                <w:sz w:val="16"/>
                <w:szCs w:val="16"/>
                <w:color w:val="auto"/>
              </w:rPr>
            </w:pPr>
          </w:p>
        </w:tc>
        <w:tc>
          <w:tcPr>
            <w:tcW w:w="436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Name</w:t>
            </w:r>
          </w:p>
        </w:tc>
        <w:tc>
          <w:tcPr>
            <w:tcW w:w="360" w:type="dxa"/>
            <w:vAlign w:val="bottom"/>
          </w:tcPr>
          <w:p>
            <w:pPr>
              <w:spacing w:after="0"/>
              <w:rPr>
                <w:sz w:val="16"/>
                <w:szCs w:val="16"/>
                <w:color w:val="auto"/>
              </w:rPr>
            </w:pPr>
          </w:p>
        </w:tc>
        <w:tc>
          <w:tcPr>
            <w:tcW w:w="780" w:type="dxa"/>
            <w:vAlign w:val="bottom"/>
            <w:tcBorders>
              <w:bottom w:val="single" w:sz="8" w:color="auto"/>
            </w:tcBorders>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w w:val="98"/>
              </w:rPr>
              <w:t>Vesting (#)</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w w:val="99"/>
              </w:rPr>
              <w:t>Upon Vesting</w:t>
            </w:r>
          </w:p>
        </w:tc>
        <w:tc>
          <w:tcPr>
            <w:tcW w:w="240" w:type="dxa"/>
            <w:vAlign w:val="bottom"/>
          </w:tcPr>
          <w:p>
            <w:pPr>
              <w:spacing w:after="0"/>
              <w:rPr>
                <w:sz w:val="16"/>
                <w:szCs w:val="16"/>
                <w:color w:val="auto"/>
              </w:rPr>
            </w:pPr>
          </w:p>
        </w:tc>
      </w:tr>
      <w:tr>
        <w:trPr>
          <w:trHeight w:val="22"/>
        </w:trPr>
        <w:tc>
          <w:tcPr>
            <w:tcW w:w="3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1"/>
        </w:trPr>
        <w:tc>
          <w:tcPr>
            <w:tcW w:w="8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Edward H. McKay</w:t>
            </w:r>
          </w:p>
        </w:tc>
        <w:tc>
          <w:tcPr>
            <w:tcW w:w="14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w w:val="98"/>
              </w:rPr>
              <w:t>39,712</w:t>
            </w:r>
          </w:p>
        </w:tc>
        <w:tc>
          <w:tcPr>
            <w:tcW w:w="1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454,557</w:t>
            </w:r>
          </w:p>
        </w:tc>
      </w:tr>
      <w:tr>
        <w:trPr>
          <w:trHeight w:val="219"/>
        </w:trPr>
        <w:tc>
          <w:tcPr>
            <w:tcW w:w="8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Christopher E. French</w:t>
            </w:r>
          </w:p>
        </w:tc>
        <w:tc>
          <w:tcPr>
            <w:tcW w:w="1480" w:type="dxa"/>
            <w:vAlign w:val="bottom"/>
            <w:gridSpan w:val="3"/>
          </w:tcPr>
          <w:p>
            <w:pPr>
              <w:ind w:left="1000"/>
              <w:spacing w:after="0"/>
              <w:rPr>
                <w:sz w:val="20"/>
                <w:szCs w:val="20"/>
                <w:color w:val="auto"/>
              </w:rPr>
            </w:pPr>
            <w:r>
              <w:rPr>
                <w:rFonts w:ascii="Times New Roman" w:cs="Times New Roman" w:eastAsia="Times New Roman" w:hAnsi="Times New Roman"/>
                <w:sz w:val="17"/>
                <w:szCs w:val="17"/>
                <w:color w:val="auto"/>
                <w:w w:val="98"/>
              </w:rPr>
              <w:t>61,112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704,816</w:t>
            </w:r>
          </w:p>
        </w:tc>
      </w:tr>
      <w:tr>
        <w:trPr>
          <w:trHeight w:val="219"/>
        </w:trPr>
        <w:tc>
          <w:tcPr>
            <w:tcW w:w="8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James J. Volk</w:t>
            </w:r>
          </w:p>
        </w:tc>
        <w:tc>
          <w:tcPr>
            <w:tcW w:w="14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w w:val="98"/>
              </w:rPr>
              <w:t>29,225</w:t>
            </w:r>
          </w:p>
        </w:tc>
        <w:tc>
          <w:tcPr>
            <w:tcW w:w="1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333,462</w:t>
            </w:r>
          </w:p>
        </w:tc>
      </w:tr>
      <w:tr>
        <w:trPr>
          <w:trHeight w:val="219"/>
        </w:trPr>
        <w:tc>
          <w:tcPr>
            <w:tcW w:w="8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Richard W. Mason</w:t>
            </w:r>
          </w:p>
        </w:tc>
        <w:tc>
          <w:tcPr>
            <w:tcW w:w="1480" w:type="dxa"/>
            <w:vAlign w:val="bottom"/>
            <w:gridSpan w:val="3"/>
          </w:tcPr>
          <w:p>
            <w:pPr>
              <w:ind w:left="1000"/>
              <w:spacing w:after="0"/>
              <w:rPr>
                <w:sz w:val="20"/>
                <w:szCs w:val="20"/>
                <w:color w:val="auto"/>
              </w:rPr>
            </w:pPr>
            <w:r>
              <w:rPr>
                <w:rFonts w:ascii="Times New Roman" w:cs="Times New Roman" w:eastAsia="Times New Roman" w:hAnsi="Times New Roman"/>
                <w:sz w:val="17"/>
                <w:szCs w:val="17"/>
                <w:color w:val="auto"/>
                <w:w w:val="98"/>
              </w:rPr>
              <w:t>20,478</w:t>
            </w:r>
          </w:p>
        </w:tc>
        <w:tc>
          <w:tcPr>
            <w:tcW w:w="16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234,073</w:t>
            </w:r>
          </w:p>
        </w:tc>
      </w:tr>
      <w:tr>
        <w:trPr>
          <w:trHeight w:val="219"/>
        </w:trPr>
        <w:tc>
          <w:tcPr>
            <w:tcW w:w="8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Elaine M. Cheng</w:t>
            </w:r>
          </w:p>
        </w:tc>
        <w:tc>
          <w:tcPr>
            <w:tcW w:w="14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w w:val="98"/>
              </w:rPr>
              <w:t>19,104</w:t>
            </w:r>
          </w:p>
        </w:tc>
        <w:tc>
          <w:tcPr>
            <w:tcW w:w="1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218,160</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Nonqualified Deferred Compensation</w:t>
      </w:r>
    </w:p>
    <w:p>
      <w:pPr>
        <w:spacing w:after="0" w:line="221"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In March 2007, effective January 1, 2007, the Company amended the Executive Supplemental Retirement Plan to convert it from a defined benefit plan to a defined contribution plan. The Company discontinued contributions to the plan and closed the plan to new participants effective June 2010. Participants are not permitted to make contributions to the plan, and there were no withdrawals or distributions from the plan during 2025. After retirement of the other participants, Mr. French is the only remaining participant in the plan. Participants may direct their balances to a variety of investment options, and returns on these investment options will be reflected as gains or losses in the participants’ accounts under this plan. The Company will also reflect those gains or losses as investment gains or losses on its financial statements. The Company elected to establish a rabbi trust and to contribute amounts to the rabbi trust equal to the participants’ opening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7" w:name="page38"/>
    <w:bookmarkEnd w:id="37"/>
    <w:p>
      <w:pPr>
        <w:ind w:right="440"/>
        <w:spacing w:after="0" w:line="287" w:lineRule="auto"/>
        <w:rPr>
          <w:sz w:val="20"/>
          <w:szCs w:val="20"/>
          <w:color w:val="auto"/>
        </w:rPr>
      </w:pPr>
      <w:r>
        <w:rPr>
          <w:rFonts w:ascii="Times New Roman" w:cs="Times New Roman" w:eastAsia="Times New Roman" w:hAnsi="Times New Roman"/>
          <w:sz w:val="17"/>
          <w:szCs w:val="17"/>
          <w:color w:val="auto"/>
        </w:rPr>
        <w:t>balances in the plan, as well as Company contributions required under the plan, and to make investments under the rabbi trust as directed by the participants’ election choices.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260" w:type="dxa"/>
            <w:vAlign w:val="bottom"/>
          </w:tcPr>
          <w:p>
            <w:pPr>
              <w:spacing w:after="0"/>
              <w:rPr>
                <w:sz w:val="17"/>
                <w:szCs w:val="17"/>
                <w:color w:val="auto"/>
              </w:rPr>
            </w:pPr>
          </w:p>
        </w:tc>
        <w:tc>
          <w:tcPr>
            <w:tcW w:w="1240" w:type="dxa"/>
            <w:vAlign w:val="bottom"/>
            <w:gridSpan w:val="3"/>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Aggregate</w:t>
            </w:r>
          </w:p>
        </w:tc>
      </w:tr>
      <w:tr>
        <w:trPr>
          <w:trHeight w:val="206"/>
        </w:trPr>
        <w:tc>
          <w:tcPr>
            <w:tcW w:w="3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260" w:type="dxa"/>
            <w:vAlign w:val="bottom"/>
          </w:tcPr>
          <w:p>
            <w:pPr>
              <w:spacing w:after="0"/>
              <w:rPr>
                <w:sz w:val="17"/>
                <w:szCs w:val="17"/>
                <w:color w:val="auto"/>
              </w:rPr>
            </w:pPr>
          </w:p>
        </w:tc>
        <w:tc>
          <w:tcPr>
            <w:tcW w:w="1240" w:type="dxa"/>
            <w:vAlign w:val="bottom"/>
            <w:gridSpan w:val="3"/>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w w:val="99"/>
              </w:rPr>
              <w:t>Balance at</w:t>
            </w:r>
          </w:p>
        </w:tc>
      </w:tr>
      <w:tr>
        <w:trPr>
          <w:trHeight w:val="188"/>
        </w:trPr>
        <w:tc>
          <w:tcPr>
            <w:tcW w:w="3920" w:type="dxa"/>
            <w:vAlign w:val="bottom"/>
          </w:tcPr>
          <w:p>
            <w:pPr>
              <w:spacing w:after="0"/>
              <w:rPr>
                <w:sz w:val="16"/>
                <w:szCs w:val="16"/>
                <w:color w:val="auto"/>
              </w:rPr>
            </w:pPr>
          </w:p>
        </w:tc>
        <w:tc>
          <w:tcPr>
            <w:tcW w:w="24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Name</w:t>
            </w:r>
          </w:p>
        </w:tc>
        <w:tc>
          <w:tcPr>
            <w:tcW w:w="2180" w:type="dxa"/>
            <w:vAlign w:val="bottom"/>
          </w:tcPr>
          <w:p>
            <w:pPr>
              <w:spacing w:after="0"/>
              <w:rPr>
                <w:sz w:val="16"/>
                <w:szCs w:val="16"/>
                <w:color w:val="auto"/>
              </w:rPr>
            </w:pPr>
          </w:p>
        </w:tc>
        <w:tc>
          <w:tcPr>
            <w:tcW w:w="1240" w:type="dxa"/>
            <w:vAlign w:val="bottom"/>
            <w:gridSpan w:val="3"/>
          </w:tcPr>
          <w:p>
            <w:pPr>
              <w:jc w:val="center"/>
              <w:ind w:right="114"/>
              <w:spacing w:after="0" w:line="188" w:lineRule="exact"/>
              <w:rPr>
                <w:sz w:val="20"/>
                <w:szCs w:val="20"/>
                <w:color w:val="auto"/>
              </w:rPr>
            </w:pPr>
            <w:r>
              <w:rPr>
                <w:rFonts w:ascii="Times New Roman" w:cs="Times New Roman" w:eastAsia="Times New Roman" w:hAnsi="Times New Roman"/>
                <w:sz w:val="17"/>
                <w:szCs w:val="17"/>
                <w:b w:val="1"/>
                <w:bCs w:val="1"/>
                <w:color w:val="auto"/>
              </w:rPr>
              <w:t>in Last FY</w:t>
            </w:r>
          </w:p>
        </w:tc>
        <w:tc>
          <w:tcPr>
            <w:tcW w:w="260" w:type="dxa"/>
            <w:vAlign w:val="bottom"/>
          </w:tcPr>
          <w:p>
            <w:pPr>
              <w:spacing w:after="0"/>
              <w:rPr>
                <w:sz w:val="16"/>
                <w:szCs w:val="16"/>
                <w:color w:val="auto"/>
              </w:rPr>
            </w:pPr>
          </w:p>
        </w:tc>
        <w:tc>
          <w:tcPr>
            <w:tcW w:w="1240" w:type="dxa"/>
            <w:vAlign w:val="bottom"/>
            <w:gridSpan w:val="3"/>
          </w:tcPr>
          <w:p>
            <w:pPr>
              <w:jc w:val="center"/>
              <w:ind w:right="154"/>
              <w:spacing w:after="0" w:line="188" w:lineRule="exact"/>
              <w:rPr>
                <w:sz w:val="20"/>
                <w:szCs w:val="20"/>
                <w:color w:val="auto"/>
              </w:rPr>
            </w:pPr>
            <w:r>
              <w:rPr>
                <w:rFonts w:ascii="Times New Roman" w:cs="Times New Roman" w:eastAsia="Times New Roman" w:hAnsi="Times New Roman"/>
                <w:sz w:val="17"/>
                <w:szCs w:val="17"/>
                <w:b w:val="1"/>
                <w:bCs w:val="1"/>
                <w:color w:val="auto"/>
              </w:rPr>
              <w:t>Last FY</w:t>
            </w:r>
          </w:p>
        </w:tc>
      </w:tr>
      <w:tr>
        <w:trPr>
          <w:trHeight w:val="44"/>
        </w:trPr>
        <w:tc>
          <w:tcPr>
            <w:tcW w:w="392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96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219"/>
        </w:trPr>
        <w:tc>
          <w:tcPr>
            <w:tcW w:w="6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Edward H. McKay</w:t>
            </w:r>
          </w:p>
        </w:tc>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Christopher E. French</w:t>
            </w:r>
          </w:p>
        </w:tc>
        <w:tc>
          <w:tcPr>
            <w:tcW w:w="2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385,621</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3,055,604</w:t>
            </w:r>
          </w:p>
        </w:tc>
      </w:tr>
      <w:tr>
        <w:trPr>
          <w:trHeight w:val="219"/>
        </w:trPr>
        <w:tc>
          <w:tcPr>
            <w:tcW w:w="6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James J. Volk</w:t>
            </w:r>
          </w:p>
        </w:tc>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Richard W. Mason</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Elaine M. Cheng</w:t>
            </w:r>
          </w:p>
        </w:tc>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Severance Arrangements with our Named Executive Officers</w:t>
      </w:r>
    </w:p>
    <w:p>
      <w:pPr>
        <w:spacing w:after="0" w:line="221"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On February 7, 2020, we entered into severance agreements with Mr. McKay, Mr. French, Mr. Mason and Ms. Cheng, and with Mr. Volk on August 19, 2021 (the “Severance Agreements”), each of which terminate on the earlier of (i) prior to a change in control, December 31, 2025 (which termination date was automatically extended pursuant to the terms of the Severance Agreements for an additional one-year period to December 31, 2025 and will continue to be extended automatically by additional one-year periods unless either party gives written notice that the Severance Agreement will not be extended) or (ii) after a change in control, the date that is 18 months after such change in control (or, if more than one change in control occurs during the term, the date of the last change in control).</w:t>
      </w:r>
    </w:p>
    <w:p>
      <w:pPr>
        <w:spacing w:after="0" w:line="173"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Each Severance Agreement provides that should the executive officer’s employment be terminated for any reason, the executive officer is entitled to each of the following as of the date the executive officer’s employment ends: (i) payment of any compensation (including base salary and cash bonus for the year immediately preceding the year of termination) that is earned but unpaid, (ii) payment for any vacation or paid time off that is earned but unused, (iii) reimbursement of expenses in accordance with the Company’s expense reimbursement policy for expenses incurred and unpaid, and (iv) the rights, if any, under any outstanding stock options or other equity awards. The benefits described in clauses (i) through (iii) shall be paid in a single cash payment within 30 days after the date the executive officer’s employment ends.</w:t>
      </w:r>
    </w:p>
    <w:p>
      <w:pPr>
        <w:spacing w:after="0" w:line="173" w:lineRule="exact"/>
        <w:rPr>
          <w:sz w:val="20"/>
          <w:szCs w:val="20"/>
          <w:color w:val="auto"/>
        </w:rPr>
      </w:pPr>
    </w:p>
    <w:p>
      <w:pPr>
        <w:ind w:right="100" w:firstLine="619"/>
        <w:spacing w:after="0" w:line="256" w:lineRule="auto"/>
        <w:rPr>
          <w:sz w:val="20"/>
          <w:szCs w:val="20"/>
          <w:color w:val="auto"/>
        </w:rPr>
      </w:pPr>
      <w:r>
        <w:rPr>
          <w:rFonts w:ascii="Times New Roman" w:cs="Times New Roman" w:eastAsia="Times New Roman" w:hAnsi="Times New Roman"/>
          <w:sz w:val="17"/>
          <w:szCs w:val="17"/>
          <w:color w:val="auto"/>
        </w:rPr>
        <w:t>In the event of an involuntary termination of the executive officer’s employment by the Company for a reason other than “cause” (as defined in the Severance Agreements) or, on or after a change in control, the executive officer’s resignation with “good reason” (as defined in the Severance Agreements), the executive officer is entitled to receive (a) if a change in control has not occurred before the date of termination, (i) an amount equal to one (1) times the executive officer’s annual base salary as in effect on the date the executive officer’s employment ends (but disregarding any reduction in base salary that constitutes “good reason”), payable in installments in accordance with the Company’s regular payroll policy, and (ii) if the executive officer elects to continue coverage under the Company’s health insurance plan under COBRA, reimbursement in an amount equal to the monthly premium that the Company pays for active employees for the same type and level of such coverage for up to 12 months, unless such obligation terminates earlier in accordance with the terms of the Severance Agreement, payable in the month after the month in which the executive officer paid the COBRA premium, or (b) if a change in control has occurred on or before the date of termination, (1) the benefits described in clauses (a)(i) and (ii) above and (2) an amount equal to one (1) times the executive officer’s “target” annual incentive bonus for the year in which the executive officer’s employment ends (the benefits described in (a) and (b) of this paragraph are the “Severance Benefits”). Notwithstanding the foregoing, the Severance Benefits are not applicable in the event of a termination (a) in the event of death or disability or (b) (i) if such employment ends in connection with, or related to, a “transaction” (as defined in the Severance Agreements) and (ii) the executive officer accepts an offer of employment or becomes an employee or otherwise provides services to a purchaser or acquirer in a “transaction.”</w:t>
      </w:r>
    </w:p>
    <w:p>
      <w:pPr>
        <w:spacing w:after="0" w:line="177" w:lineRule="exact"/>
        <w:rPr>
          <w:sz w:val="20"/>
          <w:szCs w:val="20"/>
          <w:color w:val="auto"/>
        </w:rPr>
      </w:pPr>
    </w:p>
    <w:p>
      <w:pPr>
        <w:ind w:right="120" w:firstLine="619"/>
        <w:spacing w:after="0" w:line="258" w:lineRule="auto"/>
        <w:rPr>
          <w:sz w:val="20"/>
          <w:szCs w:val="20"/>
          <w:color w:val="auto"/>
        </w:rPr>
      </w:pPr>
      <w:r>
        <w:rPr>
          <w:rFonts w:ascii="Times New Roman" w:cs="Times New Roman" w:eastAsia="Times New Roman" w:hAnsi="Times New Roman"/>
          <w:sz w:val="17"/>
          <w:szCs w:val="17"/>
          <w:color w:val="auto"/>
        </w:rPr>
        <w:t>The Severance Benefits will be provided to the executive officer only if (i) the executive officer remains continuously employed until the date of termination, (ii) the date of termination is during the term of the Severance Agreement, (iii) the executive officer provides the Company the general release and waiver of claims contemplated by the Severance Agreement, and (iv) the executive officer complies with the covenants in the Severance Agreement, including with respect to non-competition, non-solicitation, confidentiality and non-disparagement. No further Severance Benefits will be provided to the executive officer after the date that the executive officer becomes employed by, or provides services to, a purchaser or acquirer in a “transaction.” In the event that the executive officer breaches certain covenants in the Severance Agreement, the executive officer is obligated to repay to the Company the Severance Benefits previously paid to the executive officer on or after the date of the breach.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8" w:name="page39"/>
    <w:bookmarkEnd w:id="38"/>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If the benefits or payments payable under the Severance Agreement would subject the executive officer to tax under Section 4999 of the Internal Revenue Code, as amended, such payments will be reduced as provided in, and to the extent required by, Section 14.04 of the 2014 Equity Incentive Plan. If any provision of the Severance Agreement is found not to comply with, or otherwise not be exempt from, Section 409A of the Internal Revenue Code, such provision shall be modified, in the sole discretion of the Company, to comply with, or to effectuate an exemption from, Section 409A of the Internal Revenue Code.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221" w:lineRule="exact"/>
        <w:rPr>
          <w:sz w:val="20"/>
          <w:szCs w:val="20"/>
          <w:color w:val="auto"/>
        </w:rPr>
      </w:pPr>
    </w:p>
    <w:p>
      <w:pPr>
        <w:ind w:right="160" w:firstLine="619"/>
        <w:spacing w:after="0" w:line="260" w:lineRule="auto"/>
        <w:rPr>
          <w:sz w:val="20"/>
          <w:szCs w:val="20"/>
          <w:color w:val="auto"/>
        </w:rPr>
      </w:pPr>
      <w:r>
        <w:rPr>
          <w:rFonts w:ascii="Times New Roman" w:cs="Times New Roman" w:eastAsia="Times New Roman" w:hAnsi="Times New Roman"/>
          <w:sz w:val="17"/>
          <w:szCs w:val="17"/>
          <w:color w:val="auto"/>
        </w:rPr>
        <w:t>As discussed in the section above titled “Severance Arrangements with Our Named Executive Officers,” the Company is required to pay or provide certain compensation and benefits to each of the named executive officers in the event of certain terminations of employment or a change in control of the Company. In addition to such compensation and benefits, our named executive officers are eligible (i) to receive lump-sum distributions of their vested accumulated benefits under the Executive Supplemental Retirement Plan upon termination of employment, whether by resignation, change of control, severance, retirement, or other reason and (ii) for accelerated vesting of certain equity awards upon certain terminations of employment or a change in control of the Company.</w:t>
      </w:r>
    </w:p>
    <w:p>
      <w:pPr>
        <w:spacing w:after="0" w:line="173"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Pursuant to the equity award agreements under the 2014 Equity Incentive Plan and 2024 Equity Incentive Plan related to time-vesting RSUs, RTSR PSUs and Strategic PSUs, our named executive officers are eligible for accelerated vesting of all outstanding unvested awards in the amounts and under the circumstances discussed below:</w:t>
      </w:r>
    </w:p>
    <w:p>
      <w:pPr>
        <w:spacing w:after="0" w:line="161" w:lineRule="exact"/>
        <w:rPr>
          <w:sz w:val="20"/>
          <w:szCs w:val="20"/>
          <w:color w:val="auto"/>
        </w:rPr>
      </w:pPr>
    </w:p>
    <w:p>
      <w:pPr>
        <w:ind w:left="940" w:right="80" w:hanging="318"/>
        <w:spacing w:after="0" w:line="264"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Death or Disability</w:t>
      </w:r>
      <w:r>
        <w:rPr>
          <w:rFonts w:ascii="Times New Roman" w:cs="Times New Roman" w:eastAsia="Times New Roman" w:hAnsi="Times New Roman"/>
          <w:sz w:val="17"/>
          <w:szCs w:val="17"/>
          <w:color w:val="auto"/>
        </w:rPr>
        <w:t>. Outstanding awards vest on a pro-rated basis based on the amount of time the named executive officer was employed during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vesting or measurement period and, with respect to RTSR PSU awards, in accordance with the achievement levels determined as of the date of termination.</w:t>
      </w:r>
    </w:p>
    <w:p>
      <w:pPr>
        <w:spacing w:after="0" w:line="167" w:lineRule="exact"/>
        <w:rPr>
          <w:rFonts w:ascii="Times New Roman" w:cs="Times New Roman" w:eastAsia="Times New Roman" w:hAnsi="Times New Roman"/>
          <w:sz w:val="17"/>
          <w:szCs w:val="17"/>
          <w:color w:val="auto"/>
        </w:rPr>
      </w:pPr>
    </w:p>
    <w:p>
      <w:pPr>
        <w:ind w:left="940" w:right="20" w:hanging="318"/>
        <w:spacing w:after="0" w:line="247" w:lineRule="auto"/>
        <w:tabs>
          <w:tab w:leader="none" w:pos="936"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Retirement</w:t>
      </w:r>
      <w:r>
        <w:rPr>
          <w:rFonts w:ascii="Times New Roman" w:cs="Times New Roman" w:eastAsia="Times New Roman" w:hAnsi="Times New Roman"/>
          <w:sz w:val="17"/>
          <w:szCs w:val="17"/>
          <w:color w:val="auto"/>
        </w:rPr>
        <w:t>. In the event of retirement, vesting of time-vesting RSUs and RTSR PSUs will not accelerate, but rather will continue to vest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accordance with the original vesting schedule determined at the date of grant. For these purposes, named executive officers are eligible for retirement after completing 10 years of continuous service as long as the sum of the named executive officer’s age and years of service is not less than 75. There are no special retirement eligibility considerations for Strategic PSUs, which will be forfeited if employment is terminated prior to vesting subject to the exceptions in connection with death or disability and change in control described above and below.</w:t>
      </w:r>
    </w:p>
    <w:p>
      <w:pPr>
        <w:spacing w:after="0" w:line="180" w:lineRule="exact"/>
        <w:rPr>
          <w:rFonts w:ascii="Times New Roman" w:cs="Times New Roman" w:eastAsia="Times New Roman" w:hAnsi="Times New Roman"/>
          <w:sz w:val="17"/>
          <w:szCs w:val="17"/>
          <w:i w:val="1"/>
          <w:iCs w:val="1"/>
          <w:color w:val="auto"/>
        </w:rPr>
      </w:pPr>
    </w:p>
    <w:p>
      <w:pPr>
        <w:ind w:left="940" w:right="60" w:hanging="318"/>
        <w:spacing w:after="0" w:line="246"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In the event a change in control occurs during their respective vesting periods, certain equity awards provide for accelerated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vesting. Unless the surviving entity in a change in control substitutes the awards with a grant of equivalent value, the time-vesting RSU awards vest automatically upon a change in control. With respect to RTSR PSU awards, the named executive officer will be entitled to compensation equal to the lesser of the maximum payout for such award or the fair market value of the earned shares on the date of the change of control. Unless the surviving entity in a change in control substitutes the awards with a grant of equivalent value, 100% of the target number of Strategic PSUs vest automatically upon a change in control. The number of Strategic PSUs to be so assumed or substituted shall be calculated as follows: (i) if the change in control date occurs during the first two years of the three-year performance period applicable to the Strategic PSUs, then 100% of the target number of Strategic PSUs shall be converted to time-based RSUs; or (ii) if the change in control date occurs during the third year of the performance period, then the Strategic PSUs shall be converted to RSUs based on actual performance-to-date, as determined by the Compensation Committee in its discretion and in accordance with the award agreement, provided, however, that if actual performance is deemed not determinable, then 100% of the target number of Strategic PSUs shall be converted to RSUs.</w:t>
      </w:r>
    </w:p>
    <w:p>
      <w:pPr>
        <w:spacing w:after="0" w:line="172"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In consideration for the foregoing compensation, our named executive officers generally agree to certain restrictive covenants, including non-competition, non-solicitation, confidentiality, and non-disparagement.</w:t>
      </w:r>
    </w:p>
    <w:p>
      <w:pPr>
        <w:spacing w:after="0" w:line="15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following tables describe estimated amounts of compensation and benefits that could be payable to each named executive officer upon certain terminations or a change in control. All amounts assume the named executive officers terminated employment as of December 31, 2025 and, where applicable, elected to continue COBRA coverage under the Company’s health insurance plan for 12 months (with reimbursement levels equal to the 2025 Company-paid portion of the officer’s health insurance premium); the value of the accelerated vesting is based on the closing price of our common stock as reported on Nasdaq on December 31, 2025, which was $11.56. The actual amounts that would be paid to each named executive officer upon termination of employment or a change in control can only be determined at the time the actual triggering event occurs. The estimated amounts of compensation and benefits described below do not include certain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9" w:name="page40"/>
    <w:bookmarkEnd w:id="39"/>
    <w:p>
      <w:pPr>
        <w:ind w:right="60"/>
        <w:spacing w:after="0" w:line="270" w:lineRule="auto"/>
        <w:rPr>
          <w:sz w:val="20"/>
          <w:szCs w:val="20"/>
          <w:color w:val="auto"/>
        </w:rPr>
      </w:pPr>
      <w:r>
        <w:rPr>
          <w:rFonts w:ascii="Times New Roman" w:cs="Times New Roman" w:eastAsia="Times New Roman" w:hAnsi="Times New Roman"/>
          <w:sz w:val="17"/>
          <w:szCs w:val="17"/>
          <w:color w:val="auto"/>
        </w:rPr>
        <w:t>equity-based compensation, which does not accelerate but continues to vest following retirement for executive officers who are eligible, or amounts payable under the Executive Supplemental Retirement Plan, which are set forth in the section above titled “Nonqualified Deferred Compensation.” This section identifies and quantifies the extent to which those retirement benefits are enhanced or accelerated upon the triggering events described below.</w:t>
      </w:r>
    </w:p>
    <w:p>
      <w:pPr>
        <w:spacing w:after="0" w:line="165"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shows the potential payments upon a hypothetical termination or change in control of the Company effective as of December 31, 2025 for Edward H. McKay.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without</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Cause or</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140" w:type="dxa"/>
            <w:vAlign w:val="bottom"/>
          </w:tcPr>
          <w:p>
            <w:pPr>
              <w:spacing w:after="0"/>
              <w:rPr>
                <w:sz w:val="17"/>
                <w:szCs w:val="17"/>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9"/>
              </w:rPr>
              <w:t>Resignation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Resignation for</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7"/>
                <w:szCs w:val="17"/>
                <w:b w:val="1"/>
                <w:bCs w:val="1"/>
                <w:color w:val="auto"/>
                <w:w w:val="99"/>
              </w:rPr>
              <w:t>with</w:t>
            </w: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without</w:t>
            </w:r>
          </w:p>
        </w:tc>
        <w:tc>
          <w:tcPr>
            <w:tcW w:w="140" w:type="dxa"/>
            <w:vAlign w:val="bottom"/>
          </w:tcPr>
          <w:p>
            <w:pPr>
              <w:spacing w:after="0"/>
              <w:rPr>
                <w:sz w:val="17"/>
                <w:szCs w:val="17"/>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for Good</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Good Reason</w:t>
            </w:r>
          </w:p>
        </w:tc>
        <w:tc>
          <w:tcPr>
            <w:tcW w:w="20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180" w:type="dxa"/>
            <w:vAlign w:val="bottom"/>
          </w:tcPr>
          <w:p>
            <w:pPr>
              <w:spacing w:after="0"/>
              <w:rPr>
                <w:sz w:val="17"/>
                <w:szCs w:val="17"/>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Cause or</w:t>
            </w: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Cause prior to</w:t>
            </w:r>
          </w:p>
        </w:tc>
        <w:tc>
          <w:tcPr>
            <w:tcW w:w="140" w:type="dxa"/>
            <w:vAlign w:val="bottom"/>
          </w:tcPr>
          <w:p>
            <w:pPr>
              <w:spacing w:after="0"/>
              <w:rPr>
                <w:sz w:val="17"/>
                <w:szCs w:val="17"/>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Reason prior to</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after</w:t>
            </w:r>
          </w:p>
        </w:tc>
        <w:tc>
          <w:tcPr>
            <w:tcW w:w="20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Control</w:t>
            </w:r>
          </w:p>
        </w:tc>
        <w:tc>
          <w:tcPr>
            <w:tcW w:w="180" w:type="dxa"/>
            <w:vAlign w:val="bottom"/>
          </w:tcPr>
          <w:p>
            <w:pPr>
              <w:spacing w:after="0"/>
              <w:rPr>
                <w:sz w:val="17"/>
                <w:szCs w:val="17"/>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w w:val="99"/>
              </w:rPr>
              <w:t>Resignation</w:t>
            </w:r>
          </w:p>
        </w:tc>
        <w:tc>
          <w:tcPr>
            <w:tcW w:w="1140" w:type="dxa"/>
            <w:vAlign w:val="bottom"/>
          </w:tcPr>
          <w:p>
            <w:pPr>
              <w:spacing w:after="0"/>
              <w:rPr>
                <w:sz w:val="17"/>
                <w:szCs w:val="17"/>
                <w:color w:val="auto"/>
              </w:rPr>
            </w:pPr>
          </w:p>
        </w:tc>
      </w:tr>
      <w:tr>
        <w:trPr>
          <w:trHeight w:val="206"/>
        </w:trPr>
        <w:tc>
          <w:tcPr>
            <w:tcW w:w="2760" w:type="dxa"/>
            <w:vAlign w:val="bottom"/>
          </w:tcPr>
          <w:p>
            <w:pPr>
              <w:ind w:left="1140"/>
              <w:spacing w:after="0"/>
              <w:rPr>
                <w:sz w:val="20"/>
                <w:szCs w:val="20"/>
                <w:color w:val="auto"/>
              </w:rPr>
            </w:pPr>
            <w:r>
              <w:rPr>
                <w:rFonts w:ascii="Times New Roman" w:cs="Times New Roman" w:eastAsia="Times New Roman" w:hAnsi="Times New Roman"/>
                <w:sz w:val="17"/>
                <w:szCs w:val="17"/>
                <w:b w:val="1"/>
                <w:bCs w:val="1"/>
                <w:color w:val="auto"/>
              </w:rPr>
              <w:t>Type of</w:t>
            </w:r>
          </w:p>
        </w:tc>
        <w:tc>
          <w:tcPr>
            <w:tcW w:w="240" w:type="dxa"/>
            <w:vAlign w:val="bottom"/>
          </w:tcPr>
          <w:p>
            <w:pPr>
              <w:spacing w:after="0"/>
              <w:rPr>
                <w:sz w:val="17"/>
                <w:szCs w:val="17"/>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a Change in</w:t>
            </w:r>
          </w:p>
        </w:tc>
        <w:tc>
          <w:tcPr>
            <w:tcW w:w="140" w:type="dxa"/>
            <w:vAlign w:val="bottom"/>
          </w:tcPr>
          <w:p>
            <w:pPr>
              <w:spacing w:after="0"/>
              <w:rPr>
                <w:sz w:val="17"/>
                <w:szCs w:val="17"/>
                <w:color w:val="auto"/>
              </w:rPr>
            </w:pPr>
          </w:p>
        </w:tc>
        <w:tc>
          <w:tcPr>
            <w:tcW w:w="13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a Change in</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 Change in</w:t>
            </w:r>
          </w:p>
        </w:tc>
        <w:tc>
          <w:tcPr>
            <w:tcW w:w="20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with no</w:t>
            </w:r>
          </w:p>
        </w:tc>
        <w:tc>
          <w:tcPr>
            <w:tcW w:w="180" w:type="dxa"/>
            <w:vAlign w:val="bottom"/>
          </w:tcPr>
          <w:p>
            <w:pPr>
              <w:spacing w:after="0"/>
              <w:rPr>
                <w:sz w:val="17"/>
                <w:szCs w:val="17"/>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7"/>
                <w:szCs w:val="17"/>
                <w:b w:val="1"/>
                <w:bCs w:val="1"/>
                <w:color w:val="auto"/>
              </w:rPr>
              <w:t>without Good</w:t>
            </w:r>
          </w:p>
        </w:tc>
        <w:tc>
          <w:tcPr>
            <w:tcW w:w="11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Death or</w:t>
            </w:r>
          </w:p>
        </w:tc>
      </w:tr>
      <w:tr>
        <w:trPr>
          <w:trHeight w:val="227"/>
        </w:trPr>
        <w:tc>
          <w:tcPr>
            <w:tcW w:w="2760" w:type="dxa"/>
            <w:vAlign w:val="bottom"/>
          </w:tcPr>
          <w:p>
            <w:pPr>
              <w:ind w:left="1100"/>
              <w:spacing w:after="0"/>
              <w:rPr>
                <w:sz w:val="20"/>
                <w:szCs w:val="20"/>
                <w:color w:val="auto"/>
              </w:rPr>
            </w:pPr>
            <w:r>
              <w:rPr>
                <w:rFonts w:ascii="Times New Roman" w:cs="Times New Roman" w:eastAsia="Times New Roman" w:hAnsi="Times New Roman"/>
                <w:sz w:val="17"/>
                <w:szCs w:val="17"/>
                <w:b w:val="1"/>
                <w:bCs w:val="1"/>
                <w:color w:val="auto"/>
              </w:rPr>
              <w:t>Payment</w:t>
            </w:r>
          </w:p>
        </w:tc>
        <w:tc>
          <w:tcPr>
            <w:tcW w:w="240" w:type="dxa"/>
            <w:vAlign w:val="bottom"/>
          </w:tcPr>
          <w:p>
            <w:pPr>
              <w:spacing w:after="0"/>
              <w:rPr>
                <w:sz w:val="19"/>
                <w:szCs w:val="19"/>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8"/>
              </w:rPr>
              <w:t>Control</w:t>
            </w:r>
          </w:p>
        </w:tc>
        <w:tc>
          <w:tcPr>
            <w:tcW w:w="140" w:type="dxa"/>
            <w:vAlign w:val="bottom"/>
          </w:tcPr>
          <w:p>
            <w:pPr>
              <w:spacing w:after="0"/>
              <w:rPr>
                <w:sz w:val="19"/>
                <w:szCs w:val="19"/>
                <w:color w:val="auto"/>
              </w:rPr>
            </w:pPr>
          </w:p>
        </w:tc>
        <w:tc>
          <w:tcPr>
            <w:tcW w:w="13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8"/>
              </w:rPr>
              <w:t>Control</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Control</w:t>
            </w:r>
          </w:p>
        </w:tc>
        <w:tc>
          <w:tcPr>
            <w:tcW w:w="200" w:type="dxa"/>
            <w:vAlign w:val="bottom"/>
          </w:tcPr>
          <w:p>
            <w:pPr>
              <w:spacing w:after="0"/>
              <w:rPr>
                <w:sz w:val="19"/>
                <w:szCs w:val="19"/>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8"/>
              </w:rPr>
              <w:t>Termination</w:t>
            </w:r>
          </w:p>
        </w:tc>
        <w:tc>
          <w:tcPr>
            <w:tcW w:w="180" w:type="dxa"/>
            <w:vAlign w:val="bottom"/>
          </w:tcPr>
          <w:p>
            <w:pPr>
              <w:spacing w:after="0"/>
              <w:rPr>
                <w:sz w:val="19"/>
                <w:szCs w:val="19"/>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Reason</w:t>
            </w: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Disability</w:t>
            </w:r>
          </w:p>
        </w:tc>
      </w:tr>
      <w:tr>
        <w:trPr>
          <w:trHeight w:val="25"/>
        </w:trPr>
        <w:tc>
          <w:tcPr>
            <w:tcW w:w="2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 Benefit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 continuation</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18,871</w:t>
            </w:r>
          </w:p>
        </w:tc>
        <w:tc>
          <w:tcPr>
            <w:tcW w:w="140" w:type="dxa"/>
            <w:vAlign w:val="bottom"/>
          </w:tcPr>
          <w:p>
            <w:pPr>
              <w:spacing w:after="0"/>
              <w:rPr>
                <w:sz w:val="19"/>
                <w:szCs w:val="19"/>
                <w:color w:val="auto"/>
              </w:rPr>
            </w:pPr>
          </w:p>
        </w:tc>
        <w:tc>
          <w:tcPr>
            <w:tcW w:w="13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4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Accelerated Vesting of RSUs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792,751</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792,751</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470,612</w:t>
            </w:r>
          </w:p>
        </w:tc>
      </w:tr>
      <w:tr>
        <w:trPr>
          <w:trHeight w:val="219"/>
        </w:trPr>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Accelerated Vesting of Strategic PSUs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664,318</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664,318</w:t>
            </w:r>
          </w:p>
        </w:tc>
        <w:tc>
          <w:tcPr>
            <w:tcW w:w="180" w:type="dxa"/>
            <w:vAlign w:val="bottom"/>
          </w:tcPr>
          <w:p>
            <w:pPr>
              <w:spacing w:after="0"/>
              <w:rPr>
                <w:sz w:val="19"/>
                <w:szCs w:val="19"/>
                <w:color w:val="auto"/>
              </w:rPr>
            </w:pPr>
          </w:p>
        </w:tc>
        <w:tc>
          <w:tcPr>
            <w:tcW w:w="144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283,331</w:t>
            </w: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Accelerated Vesting of RTSR PSUs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685,982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685,982</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292,569</w:t>
            </w:r>
          </w:p>
        </w:tc>
      </w:tr>
      <w:tr>
        <w:trPr>
          <w:trHeight w:val="223"/>
        </w:trPr>
        <w:tc>
          <w:tcPr>
            <w:tcW w:w="2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568,871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3,206,922</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2,143,051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1,046,512</w:t>
            </w:r>
          </w:p>
        </w:tc>
      </w:tr>
    </w:tbl>
    <w:p>
      <w:pPr>
        <w:spacing w:after="0" w:line="276"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shows the potential payments upon a hypothetical termination or change in control of the Company effective as of December 31, 2025 for Christopher E. French.</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without</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Cause or</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140" w:type="dxa"/>
            <w:vAlign w:val="bottom"/>
          </w:tcPr>
          <w:p>
            <w:pPr>
              <w:spacing w:after="0"/>
              <w:rPr>
                <w:sz w:val="17"/>
                <w:szCs w:val="17"/>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9"/>
              </w:rPr>
              <w:t>Resignation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Resignation for</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7"/>
                <w:szCs w:val="17"/>
                <w:b w:val="1"/>
                <w:bCs w:val="1"/>
                <w:color w:val="auto"/>
                <w:w w:val="99"/>
              </w:rPr>
              <w:t>with</w:t>
            </w: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without</w:t>
            </w:r>
          </w:p>
        </w:tc>
        <w:tc>
          <w:tcPr>
            <w:tcW w:w="140" w:type="dxa"/>
            <w:vAlign w:val="bottom"/>
          </w:tcPr>
          <w:p>
            <w:pPr>
              <w:spacing w:after="0"/>
              <w:rPr>
                <w:sz w:val="17"/>
                <w:szCs w:val="17"/>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for Good</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Good Reason</w:t>
            </w:r>
          </w:p>
        </w:tc>
        <w:tc>
          <w:tcPr>
            <w:tcW w:w="20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180" w:type="dxa"/>
            <w:vAlign w:val="bottom"/>
          </w:tcPr>
          <w:p>
            <w:pPr>
              <w:spacing w:after="0"/>
              <w:rPr>
                <w:sz w:val="17"/>
                <w:szCs w:val="17"/>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Cause or</w:t>
            </w: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Cause prior to</w:t>
            </w:r>
          </w:p>
        </w:tc>
        <w:tc>
          <w:tcPr>
            <w:tcW w:w="140" w:type="dxa"/>
            <w:vAlign w:val="bottom"/>
          </w:tcPr>
          <w:p>
            <w:pPr>
              <w:spacing w:after="0"/>
              <w:rPr>
                <w:sz w:val="17"/>
                <w:szCs w:val="17"/>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Reason prior to</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after</w:t>
            </w:r>
          </w:p>
        </w:tc>
        <w:tc>
          <w:tcPr>
            <w:tcW w:w="20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Control</w:t>
            </w:r>
          </w:p>
        </w:tc>
        <w:tc>
          <w:tcPr>
            <w:tcW w:w="180" w:type="dxa"/>
            <w:vAlign w:val="bottom"/>
          </w:tcPr>
          <w:p>
            <w:pPr>
              <w:spacing w:after="0"/>
              <w:rPr>
                <w:sz w:val="17"/>
                <w:szCs w:val="17"/>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w w:val="99"/>
              </w:rPr>
              <w:t>Resignation</w:t>
            </w:r>
          </w:p>
        </w:tc>
        <w:tc>
          <w:tcPr>
            <w:tcW w:w="1140" w:type="dxa"/>
            <w:vAlign w:val="bottom"/>
          </w:tcPr>
          <w:p>
            <w:pPr>
              <w:spacing w:after="0"/>
              <w:rPr>
                <w:sz w:val="17"/>
                <w:szCs w:val="17"/>
                <w:color w:val="auto"/>
              </w:rPr>
            </w:pPr>
          </w:p>
        </w:tc>
      </w:tr>
      <w:tr>
        <w:trPr>
          <w:trHeight w:val="206"/>
        </w:trPr>
        <w:tc>
          <w:tcPr>
            <w:tcW w:w="2760" w:type="dxa"/>
            <w:vAlign w:val="bottom"/>
          </w:tcPr>
          <w:p>
            <w:pPr>
              <w:ind w:left="1140"/>
              <w:spacing w:after="0"/>
              <w:rPr>
                <w:sz w:val="20"/>
                <w:szCs w:val="20"/>
                <w:color w:val="auto"/>
              </w:rPr>
            </w:pPr>
            <w:r>
              <w:rPr>
                <w:rFonts w:ascii="Times New Roman" w:cs="Times New Roman" w:eastAsia="Times New Roman" w:hAnsi="Times New Roman"/>
                <w:sz w:val="17"/>
                <w:szCs w:val="17"/>
                <w:b w:val="1"/>
                <w:bCs w:val="1"/>
                <w:color w:val="auto"/>
              </w:rPr>
              <w:t>Type of</w:t>
            </w:r>
          </w:p>
        </w:tc>
        <w:tc>
          <w:tcPr>
            <w:tcW w:w="240" w:type="dxa"/>
            <w:vAlign w:val="bottom"/>
          </w:tcPr>
          <w:p>
            <w:pPr>
              <w:spacing w:after="0"/>
              <w:rPr>
                <w:sz w:val="17"/>
                <w:szCs w:val="17"/>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a Change in</w:t>
            </w:r>
          </w:p>
        </w:tc>
        <w:tc>
          <w:tcPr>
            <w:tcW w:w="140" w:type="dxa"/>
            <w:vAlign w:val="bottom"/>
          </w:tcPr>
          <w:p>
            <w:pPr>
              <w:spacing w:after="0"/>
              <w:rPr>
                <w:sz w:val="17"/>
                <w:szCs w:val="17"/>
                <w:color w:val="auto"/>
              </w:rPr>
            </w:pPr>
          </w:p>
        </w:tc>
        <w:tc>
          <w:tcPr>
            <w:tcW w:w="13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a Change in</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 Change in</w:t>
            </w:r>
          </w:p>
        </w:tc>
        <w:tc>
          <w:tcPr>
            <w:tcW w:w="20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with no</w:t>
            </w:r>
          </w:p>
        </w:tc>
        <w:tc>
          <w:tcPr>
            <w:tcW w:w="180" w:type="dxa"/>
            <w:vAlign w:val="bottom"/>
          </w:tcPr>
          <w:p>
            <w:pPr>
              <w:spacing w:after="0"/>
              <w:rPr>
                <w:sz w:val="17"/>
                <w:szCs w:val="17"/>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7"/>
                <w:szCs w:val="17"/>
                <w:b w:val="1"/>
                <w:bCs w:val="1"/>
                <w:color w:val="auto"/>
              </w:rPr>
              <w:t>without Good</w:t>
            </w:r>
          </w:p>
        </w:tc>
        <w:tc>
          <w:tcPr>
            <w:tcW w:w="11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Death or</w:t>
            </w:r>
          </w:p>
        </w:tc>
      </w:tr>
      <w:tr>
        <w:trPr>
          <w:trHeight w:val="227"/>
        </w:trPr>
        <w:tc>
          <w:tcPr>
            <w:tcW w:w="2760" w:type="dxa"/>
            <w:vAlign w:val="bottom"/>
          </w:tcPr>
          <w:p>
            <w:pPr>
              <w:ind w:left="1100"/>
              <w:spacing w:after="0"/>
              <w:rPr>
                <w:sz w:val="20"/>
                <w:szCs w:val="20"/>
                <w:color w:val="auto"/>
              </w:rPr>
            </w:pPr>
            <w:r>
              <w:rPr>
                <w:rFonts w:ascii="Times New Roman" w:cs="Times New Roman" w:eastAsia="Times New Roman" w:hAnsi="Times New Roman"/>
                <w:sz w:val="17"/>
                <w:szCs w:val="17"/>
                <w:b w:val="1"/>
                <w:bCs w:val="1"/>
                <w:color w:val="auto"/>
              </w:rPr>
              <w:t>Payment</w:t>
            </w:r>
          </w:p>
        </w:tc>
        <w:tc>
          <w:tcPr>
            <w:tcW w:w="240" w:type="dxa"/>
            <w:vAlign w:val="bottom"/>
          </w:tcPr>
          <w:p>
            <w:pPr>
              <w:spacing w:after="0"/>
              <w:rPr>
                <w:sz w:val="19"/>
                <w:szCs w:val="19"/>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8"/>
              </w:rPr>
              <w:t>Control</w:t>
            </w:r>
          </w:p>
        </w:tc>
        <w:tc>
          <w:tcPr>
            <w:tcW w:w="140" w:type="dxa"/>
            <w:vAlign w:val="bottom"/>
          </w:tcPr>
          <w:p>
            <w:pPr>
              <w:spacing w:after="0"/>
              <w:rPr>
                <w:sz w:val="19"/>
                <w:szCs w:val="19"/>
                <w:color w:val="auto"/>
              </w:rPr>
            </w:pPr>
          </w:p>
        </w:tc>
        <w:tc>
          <w:tcPr>
            <w:tcW w:w="13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8"/>
              </w:rPr>
              <w:t>Control</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Control</w:t>
            </w:r>
          </w:p>
        </w:tc>
        <w:tc>
          <w:tcPr>
            <w:tcW w:w="200" w:type="dxa"/>
            <w:vAlign w:val="bottom"/>
          </w:tcPr>
          <w:p>
            <w:pPr>
              <w:spacing w:after="0"/>
              <w:rPr>
                <w:sz w:val="19"/>
                <w:szCs w:val="19"/>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8"/>
              </w:rPr>
              <w:t>Termination</w:t>
            </w:r>
          </w:p>
        </w:tc>
        <w:tc>
          <w:tcPr>
            <w:tcW w:w="180" w:type="dxa"/>
            <w:vAlign w:val="bottom"/>
          </w:tcPr>
          <w:p>
            <w:pPr>
              <w:spacing w:after="0"/>
              <w:rPr>
                <w:sz w:val="19"/>
                <w:szCs w:val="19"/>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Reason</w:t>
            </w: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Disability</w:t>
            </w:r>
          </w:p>
        </w:tc>
      </w:tr>
      <w:tr>
        <w:trPr>
          <w:trHeight w:val="25"/>
        </w:trPr>
        <w:tc>
          <w:tcPr>
            <w:tcW w:w="2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 Benefit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 continuation</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13,135</w:t>
            </w:r>
          </w:p>
        </w:tc>
        <w:tc>
          <w:tcPr>
            <w:tcW w:w="140" w:type="dxa"/>
            <w:vAlign w:val="bottom"/>
          </w:tcPr>
          <w:p>
            <w:pPr>
              <w:spacing w:after="0"/>
              <w:rPr>
                <w:sz w:val="19"/>
                <w:szCs w:val="19"/>
                <w:color w:val="auto"/>
              </w:rPr>
            </w:pPr>
          </w:p>
        </w:tc>
        <w:tc>
          <w:tcPr>
            <w:tcW w:w="13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13,135</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4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Accelerated Vesting of RSUs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1,553,213</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1,553,213</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927,784</w:t>
            </w:r>
          </w:p>
        </w:tc>
      </w:tr>
      <w:tr>
        <w:trPr>
          <w:trHeight w:val="219"/>
        </w:trPr>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Accelerated Vesting of Strategic PSUs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4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Accelerated Vesting of RTSR PSUs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1,329,054</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1,329,054</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568,897</w:t>
            </w:r>
          </w:p>
        </w:tc>
      </w:tr>
      <w:tr>
        <w:trPr>
          <w:trHeight w:val="223"/>
        </w:trPr>
        <w:tc>
          <w:tcPr>
            <w:tcW w:w="2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463,135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3,705,402</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2,882,267</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1,496,681</w:t>
            </w:r>
          </w:p>
        </w:tc>
      </w:tr>
      <w:tr>
        <w:trPr>
          <w:trHeight w:val="847"/>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36</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8"/>
        </w:trPr>
        <w:tc>
          <w:tcPr>
            <w:tcW w:w="27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0" w:name="page41"/>
    <w:bookmarkEnd w:id="40"/>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shows the potential payments upon a hypothetical termination or change in control of the Company effective as of December 31, 2025 for James J. Volk.</w:t>
      </w:r>
    </w:p>
    <w:p>
      <w:pPr>
        <w:spacing w:after="0" w:line="199" w:lineRule="exact"/>
        <w:rPr>
          <w:sz w:val="20"/>
          <w:szCs w:val="20"/>
          <w:color w:val="auto"/>
        </w:rPr>
      </w:pPr>
    </w:p>
    <w:tbl>
      <w:tblPr>
        <w:tblLayout w:type="fixed"/>
        <w:tblInd w:w="1100" w:type="dxa"/>
        <w:tblCellMar>
          <w:top w:w="0" w:type="dxa"/>
          <w:left w:w="0" w:type="dxa"/>
          <w:bottom w:w="0" w:type="dxa"/>
          <w:right w:w="0" w:type="dxa"/>
        </w:tblCellMar>
      </w:tblPr>
      <w:tr>
        <w:trPr>
          <w:trHeight w:val="206"/>
        </w:trPr>
        <w:tc>
          <w:tcPr>
            <w:tcW w:w="1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1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1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without</w:t>
            </w:r>
          </w:p>
        </w:tc>
        <w:tc>
          <w:tcPr>
            <w:tcW w:w="1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1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Cause or</w:t>
            </w:r>
          </w:p>
        </w:tc>
        <w:tc>
          <w:tcPr>
            <w:tcW w:w="12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960" w:type="dxa"/>
            <w:vAlign w:val="bottom"/>
          </w:tcPr>
          <w:p>
            <w:pPr>
              <w:spacing w:after="0"/>
              <w:rPr>
                <w:sz w:val="17"/>
                <w:szCs w:val="17"/>
                <w:color w:val="auto"/>
              </w:rPr>
            </w:pPr>
          </w:p>
        </w:tc>
      </w:tr>
      <w:tr>
        <w:trPr>
          <w:trHeight w:val="206"/>
        </w:trPr>
        <w:tc>
          <w:tcPr>
            <w:tcW w:w="1320" w:type="dxa"/>
            <w:vAlign w:val="bottom"/>
          </w:tcPr>
          <w:p>
            <w:pPr>
              <w:spacing w:after="0"/>
              <w:rPr>
                <w:sz w:val="17"/>
                <w:szCs w:val="17"/>
                <w:color w:val="auto"/>
              </w:rPr>
            </w:pPr>
          </w:p>
        </w:tc>
        <w:tc>
          <w:tcPr>
            <w:tcW w:w="1920" w:type="dxa"/>
            <w:vAlign w:val="bottom"/>
          </w:tcPr>
          <w:p>
            <w:pPr>
              <w:jc w:val="center"/>
              <w:ind w:left="394"/>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Resignation</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Resignation for</w:t>
            </w:r>
          </w:p>
        </w:tc>
        <w:tc>
          <w:tcPr>
            <w:tcW w:w="12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with</w:t>
            </w:r>
          </w:p>
        </w:tc>
        <w:tc>
          <w:tcPr>
            <w:tcW w:w="960" w:type="dxa"/>
            <w:vAlign w:val="bottom"/>
          </w:tcPr>
          <w:p>
            <w:pPr>
              <w:spacing w:after="0"/>
              <w:rPr>
                <w:sz w:val="17"/>
                <w:szCs w:val="17"/>
                <w:color w:val="auto"/>
              </w:rPr>
            </w:pPr>
          </w:p>
        </w:tc>
      </w:tr>
      <w:tr>
        <w:trPr>
          <w:trHeight w:val="206"/>
        </w:trPr>
        <w:tc>
          <w:tcPr>
            <w:tcW w:w="1320" w:type="dxa"/>
            <w:vAlign w:val="bottom"/>
          </w:tcPr>
          <w:p>
            <w:pPr>
              <w:spacing w:after="0"/>
              <w:rPr>
                <w:sz w:val="17"/>
                <w:szCs w:val="17"/>
                <w:color w:val="auto"/>
              </w:rPr>
            </w:pPr>
          </w:p>
        </w:tc>
        <w:tc>
          <w:tcPr>
            <w:tcW w:w="1920" w:type="dxa"/>
            <w:vAlign w:val="bottom"/>
          </w:tcPr>
          <w:p>
            <w:pPr>
              <w:jc w:val="center"/>
              <w:ind w:left="394"/>
              <w:spacing w:after="0"/>
              <w:rPr>
                <w:sz w:val="20"/>
                <w:szCs w:val="20"/>
                <w:color w:val="auto"/>
              </w:rPr>
            </w:pPr>
            <w:r>
              <w:rPr>
                <w:rFonts w:ascii="Times New Roman" w:cs="Times New Roman" w:eastAsia="Times New Roman" w:hAnsi="Times New Roman"/>
                <w:sz w:val="17"/>
                <w:szCs w:val="17"/>
                <w:b w:val="1"/>
                <w:bCs w:val="1"/>
                <w:color w:val="auto"/>
              </w:rPr>
              <w:t>without</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 Good</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Good Reason</w:t>
            </w: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Cause or</w:t>
            </w:r>
          </w:p>
        </w:tc>
        <w:tc>
          <w:tcPr>
            <w:tcW w:w="960" w:type="dxa"/>
            <w:vAlign w:val="bottom"/>
          </w:tcPr>
          <w:p>
            <w:pPr>
              <w:spacing w:after="0"/>
              <w:rPr>
                <w:sz w:val="17"/>
                <w:szCs w:val="17"/>
                <w:color w:val="auto"/>
              </w:rPr>
            </w:pPr>
          </w:p>
        </w:tc>
      </w:tr>
      <w:tr>
        <w:trPr>
          <w:trHeight w:val="206"/>
        </w:trPr>
        <w:tc>
          <w:tcPr>
            <w:tcW w:w="1320" w:type="dxa"/>
            <w:vAlign w:val="bottom"/>
          </w:tcPr>
          <w:p>
            <w:pPr>
              <w:spacing w:after="0"/>
              <w:rPr>
                <w:sz w:val="17"/>
                <w:szCs w:val="17"/>
                <w:color w:val="auto"/>
              </w:rPr>
            </w:pPr>
          </w:p>
        </w:tc>
        <w:tc>
          <w:tcPr>
            <w:tcW w:w="1920" w:type="dxa"/>
            <w:vAlign w:val="bottom"/>
          </w:tcPr>
          <w:p>
            <w:pPr>
              <w:jc w:val="center"/>
              <w:ind w:left="374"/>
              <w:spacing w:after="0"/>
              <w:rPr>
                <w:sz w:val="20"/>
                <w:szCs w:val="20"/>
                <w:color w:val="auto"/>
              </w:rPr>
            </w:pPr>
            <w:r>
              <w:rPr>
                <w:rFonts w:ascii="Times New Roman" w:cs="Times New Roman" w:eastAsia="Times New Roman" w:hAnsi="Times New Roman"/>
                <w:sz w:val="17"/>
                <w:szCs w:val="17"/>
                <w:b w:val="1"/>
                <w:bCs w:val="1"/>
                <w:color w:val="auto"/>
              </w:rPr>
              <w:t>Cause prior to</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Reason prior to</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after</w:t>
            </w: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Control</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Resignation</w:t>
            </w:r>
          </w:p>
        </w:tc>
        <w:tc>
          <w:tcPr>
            <w:tcW w:w="960" w:type="dxa"/>
            <w:vAlign w:val="bottom"/>
          </w:tcPr>
          <w:p>
            <w:pPr>
              <w:spacing w:after="0"/>
              <w:rPr>
                <w:sz w:val="17"/>
                <w:szCs w:val="17"/>
                <w:color w:val="auto"/>
              </w:rPr>
            </w:pPr>
          </w:p>
        </w:tc>
      </w:tr>
      <w:tr>
        <w:trPr>
          <w:trHeight w:val="206"/>
        </w:trPr>
        <w:tc>
          <w:tcPr>
            <w:tcW w:w="1320" w:type="dxa"/>
            <w:vAlign w:val="bottom"/>
          </w:tcPr>
          <w:p>
            <w:pPr>
              <w:jc w:val="center"/>
              <w:ind w:right="614"/>
              <w:spacing w:after="0"/>
              <w:rPr>
                <w:sz w:val="20"/>
                <w:szCs w:val="20"/>
                <w:color w:val="auto"/>
              </w:rPr>
            </w:pPr>
            <w:r>
              <w:rPr>
                <w:rFonts w:ascii="Times New Roman" w:cs="Times New Roman" w:eastAsia="Times New Roman" w:hAnsi="Times New Roman"/>
                <w:sz w:val="17"/>
                <w:szCs w:val="17"/>
                <w:b w:val="1"/>
                <w:bCs w:val="1"/>
                <w:color w:val="auto"/>
                <w:w w:val="97"/>
              </w:rPr>
              <w:t>Type of</w:t>
            </w:r>
          </w:p>
        </w:tc>
        <w:tc>
          <w:tcPr>
            <w:tcW w:w="1920" w:type="dxa"/>
            <w:vAlign w:val="bottom"/>
          </w:tcPr>
          <w:p>
            <w:pPr>
              <w:jc w:val="center"/>
              <w:ind w:left="394"/>
              <w:spacing w:after="0"/>
              <w:rPr>
                <w:sz w:val="20"/>
                <w:szCs w:val="20"/>
                <w:color w:val="auto"/>
              </w:rPr>
            </w:pPr>
            <w:r>
              <w:rPr>
                <w:rFonts w:ascii="Times New Roman" w:cs="Times New Roman" w:eastAsia="Times New Roman" w:hAnsi="Times New Roman"/>
                <w:sz w:val="17"/>
                <w:szCs w:val="17"/>
                <w:b w:val="1"/>
                <w:bCs w:val="1"/>
                <w:color w:val="auto"/>
              </w:rPr>
              <w:t>a Change in</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 Change in</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 Change in</w:t>
            </w: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with no</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without Good</w:t>
            </w:r>
          </w:p>
        </w:tc>
        <w:tc>
          <w:tcPr>
            <w:tcW w:w="960" w:type="dxa"/>
            <w:vAlign w:val="bottom"/>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Death or</w:t>
            </w:r>
          </w:p>
        </w:tc>
      </w:tr>
      <w:tr>
        <w:trPr>
          <w:trHeight w:val="227"/>
        </w:trPr>
        <w:tc>
          <w:tcPr>
            <w:tcW w:w="132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w w:val="99"/>
              </w:rPr>
              <w:t>Payment</w:t>
            </w:r>
          </w:p>
        </w:tc>
        <w:tc>
          <w:tcPr>
            <w:tcW w:w="1920" w:type="dxa"/>
            <w:vAlign w:val="bottom"/>
          </w:tcPr>
          <w:p>
            <w:pPr>
              <w:jc w:val="center"/>
              <w:ind w:left="394"/>
              <w:spacing w:after="0"/>
              <w:rPr>
                <w:sz w:val="20"/>
                <w:szCs w:val="20"/>
                <w:color w:val="auto"/>
              </w:rPr>
            </w:pPr>
            <w:r>
              <w:rPr>
                <w:rFonts w:ascii="Times New Roman" w:cs="Times New Roman" w:eastAsia="Times New Roman" w:hAnsi="Times New Roman"/>
                <w:sz w:val="17"/>
                <w:szCs w:val="17"/>
                <w:b w:val="1"/>
                <w:bCs w:val="1"/>
                <w:color w:val="auto"/>
                <w:w w:val="98"/>
              </w:rPr>
              <w:t>Control</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Control</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Control</w:t>
            </w: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Termination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Reason</w:t>
            </w:r>
          </w:p>
        </w:tc>
        <w:tc>
          <w:tcPr>
            <w:tcW w:w="960" w:type="dxa"/>
            <w:vAlign w:val="bottom"/>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Disability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147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p>
      <w:pPr>
        <w:spacing w:after="0" w:line="35" w:lineRule="exact"/>
        <w:rPr>
          <w:sz w:val="20"/>
          <w:szCs w:val="20"/>
          <w:color w:val="auto"/>
        </w:rPr>
      </w:pPr>
    </w:p>
    <w:p>
      <w:pPr>
        <w:ind w:left="20"/>
        <w:spacing w:after="0"/>
        <w:tabs>
          <w:tab w:leader="none" w:pos="2820" w:val="left"/>
        </w:tabs>
        <w:rPr>
          <w:sz w:val="20"/>
          <w:szCs w:val="20"/>
          <w:color w:val="auto"/>
        </w:rPr>
      </w:pPr>
      <w:r>
        <w:rPr>
          <w:rFonts w:ascii="Times New Roman" w:cs="Times New Roman" w:eastAsia="Times New Roman" w:hAnsi="Times New Roman"/>
          <w:sz w:val="17"/>
          <w:szCs w:val="17"/>
          <w:color w:val="auto"/>
        </w:rPr>
        <w:t>Severance Benefit</w:t>
      </w:r>
      <w:r>
        <w:rPr>
          <w:sz w:val="20"/>
          <w:szCs w:val="20"/>
          <w:color w:val="auto"/>
        </w:rPr>
        <w:tab/>
      </w:r>
      <w:r>
        <w:rPr>
          <w:rFonts w:ascii="Times New Roman" w:cs="Times New Roman" w:eastAsia="Times New Roman" w:hAnsi="Times New Roman"/>
          <w:sz w:val="16"/>
          <w:szCs w:val="16"/>
          <w:color w:val="auto"/>
        </w:rPr>
        <w:t>$</w:t>
      </w:r>
    </w:p>
    <w:p>
      <w:pPr>
        <w:spacing w:after="0" w:line="37" w:lineRule="exact"/>
        <w:rPr>
          <w:sz w:val="20"/>
          <w:szCs w:val="20"/>
          <w:color w:val="auto"/>
        </w:rPr>
      </w:pPr>
    </w:p>
    <w:p>
      <w:pPr>
        <w:ind w:left="20" w:right="400"/>
        <w:spacing w:after="0" w:line="316" w:lineRule="auto"/>
        <w:rPr>
          <w:sz w:val="20"/>
          <w:szCs w:val="20"/>
          <w:color w:val="auto"/>
        </w:rPr>
      </w:pPr>
      <w:r>
        <w:rPr>
          <w:rFonts w:ascii="Times New Roman" w:cs="Times New Roman" w:eastAsia="Times New Roman" w:hAnsi="Times New Roman"/>
          <w:sz w:val="17"/>
          <w:szCs w:val="17"/>
          <w:color w:val="auto"/>
        </w:rPr>
        <w:t>Healthcare continuation Accelerated Vesting of RSUs Accelerated Vesting of Strategic PSUs Accelerated Vesting of RTSR PSUs</w:t>
      </w:r>
    </w:p>
    <w:p>
      <w:pPr>
        <w:spacing w:after="0" w:line="2" w:lineRule="exact"/>
        <w:rPr>
          <w:sz w:val="20"/>
          <w:szCs w:val="20"/>
          <w:color w:val="auto"/>
        </w:rPr>
      </w:pPr>
    </w:p>
    <w:p>
      <w:pPr>
        <w:ind w:left="180"/>
        <w:spacing w:after="0"/>
        <w:tabs>
          <w:tab w:leader="none" w:pos="2820" w:val="left"/>
        </w:tabs>
        <w:rPr>
          <w:sz w:val="20"/>
          <w:szCs w:val="20"/>
          <w:color w:val="auto"/>
        </w:rPr>
      </w:pPr>
      <w:r>
        <w:rPr>
          <w:rFonts w:ascii="Times New Roman" w:cs="Times New Roman" w:eastAsia="Times New Roman" w:hAnsi="Times New Roman"/>
          <w:sz w:val="16"/>
          <w:szCs w:val="16"/>
          <w:color w:val="auto"/>
        </w:rPr>
        <w:t>Total</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440,910</w:t>
            </w:r>
          </w:p>
        </w:tc>
        <w:tc>
          <w:tcPr>
            <w:tcW w:w="64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705,456</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tcPr>
          <w:p>
            <w:pPr>
              <w:jc w:val="right"/>
              <w:ind w:right="414"/>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13,389</w:t>
            </w:r>
          </w:p>
        </w:tc>
        <w:tc>
          <w:tcPr>
            <w:tcW w:w="640" w:type="dxa"/>
            <w:vAlign w:val="bottom"/>
          </w:tcPr>
          <w:p>
            <w:pPr>
              <w:spacing w:after="0"/>
              <w:rPr>
                <w:sz w:val="22"/>
                <w:szCs w:val="22"/>
                <w:color w:val="auto"/>
              </w:rPr>
            </w:pPr>
          </w:p>
        </w:tc>
        <w:tc>
          <w:tcPr>
            <w:tcW w:w="11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13,389</w:t>
            </w: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22"/>
                <w:szCs w:val="22"/>
                <w:color w:val="auto"/>
              </w:rPr>
            </w:pPr>
          </w:p>
        </w:tc>
        <w:tc>
          <w:tcPr>
            <w:tcW w:w="11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22"/>
                <w:szCs w:val="22"/>
                <w:color w:val="auto"/>
              </w:rPr>
            </w:pPr>
          </w:p>
        </w:tc>
        <w:tc>
          <w:tcPr>
            <w:tcW w:w="11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686,167</w:t>
            </w: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686,167</w:t>
            </w:r>
          </w:p>
        </w:tc>
        <w:tc>
          <w:tcPr>
            <w:tcW w:w="640" w:type="dxa"/>
            <w:vAlign w:val="bottom"/>
          </w:tcPr>
          <w:p>
            <w:pPr>
              <w:spacing w:after="0"/>
              <w:rPr>
                <w:sz w:val="22"/>
                <w:szCs w:val="22"/>
                <w:color w:val="auto"/>
              </w:rPr>
            </w:pPr>
          </w:p>
        </w:tc>
        <w:tc>
          <w:tcPr>
            <w:tcW w:w="11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411,332</w:t>
            </w:r>
          </w:p>
        </w:tc>
      </w:tr>
      <w:tr>
        <w:trPr>
          <w:trHeight w:val="258"/>
        </w:trPr>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22"/>
                <w:szCs w:val="22"/>
                <w:color w:val="auto"/>
              </w:rPr>
            </w:pPr>
          </w:p>
        </w:tc>
        <w:tc>
          <w:tcPr>
            <w:tcW w:w="11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126,709</w:t>
            </w: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126,709</w:t>
            </w:r>
          </w:p>
        </w:tc>
        <w:tc>
          <w:tcPr>
            <w:tcW w:w="640" w:type="dxa"/>
            <w:vAlign w:val="bottom"/>
          </w:tcPr>
          <w:p>
            <w:pPr>
              <w:spacing w:after="0"/>
              <w:rPr>
                <w:sz w:val="22"/>
                <w:szCs w:val="22"/>
                <w:color w:val="auto"/>
              </w:rPr>
            </w:pPr>
          </w:p>
        </w:tc>
        <w:tc>
          <w:tcPr>
            <w:tcW w:w="11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54,186</w:t>
            </w:r>
          </w:p>
        </w:tc>
      </w:tr>
      <w:tr>
        <w:trPr>
          <w:trHeight w:val="258"/>
        </w:trPr>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22"/>
                <w:szCs w:val="22"/>
                <w:color w:val="auto"/>
              </w:rPr>
            </w:pPr>
          </w:p>
        </w:tc>
        <w:tc>
          <w:tcPr>
            <w:tcW w:w="11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583,549</w:t>
            </w: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583,549</w:t>
            </w:r>
          </w:p>
        </w:tc>
        <w:tc>
          <w:tcPr>
            <w:tcW w:w="640" w:type="dxa"/>
            <w:vAlign w:val="bottom"/>
          </w:tcPr>
          <w:p>
            <w:pPr>
              <w:spacing w:after="0"/>
              <w:rPr>
                <w:sz w:val="22"/>
                <w:szCs w:val="22"/>
                <w:color w:val="auto"/>
              </w:rPr>
            </w:pPr>
          </w:p>
        </w:tc>
        <w:tc>
          <w:tcPr>
            <w:tcW w:w="11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249,559</w:t>
            </w:r>
          </w:p>
        </w:tc>
      </w:tr>
      <w:tr>
        <w:trPr>
          <w:trHeight w:val="258"/>
        </w:trPr>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454,299</w:t>
            </w:r>
          </w:p>
        </w:tc>
        <w:tc>
          <w:tcPr>
            <w:tcW w:w="64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2,115,270</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1,396,425</w:t>
            </w:r>
          </w:p>
        </w:tc>
        <w:tc>
          <w:tcPr>
            <w:tcW w:w="64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715,077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-654685</wp:posOffset>
            </wp:positionV>
            <wp:extent cx="7138670" cy="163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-327025</wp:posOffset>
            </wp:positionV>
            <wp:extent cx="7138670" cy="163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460"/>
          </w:cols>
          <w:pgMar w:left="320" w:top="1103" w:right="339" w:bottom="1440" w:gutter="0" w:footer="0" w:header="0"/>
          <w:type w:val="continuous"/>
        </w:sectPr>
      </w:pPr>
    </w:p>
    <w:p>
      <w:pPr>
        <w:spacing w:after="0" w:line="80"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shows the potential payments upon a hypothetical termination or change in control of the Company effective as of December 31, 2025 for Richard W. Mason.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without</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Cause or</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140" w:type="dxa"/>
            <w:vAlign w:val="bottom"/>
          </w:tcPr>
          <w:p>
            <w:pPr>
              <w:spacing w:after="0"/>
              <w:rPr>
                <w:sz w:val="17"/>
                <w:szCs w:val="17"/>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9"/>
              </w:rPr>
              <w:t>Resignation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Resignation for</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7"/>
                <w:szCs w:val="17"/>
                <w:b w:val="1"/>
                <w:bCs w:val="1"/>
                <w:color w:val="auto"/>
                <w:w w:val="99"/>
              </w:rPr>
              <w:t>with</w:t>
            </w: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without</w:t>
            </w:r>
          </w:p>
        </w:tc>
        <w:tc>
          <w:tcPr>
            <w:tcW w:w="140" w:type="dxa"/>
            <w:vAlign w:val="bottom"/>
          </w:tcPr>
          <w:p>
            <w:pPr>
              <w:spacing w:after="0"/>
              <w:rPr>
                <w:sz w:val="17"/>
                <w:szCs w:val="17"/>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for Good</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Good Reason</w:t>
            </w:r>
          </w:p>
        </w:tc>
        <w:tc>
          <w:tcPr>
            <w:tcW w:w="20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180" w:type="dxa"/>
            <w:vAlign w:val="bottom"/>
          </w:tcPr>
          <w:p>
            <w:pPr>
              <w:spacing w:after="0"/>
              <w:rPr>
                <w:sz w:val="17"/>
                <w:szCs w:val="17"/>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Cause or</w:t>
            </w: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Cause prior to</w:t>
            </w:r>
          </w:p>
        </w:tc>
        <w:tc>
          <w:tcPr>
            <w:tcW w:w="140" w:type="dxa"/>
            <w:vAlign w:val="bottom"/>
          </w:tcPr>
          <w:p>
            <w:pPr>
              <w:spacing w:after="0"/>
              <w:rPr>
                <w:sz w:val="17"/>
                <w:szCs w:val="17"/>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Reason prior to</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after</w:t>
            </w:r>
          </w:p>
        </w:tc>
        <w:tc>
          <w:tcPr>
            <w:tcW w:w="20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Control</w:t>
            </w:r>
          </w:p>
        </w:tc>
        <w:tc>
          <w:tcPr>
            <w:tcW w:w="180" w:type="dxa"/>
            <w:vAlign w:val="bottom"/>
          </w:tcPr>
          <w:p>
            <w:pPr>
              <w:spacing w:after="0"/>
              <w:rPr>
                <w:sz w:val="17"/>
                <w:szCs w:val="17"/>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w w:val="99"/>
              </w:rPr>
              <w:t>Resignation</w:t>
            </w:r>
          </w:p>
        </w:tc>
        <w:tc>
          <w:tcPr>
            <w:tcW w:w="1140" w:type="dxa"/>
            <w:vAlign w:val="bottom"/>
          </w:tcPr>
          <w:p>
            <w:pPr>
              <w:spacing w:after="0"/>
              <w:rPr>
                <w:sz w:val="17"/>
                <w:szCs w:val="17"/>
                <w:color w:val="auto"/>
              </w:rPr>
            </w:pPr>
          </w:p>
        </w:tc>
      </w:tr>
      <w:tr>
        <w:trPr>
          <w:trHeight w:val="206"/>
        </w:trPr>
        <w:tc>
          <w:tcPr>
            <w:tcW w:w="2760" w:type="dxa"/>
            <w:vAlign w:val="bottom"/>
          </w:tcPr>
          <w:p>
            <w:pPr>
              <w:ind w:left="1140"/>
              <w:spacing w:after="0"/>
              <w:rPr>
                <w:sz w:val="20"/>
                <w:szCs w:val="20"/>
                <w:color w:val="auto"/>
              </w:rPr>
            </w:pPr>
            <w:r>
              <w:rPr>
                <w:rFonts w:ascii="Times New Roman" w:cs="Times New Roman" w:eastAsia="Times New Roman" w:hAnsi="Times New Roman"/>
                <w:sz w:val="17"/>
                <w:szCs w:val="17"/>
                <w:b w:val="1"/>
                <w:bCs w:val="1"/>
                <w:color w:val="auto"/>
              </w:rPr>
              <w:t>Type of</w:t>
            </w:r>
          </w:p>
        </w:tc>
        <w:tc>
          <w:tcPr>
            <w:tcW w:w="240" w:type="dxa"/>
            <w:vAlign w:val="bottom"/>
          </w:tcPr>
          <w:p>
            <w:pPr>
              <w:spacing w:after="0"/>
              <w:rPr>
                <w:sz w:val="17"/>
                <w:szCs w:val="17"/>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a Change in</w:t>
            </w:r>
          </w:p>
        </w:tc>
        <w:tc>
          <w:tcPr>
            <w:tcW w:w="140" w:type="dxa"/>
            <w:vAlign w:val="bottom"/>
          </w:tcPr>
          <w:p>
            <w:pPr>
              <w:spacing w:after="0"/>
              <w:rPr>
                <w:sz w:val="17"/>
                <w:szCs w:val="17"/>
                <w:color w:val="auto"/>
              </w:rPr>
            </w:pPr>
          </w:p>
        </w:tc>
        <w:tc>
          <w:tcPr>
            <w:tcW w:w="13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a Change in</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 Change in</w:t>
            </w:r>
          </w:p>
        </w:tc>
        <w:tc>
          <w:tcPr>
            <w:tcW w:w="20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with no</w:t>
            </w:r>
          </w:p>
        </w:tc>
        <w:tc>
          <w:tcPr>
            <w:tcW w:w="180" w:type="dxa"/>
            <w:vAlign w:val="bottom"/>
          </w:tcPr>
          <w:p>
            <w:pPr>
              <w:spacing w:after="0"/>
              <w:rPr>
                <w:sz w:val="17"/>
                <w:szCs w:val="17"/>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7"/>
                <w:szCs w:val="17"/>
                <w:b w:val="1"/>
                <w:bCs w:val="1"/>
                <w:color w:val="auto"/>
              </w:rPr>
              <w:t>without Good</w:t>
            </w:r>
          </w:p>
        </w:tc>
        <w:tc>
          <w:tcPr>
            <w:tcW w:w="11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Death or</w:t>
            </w:r>
          </w:p>
        </w:tc>
      </w:tr>
      <w:tr>
        <w:trPr>
          <w:trHeight w:val="227"/>
        </w:trPr>
        <w:tc>
          <w:tcPr>
            <w:tcW w:w="2760" w:type="dxa"/>
            <w:vAlign w:val="bottom"/>
          </w:tcPr>
          <w:p>
            <w:pPr>
              <w:ind w:left="1100"/>
              <w:spacing w:after="0"/>
              <w:rPr>
                <w:sz w:val="20"/>
                <w:szCs w:val="20"/>
                <w:color w:val="auto"/>
              </w:rPr>
            </w:pPr>
            <w:r>
              <w:rPr>
                <w:rFonts w:ascii="Times New Roman" w:cs="Times New Roman" w:eastAsia="Times New Roman" w:hAnsi="Times New Roman"/>
                <w:sz w:val="17"/>
                <w:szCs w:val="17"/>
                <w:b w:val="1"/>
                <w:bCs w:val="1"/>
                <w:color w:val="auto"/>
              </w:rPr>
              <w:t>Payment</w:t>
            </w:r>
          </w:p>
        </w:tc>
        <w:tc>
          <w:tcPr>
            <w:tcW w:w="240" w:type="dxa"/>
            <w:vAlign w:val="bottom"/>
          </w:tcPr>
          <w:p>
            <w:pPr>
              <w:spacing w:after="0"/>
              <w:rPr>
                <w:sz w:val="19"/>
                <w:szCs w:val="19"/>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8"/>
              </w:rPr>
              <w:t>Control</w:t>
            </w:r>
          </w:p>
        </w:tc>
        <w:tc>
          <w:tcPr>
            <w:tcW w:w="140" w:type="dxa"/>
            <w:vAlign w:val="bottom"/>
          </w:tcPr>
          <w:p>
            <w:pPr>
              <w:spacing w:after="0"/>
              <w:rPr>
                <w:sz w:val="19"/>
                <w:szCs w:val="19"/>
                <w:color w:val="auto"/>
              </w:rPr>
            </w:pPr>
          </w:p>
        </w:tc>
        <w:tc>
          <w:tcPr>
            <w:tcW w:w="13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8"/>
              </w:rPr>
              <w:t>Control</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Control</w:t>
            </w:r>
          </w:p>
        </w:tc>
        <w:tc>
          <w:tcPr>
            <w:tcW w:w="200" w:type="dxa"/>
            <w:vAlign w:val="bottom"/>
          </w:tcPr>
          <w:p>
            <w:pPr>
              <w:spacing w:after="0"/>
              <w:rPr>
                <w:sz w:val="19"/>
                <w:szCs w:val="19"/>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8"/>
              </w:rPr>
              <w:t>Termination</w:t>
            </w:r>
          </w:p>
        </w:tc>
        <w:tc>
          <w:tcPr>
            <w:tcW w:w="180" w:type="dxa"/>
            <w:vAlign w:val="bottom"/>
          </w:tcPr>
          <w:p>
            <w:pPr>
              <w:spacing w:after="0"/>
              <w:rPr>
                <w:sz w:val="19"/>
                <w:szCs w:val="19"/>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Reason</w:t>
            </w: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Disability</w:t>
            </w:r>
          </w:p>
        </w:tc>
      </w:tr>
      <w:tr>
        <w:trPr>
          <w:trHeight w:val="25"/>
        </w:trPr>
        <w:tc>
          <w:tcPr>
            <w:tcW w:w="2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 Benefit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356,454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534,681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 continuation</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13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44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Accelerated Vesting of RSUs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394,775</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394,775</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236,595</w:t>
            </w:r>
          </w:p>
        </w:tc>
      </w:tr>
      <w:tr>
        <w:trPr>
          <w:trHeight w:val="258"/>
        </w:trPr>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Accelerated Vesting of Strategic PSUs</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13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300,375</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300,375</w:t>
            </w:r>
          </w:p>
        </w:tc>
        <w:tc>
          <w:tcPr>
            <w:tcW w:w="180" w:type="dxa"/>
            <w:vAlign w:val="bottom"/>
          </w:tcPr>
          <w:p>
            <w:pPr>
              <w:spacing w:after="0"/>
              <w:rPr>
                <w:sz w:val="22"/>
                <w:szCs w:val="22"/>
                <w:color w:val="auto"/>
              </w:rPr>
            </w:pPr>
          </w:p>
        </w:tc>
        <w:tc>
          <w:tcPr>
            <w:tcW w:w="144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128,108</w:t>
            </w:r>
          </w:p>
        </w:tc>
      </w:tr>
      <w:tr>
        <w:trPr>
          <w:trHeight w:val="258"/>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Accelerated Vesting of RTSR PSUs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335,275</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335,275</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142,992</w:t>
            </w:r>
          </w:p>
        </w:tc>
      </w:tr>
      <w:tr>
        <w:trPr>
          <w:trHeight w:val="258"/>
        </w:trPr>
        <w:tc>
          <w:tcPr>
            <w:tcW w:w="2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356,454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1,565,106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1,030,425</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507,695</w:t>
            </w:r>
          </w:p>
        </w:tc>
      </w:tr>
      <w:tr>
        <w:trPr>
          <w:trHeight w:val="851"/>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37</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8"/>
        </w:trPr>
        <w:tc>
          <w:tcPr>
            <w:tcW w:w="27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41" w:name="page42"/>
    <w:bookmarkEnd w:id="41"/>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shows the potential payments upon a hypothetical termination or change in control of the Company effective as of December 31, 2025 for Elaine M. Cheng.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without</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Cause or</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140" w:type="dxa"/>
            <w:vAlign w:val="bottom"/>
          </w:tcPr>
          <w:p>
            <w:pPr>
              <w:spacing w:after="0"/>
              <w:rPr>
                <w:sz w:val="17"/>
                <w:szCs w:val="17"/>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9"/>
              </w:rPr>
              <w:t>Resignation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Resignation for</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7"/>
                <w:szCs w:val="17"/>
                <w:b w:val="1"/>
                <w:bCs w:val="1"/>
                <w:color w:val="auto"/>
                <w:w w:val="99"/>
              </w:rPr>
              <w:t>with</w:t>
            </w: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without</w:t>
            </w:r>
          </w:p>
        </w:tc>
        <w:tc>
          <w:tcPr>
            <w:tcW w:w="140" w:type="dxa"/>
            <w:vAlign w:val="bottom"/>
          </w:tcPr>
          <w:p>
            <w:pPr>
              <w:spacing w:after="0"/>
              <w:rPr>
                <w:sz w:val="17"/>
                <w:szCs w:val="17"/>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for Good</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Good Reason</w:t>
            </w:r>
          </w:p>
        </w:tc>
        <w:tc>
          <w:tcPr>
            <w:tcW w:w="20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180" w:type="dxa"/>
            <w:vAlign w:val="bottom"/>
          </w:tcPr>
          <w:p>
            <w:pPr>
              <w:spacing w:after="0"/>
              <w:rPr>
                <w:sz w:val="17"/>
                <w:szCs w:val="17"/>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Cause or</w:t>
            </w:r>
          </w:p>
        </w:tc>
        <w:tc>
          <w:tcPr>
            <w:tcW w:w="1140" w:type="dxa"/>
            <w:vAlign w:val="bottom"/>
          </w:tcPr>
          <w:p>
            <w:pPr>
              <w:spacing w:after="0"/>
              <w:rPr>
                <w:sz w:val="17"/>
                <w:szCs w:val="17"/>
                <w:color w:val="auto"/>
              </w:rPr>
            </w:pPr>
          </w:p>
        </w:tc>
      </w:tr>
      <w:tr>
        <w:trPr>
          <w:trHeight w:val="206"/>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Cause prior to</w:t>
            </w:r>
          </w:p>
        </w:tc>
        <w:tc>
          <w:tcPr>
            <w:tcW w:w="140" w:type="dxa"/>
            <w:vAlign w:val="bottom"/>
          </w:tcPr>
          <w:p>
            <w:pPr>
              <w:spacing w:after="0"/>
              <w:rPr>
                <w:sz w:val="17"/>
                <w:szCs w:val="17"/>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Reason prior to</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after</w:t>
            </w:r>
          </w:p>
        </w:tc>
        <w:tc>
          <w:tcPr>
            <w:tcW w:w="20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Control</w:t>
            </w:r>
          </w:p>
        </w:tc>
        <w:tc>
          <w:tcPr>
            <w:tcW w:w="180" w:type="dxa"/>
            <w:vAlign w:val="bottom"/>
          </w:tcPr>
          <w:p>
            <w:pPr>
              <w:spacing w:after="0"/>
              <w:rPr>
                <w:sz w:val="17"/>
                <w:szCs w:val="17"/>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w w:val="99"/>
              </w:rPr>
              <w:t>Resignation</w:t>
            </w:r>
          </w:p>
        </w:tc>
        <w:tc>
          <w:tcPr>
            <w:tcW w:w="1140" w:type="dxa"/>
            <w:vAlign w:val="bottom"/>
          </w:tcPr>
          <w:p>
            <w:pPr>
              <w:spacing w:after="0"/>
              <w:rPr>
                <w:sz w:val="17"/>
                <w:szCs w:val="17"/>
                <w:color w:val="auto"/>
              </w:rPr>
            </w:pPr>
          </w:p>
        </w:tc>
      </w:tr>
      <w:tr>
        <w:trPr>
          <w:trHeight w:val="206"/>
        </w:trPr>
        <w:tc>
          <w:tcPr>
            <w:tcW w:w="2760" w:type="dxa"/>
            <w:vAlign w:val="bottom"/>
          </w:tcPr>
          <w:p>
            <w:pPr>
              <w:ind w:left="1140"/>
              <w:spacing w:after="0"/>
              <w:rPr>
                <w:sz w:val="20"/>
                <w:szCs w:val="20"/>
                <w:color w:val="auto"/>
              </w:rPr>
            </w:pPr>
            <w:r>
              <w:rPr>
                <w:rFonts w:ascii="Times New Roman" w:cs="Times New Roman" w:eastAsia="Times New Roman" w:hAnsi="Times New Roman"/>
                <w:sz w:val="17"/>
                <w:szCs w:val="17"/>
                <w:b w:val="1"/>
                <w:bCs w:val="1"/>
                <w:color w:val="auto"/>
              </w:rPr>
              <w:t>Type of</w:t>
            </w:r>
          </w:p>
        </w:tc>
        <w:tc>
          <w:tcPr>
            <w:tcW w:w="240" w:type="dxa"/>
            <w:vAlign w:val="bottom"/>
          </w:tcPr>
          <w:p>
            <w:pPr>
              <w:spacing w:after="0"/>
              <w:rPr>
                <w:sz w:val="17"/>
                <w:szCs w:val="17"/>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a Change in</w:t>
            </w:r>
          </w:p>
        </w:tc>
        <w:tc>
          <w:tcPr>
            <w:tcW w:w="140" w:type="dxa"/>
            <w:vAlign w:val="bottom"/>
          </w:tcPr>
          <w:p>
            <w:pPr>
              <w:spacing w:after="0"/>
              <w:rPr>
                <w:sz w:val="17"/>
                <w:szCs w:val="17"/>
                <w:color w:val="auto"/>
              </w:rPr>
            </w:pPr>
          </w:p>
        </w:tc>
        <w:tc>
          <w:tcPr>
            <w:tcW w:w="13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a Change in</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 Change in</w:t>
            </w:r>
          </w:p>
        </w:tc>
        <w:tc>
          <w:tcPr>
            <w:tcW w:w="20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with no</w:t>
            </w:r>
          </w:p>
        </w:tc>
        <w:tc>
          <w:tcPr>
            <w:tcW w:w="180" w:type="dxa"/>
            <w:vAlign w:val="bottom"/>
          </w:tcPr>
          <w:p>
            <w:pPr>
              <w:spacing w:after="0"/>
              <w:rPr>
                <w:sz w:val="17"/>
                <w:szCs w:val="17"/>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7"/>
                <w:szCs w:val="17"/>
                <w:b w:val="1"/>
                <w:bCs w:val="1"/>
                <w:color w:val="auto"/>
              </w:rPr>
              <w:t>without Good</w:t>
            </w:r>
          </w:p>
        </w:tc>
        <w:tc>
          <w:tcPr>
            <w:tcW w:w="11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Death or</w:t>
            </w:r>
          </w:p>
        </w:tc>
      </w:tr>
      <w:tr>
        <w:trPr>
          <w:trHeight w:val="227"/>
        </w:trPr>
        <w:tc>
          <w:tcPr>
            <w:tcW w:w="2760" w:type="dxa"/>
            <w:vAlign w:val="bottom"/>
          </w:tcPr>
          <w:p>
            <w:pPr>
              <w:ind w:left="1100"/>
              <w:spacing w:after="0"/>
              <w:rPr>
                <w:sz w:val="20"/>
                <w:szCs w:val="20"/>
                <w:color w:val="auto"/>
              </w:rPr>
            </w:pPr>
            <w:r>
              <w:rPr>
                <w:rFonts w:ascii="Times New Roman" w:cs="Times New Roman" w:eastAsia="Times New Roman" w:hAnsi="Times New Roman"/>
                <w:sz w:val="17"/>
                <w:szCs w:val="17"/>
                <w:b w:val="1"/>
                <w:bCs w:val="1"/>
                <w:color w:val="auto"/>
              </w:rPr>
              <w:t>Payment</w:t>
            </w:r>
          </w:p>
        </w:tc>
        <w:tc>
          <w:tcPr>
            <w:tcW w:w="240" w:type="dxa"/>
            <w:vAlign w:val="bottom"/>
          </w:tcPr>
          <w:p>
            <w:pPr>
              <w:spacing w:after="0"/>
              <w:rPr>
                <w:sz w:val="19"/>
                <w:szCs w:val="19"/>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8"/>
              </w:rPr>
              <w:t>Control</w:t>
            </w:r>
          </w:p>
        </w:tc>
        <w:tc>
          <w:tcPr>
            <w:tcW w:w="140" w:type="dxa"/>
            <w:vAlign w:val="bottom"/>
          </w:tcPr>
          <w:p>
            <w:pPr>
              <w:spacing w:after="0"/>
              <w:rPr>
                <w:sz w:val="19"/>
                <w:szCs w:val="19"/>
                <w:color w:val="auto"/>
              </w:rPr>
            </w:pPr>
          </w:p>
        </w:tc>
        <w:tc>
          <w:tcPr>
            <w:tcW w:w="13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8"/>
              </w:rPr>
              <w:t>Control</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Control</w:t>
            </w:r>
          </w:p>
        </w:tc>
        <w:tc>
          <w:tcPr>
            <w:tcW w:w="200" w:type="dxa"/>
            <w:vAlign w:val="bottom"/>
          </w:tcPr>
          <w:p>
            <w:pPr>
              <w:spacing w:after="0"/>
              <w:rPr>
                <w:sz w:val="19"/>
                <w:szCs w:val="19"/>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8"/>
              </w:rPr>
              <w:t>Termination</w:t>
            </w:r>
          </w:p>
        </w:tc>
        <w:tc>
          <w:tcPr>
            <w:tcW w:w="180" w:type="dxa"/>
            <w:vAlign w:val="bottom"/>
          </w:tcPr>
          <w:p>
            <w:pPr>
              <w:spacing w:after="0"/>
              <w:rPr>
                <w:sz w:val="19"/>
                <w:szCs w:val="19"/>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Reason</w:t>
            </w: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Disability</w:t>
            </w:r>
          </w:p>
        </w:tc>
      </w:tr>
      <w:tr>
        <w:trPr>
          <w:trHeight w:val="25"/>
        </w:trPr>
        <w:tc>
          <w:tcPr>
            <w:tcW w:w="2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 Benefit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340,394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510,591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 continuation</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18,891</w:t>
            </w:r>
          </w:p>
        </w:tc>
        <w:tc>
          <w:tcPr>
            <w:tcW w:w="140" w:type="dxa"/>
            <w:vAlign w:val="bottom"/>
          </w:tcPr>
          <w:p>
            <w:pPr>
              <w:spacing w:after="0"/>
              <w:rPr>
                <w:sz w:val="22"/>
                <w:szCs w:val="22"/>
                <w:color w:val="auto"/>
              </w:rPr>
            </w:pPr>
          </w:p>
        </w:tc>
        <w:tc>
          <w:tcPr>
            <w:tcW w:w="13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18,891</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44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Accelerated Vesting of RSUs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382,729</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382,729</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230,516</w:t>
            </w:r>
          </w:p>
        </w:tc>
      </w:tr>
      <w:tr>
        <w:trPr>
          <w:trHeight w:val="258"/>
        </w:trPr>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Accelerated Vesting of Strategic PSUs</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13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217,374</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217,374</w:t>
            </w:r>
          </w:p>
        </w:tc>
        <w:tc>
          <w:tcPr>
            <w:tcW w:w="180" w:type="dxa"/>
            <w:vAlign w:val="bottom"/>
          </w:tcPr>
          <w:p>
            <w:pPr>
              <w:spacing w:after="0"/>
              <w:rPr>
                <w:sz w:val="22"/>
                <w:szCs w:val="22"/>
                <w:color w:val="auto"/>
              </w:rPr>
            </w:pPr>
          </w:p>
        </w:tc>
        <w:tc>
          <w:tcPr>
            <w:tcW w:w="144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93,215</w:t>
            </w:r>
          </w:p>
        </w:tc>
      </w:tr>
      <w:tr>
        <w:trPr>
          <w:trHeight w:val="258"/>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Accelerated Vesting of RTSR PSUs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323,484</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323,484</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138,720</w:t>
            </w:r>
          </w:p>
        </w:tc>
      </w:tr>
      <w:tr>
        <w:trPr>
          <w:trHeight w:val="223"/>
        </w:trPr>
        <w:tc>
          <w:tcPr>
            <w:tcW w:w="2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359,285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1,453,069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923,587</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462,451</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 Ratio Disclosure</w:t>
      </w:r>
    </w:p>
    <w:p>
      <w:pPr>
        <w:spacing w:after="0" w:line="221" w:lineRule="exact"/>
        <w:rPr>
          <w:sz w:val="20"/>
          <w:szCs w:val="20"/>
          <w:color w:val="auto"/>
        </w:rPr>
      </w:pPr>
    </w:p>
    <w:p>
      <w:pPr>
        <w:ind w:right="120" w:firstLine="619"/>
        <w:spacing w:after="0" w:line="258" w:lineRule="auto"/>
        <w:rPr>
          <w:sz w:val="20"/>
          <w:szCs w:val="20"/>
          <w:color w:val="auto"/>
        </w:rPr>
      </w:pPr>
      <w:r>
        <w:rPr>
          <w:rFonts w:ascii="Times New Roman" w:cs="Times New Roman" w:eastAsia="Times New Roman" w:hAnsi="Times New Roman"/>
          <w:sz w:val="17"/>
          <w:szCs w:val="17"/>
          <w:color w:val="auto"/>
        </w:rPr>
        <w:t>In 2015, the SEC adopted rules (as required by the Dodd-Frank Act) requiring disclosure of: (i) the annual total compensation of our median employee (excluding our Chief Executive Officer); (ii) the annual total compensation of our Chief Executive Officer; and (iii) the ratio of the annual total compensation of our median employee to the annual total compensation of our Chief Executive Officer. The annual total compensation of Mr. McKay, as reported in the Summary Compensation Table included in this Proxy Statement, was $2,270,866, but because Mr. McKay was not the Chief Executive Officer for the full fiscal year, we annualized his compensation for purposes of determining the 2025 pay ratio. Mr. McKay's annualized compensation was $2,626,716. The annual total compensation of the median employee, excluding our Chief Executive Officer, for fiscal year 2025, was $72,969. As a result, we estimate that the ratio of the annual total compensation of our Chief Executive Officer to the total compensation of our median employee was 36 to 1 for fiscal year 2025.</w:t>
      </w:r>
    </w:p>
    <w:p>
      <w:pPr>
        <w:spacing w:after="0" w:line="179" w:lineRule="exact"/>
        <w:rPr>
          <w:sz w:val="20"/>
          <w:szCs w:val="20"/>
          <w:color w:val="auto"/>
        </w:rPr>
      </w:pPr>
    </w:p>
    <w:p>
      <w:pPr>
        <w:ind w:right="220" w:firstLine="619"/>
        <w:spacing w:after="0" w:line="264" w:lineRule="auto"/>
        <w:rPr>
          <w:sz w:val="20"/>
          <w:szCs w:val="20"/>
          <w:color w:val="auto"/>
        </w:rPr>
      </w:pPr>
      <w:r>
        <w:rPr>
          <w:rFonts w:ascii="Times New Roman" w:cs="Times New Roman" w:eastAsia="Times New Roman" w:hAnsi="Times New Roman"/>
          <w:sz w:val="17"/>
          <w:szCs w:val="17"/>
          <w:color w:val="auto"/>
        </w:rPr>
        <w:t>We identified the median employee by using the actual compensation paid during 2025, as reported on IRS Form W-2, to our employees as of December 31, 2025. Compensation for employees who joined the Company after January 1, 2025 was annualized for purposes of identifying the median employee. After identifying the median employee, we calculated annual total compensation for such employee using the same methodology used for calculating the total compensation of our Chief Executive Officer as set forth in the Summary Compensation Table (and annualized as described above).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Compensation Committee Report</w:t>
      </w:r>
    </w:p>
    <w:p>
      <w:pPr>
        <w:spacing w:after="0" w:line="22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have reviewed and discussed with management the Compensation Discussion and Analysis for the year ended December 31, 2025 to be included in the proxy statement for the Company’s 2026 annual meeting of shareholders (the “Proxy”). Based on such reviews and discussions referred to above, we have recommended to the Board of Directors that the Compensation Discussion and Analysis referred to above be included in the Company’s Proxy and incorporated by reference into the Company’s Annual Report on Form 10-K.</w:t>
      </w:r>
    </w:p>
    <w:p>
      <w:pPr>
        <w:spacing w:after="0" w:line="22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20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THE COMPENSATION COMMITTEE</w:t>
      </w:r>
    </w:p>
    <w:p>
      <w:pPr>
        <w:spacing w:after="0" w:line="20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John W. Flora, Chair</w:t>
      </w:r>
    </w:p>
    <w:p>
      <w:pPr>
        <w:spacing w:after="0" w:line="4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Victor C. Barnes</w:t>
      </w:r>
    </w:p>
    <w:p>
      <w:pPr>
        <w:spacing w:after="0" w:line="4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Tracy Fitzsimmons</w:t>
      </w:r>
    </w:p>
    <w:p>
      <w:pPr>
        <w:spacing w:after="0" w:line="4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Richard L. Koontz, Jr.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221"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In 2022, the SEC adopted rules (as required by the Dodd-Frank Act) requiring disclosure of the relationship between the executive compensation actually paid and the financial performance of the Company over a defined time horizon. The below table outlines the total Compensation Actually Paid (CAP) calculated in accordance with the SEC rules for the Principal Executive Officer (PEO), which is the Company’s Chief Executive Officer, and the average of the total compensation actually paid for the Non-PEO Named Executive Officers (NEOs) for the given year. Additionally, the table includes the Company-Selected Measure of Adjusted EBITDA, as defined and described in more detail under “Compensation Discussion and Analysis – Annual Incentive Bonuses,” which the Company considers the most important financial performance measure used to link CAP of the PEO and Non-PEO NEOs to Company performance. The Compensation Committee did not utilize CAP as a basis for making its compensation decisions for any of the fiscal years included in the tables and charts below. For information regarding the basis for the compensation decisions made by our Compensation Committee for fiscal 2025, see the “Compensation Discussion and Analysis” section beginning on page 21.</w:t>
      </w:r>
    </w:p>
    <w:p>
      <w:pPr>
        <w:spacing w:after="0" w:line="238"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11"/>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w w:val="98"/>
              </w:rPr>
              <w:t>Summary Compensation Table Total</w:t>
            </w:r>
          </w:p>
        </w:tc>
        <w:tc>
          <w:tcPr>
            <w:tcW w:w="1960" w:type="dxa"/>
            <w:vAlign w:val="bottom"/>
            <w:gridSpan w:val="11"/>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Compensation Actually Paid to PEO</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12"/>
            <w:vMerge w:val="restart"/>
          </w:tcPr>
          <w:p>
            <w:pPr>
              <w:spacing w:after="0"/>
              <w:rPr>
                <w:sz w:val="20"/>
                <w:szCs w:val="20"/>
                <w:color w:val="auto"/>
              </w:rPr>
            </w:pPr>
            <w:r>
              <w:rPr>
                <w:rFonts w:ascii="Times New Roman" w:cs="Times New Roman" w:eastAsia="Times New Roman" w:hAnsi="Times New Roman"/>
                <w:sz w:val="12"/>
                <w:szCs w:val="12"/>
                <w:b w:val="1"/>
                <w:bCs w:val="1"/>
                <w:color w:val="auto"/>
              </w:rPr>
              <w:t>Value of Initial Fixed $100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gridSpan w:val="7"/>
          </w:tcPr>
          <w:p>
            <w:pPr>
              <w:ind w:left="80"/>
              <w:spacing w:after="0" w:line="116" w:lineRule="exact"/>
              <w:rPr>
                <w:sz w:val="20"/>
                <w:szCs w:val="20"/>
                <w:color w:val="auto"/>
              </w:rPr>
            </w:pPr>
            <w:r>
              <w:rPr>
                <w:rFonts w:ascii="Times New Roman" w:cs="Times New Roman" w:eastAsia="Times New Roman" w:hAnsi="Times New Roman"/>
                <w:sz w:val="12"/>
                <w:szCs w:val="12"/>
                <w:b w:val="1"/>
                <w:bCs w:val="1"/>
                <w:color w:val="auto"/>
              </w:rPr>
              <w:t>for PEO</w:t>
            </w:r>
          </w:p>
        </w:tc>
        <w:tc>
          <w:tcPr>
            <w:tcW w:w="1960" w:type="dxa"/>
            <w:vAlign w:val="bottom"/>
            <w:gridSpan w:val="11"/>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80" w:type="dxa"/>
            <w:vAlign w:val="bottom"/>
            <w:gridSpan w:val="1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40" w:type="dxa"/>
            <w:vAlign w:val="bottom"/>
            <w:gridSpan w:val="19"/>
          </w:tcPr>
          <w:p>
            <w:pPr>
              <w:spacing w:after="0"/>
              <w:rPr>
                <w:sz w:val="20"/>
                <w:szCs w:val="20"/>
                <w:color w:val="auto"/>
              </w:rPr>
            </w:pPr>
            <w:r>
              <w:rPr>
                <w:rFonts w:ascii="Times New Roman" w:cs="Times New Roman" w:eastAsia="Times New Roman" w:hAnsi="Times New Roman"/>
                <w:sz w:val="12"/>
                <w:szCs w:val="12"/>
                <w:b w:val="1"/>
                <w:bCs w:val="1"/>
                <w:color w:val="auto"/>
              </w:rPr>
              <w:t>(a)</w:t>
            </w:r>
          </w:p>
        </w:tc>
        <w:tc>
          <w:tcPr>
            <w:tcW w:w="3500" w:type="dxa"/>
            <w:vAlign w:val="bottom"/>
            <w:gridSpan w:val="29"/>
          </w:tcPr>
          <w:p>
            <w:pPr>
              <w:jc w:val="right"/>
              <w:ind w:right="3175"/>
              <w:spacing w:after="0"/>
              <w:rPr>
                <w:sz w:val="20"/>
                <w:szCs w:val="20"/>
                <w:color w:val="auto"/>
              </w:rPr>
            </w:pPr>
            <w:r>
              <w:rPr>
                <w:rFonts w:ascii="Times New Roman" w:cs="Times New Roman" w:eastAsia="Times New Roman" w:hAnsi="Times New Roman"/>
                <w:sz w:val="12"/>
                <w:szCs w:val="12"/>
                <w:b w:val="1"/>
                <w:bCs w:val="1"/>
                <w:color w:val="auto"/>
              </w:rPr>
              <w:t>(b)</w:t>
            </w:r>
          </w:p>
        </w:tc>
        <w:tc>
          <w:tcPr>
            <w:tcW w:w="3660" w:type="dxa"/>
            <w:vAlign w:val="bottom"/>
            <w:gridSpan w:val="26"/>
          </w:tcPr>
          <w:p>
            <w:pPr>
              <w:jc w:val="right"/>
              <w:ind w:right="2420"/>
              <w:spacing w:after="0"/>
              <w:rPr>
                <w:sz w:val="20"/>
                <w:szCs w:val="20"/>
                <w:color w:val="auto"/>
              </w:rPr>
            </w:pPr>
            <w:r>
              <w:rPr>
                <w:rFonts w:ascii="Times New Roman" w:cs="Times New Roman" w:eastAsia="Times New Roman" w:hAnsi="Times New Roman"/>
                <w:sz w:val="12"/>
                <w:szCs w:val="12"/>
                <w:b w:val="1"/>
                <w:bCs w:val="1"/>
                <w:color w:val="auto"/>
              </w:rPr>
              <w:t>Investment Based On:</w:t>
            </w:r>
          </w:p>
        </w:tc>
        <w:tc>
          <w:tcPr>
            <w:tcW w:w="0" w:type="dxa"/>
            <w:vAlign w:val="bottom"/>
          </w:tcPr>
          <w:p>
            <w:pPr>
              <w:spacing w:after="0"/>
              <w:rPr>
                <w:sz w:val="1"/>
                <w:szCs w:val="1"/>
                <w:color w:val="auto"/>
              </w:rPr>
            </w:pPr>
          </w:p>
        </w:tc>
      </w:tr>
      <w:tr>
        <w:trPr>
          <w:trHeight w:val="21"/>
        </w:trPr>
        <w:tc>
          <w:tcPr>
            <w:tcW w:w="4460" w:type="dxa"/>
            <w:vAlign w:val="bottom"/>
            <w:gridSpan w:val="26"/>
          </w:tcPr>
          <w:p>
            <w:pPr>
              <w:spacing w:after="0" w:line="20" w:lineRule="exact"/>
              <w:rPr>
                <w:sz w:val="1"/>
                <w:szCs w:val="1"/>
                <w:color w:val="auto"/>
              </w:rPr>
            </w:pPr>
          </w:p>
        </w:tc>
        <w:tc>
          <w:tcPr>
            <w:tcW w:w="980" w:type="dxa"/>
            <w:vAlign w:val="bottom"/>
            <w:gridSpan w:val="9"/>
            <w:vMerge w:val="restart"/>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Average Summary</w:t>
            </w:r>
          </w:p>
        </w:tc>
        <w:tc>
          <w:tcPr>
            <w:tcW w:w="280" w:type="dxa"/>
            <w:vAlign w:val="bottom"/>
            <w:gridSpan w:val="4"/>
          </w:tcPr>
          <w:p>
            <w:pPr>
              <w:spacing w:after="0" w:line="20" w:lineRule="exact"/>
              <w:rPr>
                <w:sz w:val="1"/>
                <w:szCs w:val="1"/>
                <w:color w:val="auto"/>
              </w:rPr>
            </w:pPr>
          </w:p>
        </w:tc>
        <w:tc>
          <w:tcPr>
            <w:tcW w:w="720" w:type="dxa"/>
            <w:vAlign w:val="bottom"/>
            <w:gridSpan w:val="7"/>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1980" w:type="dxa"/>
            <w:vAlign w:val="bottom"/>
            <w:tcBorders>
              <w:bottom w:val="single" w:sz="8" w:color="auto"/>
            </w:tcBorders>
            <w:gridSpan w:val="14"/>
          </w:tcPr>
          <w:p>
            <w:pPr>
              <w:spacing w:after="0" w:line="20" w:lineRule="exact"/>
              <w:rPr>
                <w:sz w:val="1"/>
                <w:szCs w:val="1"/>
                <w:color w:val="auto"/>
              </w:rPr>
            </w:pPr>
          </w:p>
        </w:tc>
        <w:tc>
          <w:tcPr>
            <w:tcW w:w="1980" w:type="dxa"/>
            <w:vAlign w:val="bottom"/>
            <w:gridSpan w:val="1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9"/>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7"/>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9"/>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Peer Group Total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460" w:type="dxa"/>
            <w:vAlign w:val="bottom"/>
            <w:gridSpan w:val="26"/>
          </w:tcPr>
          <w:p>
            <w:pPr>
              <w:spacing w:after="0"/>
              <w:rPr>
                <w:sz w:val="8"/>
                <w:szCs w:val="8"/>
                <w:color w:val="auto"/>
              </w:rPr>
            </w:pPr>
          </w:p>
        </w:tc>
        <w:tc>
          <w:tcPr>
            <w:tcW w:w="96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9"/>
                <w:szCs w:val="9"/>
                <w:b w:val="1"/>
                <w:bCs w:val="1"/>
                <w:color w:val="auto"/>
              </w:rPr>
              <w:t>Compensation</w:t>
            </w:r>
          </w:p>
        </w:tc>
        <w:tc>
          <w:tcPr>
            <w:tcW w:w="300" w:type="dxa"/>
            <w:vAlign w:val="bottom"/>
            <w:gridSpan w:val="5"/>
          </w:tcPr>
          <w:p>
            <w:pPr>
              <w:spacing w:after="0"/>
              <w:rPr>
                <w:sz w:val="8"/>
                <w:szCs w:val="8"/>
                <w:color w:val="auto"/>
              </w:rPr>
            </w:pPr>
          </w:p>
        </w:tc>
        <w:tc>
          <w:tcPr>
            <w:tcW w:w="420" w:type="dxa"/>
            <w:vAlign w:val="bottom"/>
            <w:tcBorders>
              <w:top w:val="single" w:sz="8" w:color="auto"/>
            </w:tcBorders>
            <w:gridSpan w:val="3"/>
          </w:tcPr>
          <w:p>
            <w:pPr>
              <w:jc w:val="center"/>
              <w:spacing w:after="0" w:line="83" w:lineRule="exact"/>
              <w:rPr>
                <w:sz w:val="20"/>
                <w:szCs w:val="20"/>
                <w:color w:val="auto"/>
              </w:rPr>
            </w:pPr>
            <w:r>
              <w:rPr>
                <w:rFonts w:ascii="Times New Roman" w:cs="Times New Roman" w:eastAsia="Times New Roman" w:hAnsi="Times New Roman"/>
                <w:sz w:val="9"/>
                <w:szCs w:val="9"/>
                <w:b w:val="1"/>
                <w:bCs w:val="1"/>
                <w:color w:val="auto"/>
                <w:w w:val="75"/>
              </w:rPr>
              <w:t>Compensation</w:t>
            </w:r>
          </w:p>
        </w:tc>
        <w:tc>
          <w:tcPr>
            <w:tcW w:w="1300" w:type="dxa"/>
            <w:vAlign w:val="bottom"/>
            <w:gridSpan w:val="9"/>
          </w:tcPr>
          <w:p>
            <w:pPr>
              <w:spacing w:after="0"/>
              <w:rPr>
                <w:sz w:val="8"/>
                <w:szCs w:val="8"/>
                <w:color w:val="auto"/>
              </w:rPr>
            </w:pPr>
          </w:p>
        </w:tc>
        <w:tc>
          <w:tcPr>
            <w:tcW w:w="980" w:type="dxa"/>
            <w:vAlign w:val="bottom"/>
            <w:gridSpan w:val="9"/>
            <w:vMerge w:val="continue"/>
          </w:tcPr>
          <w:p>
            <w:pPr>
              <w:spacing w:after="0"/>
              <w:rPr>
                <w:sz w:val="8"/>
                <w:szCs w:val="8"/>
                <w:color w:val="auto"/>
              </w:rPr>
            </w:pPr>
          </w:p>
        </w:tc>
        <w:tc>
          <w:tcPr>
            <w:tcW w:w="1240" w:type="dxa"/>
            <w:vAlign w:val="bottom"/>
            <w:gridSpan w:val="10"/>
          </w:tcPr>
          <w:p>
            <w:pPr>
              <w:spacing w:after="0"/>
              <w:rPr>
                <w:sz w:val="8"/>
                <w:szCs w:val="8"/>
                <w:color w:val="auto"/>
              </w:rPr>
            </w:pPr>
          </w:p>
        </w:tc>
        <w:tc>
          <w:tcPr>
            <w:tcW w:w="74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Adjusted</w:t>
            </w:r>
          </w:p>
        </w:tc>
        <w:tc>
          <w:tcPr>
            <w:tcW w:w="0" w:type="dxa"/>
            <w:vAlign w:val="bottom"/>
          </w:tcPr>
          <w:p>
            <w:pPr>
              <w:spacing w:after="0"/>
              <w:rPr>
                <w:sz w:val="1"/>
                <w:szCs w:val="1"/>
                <w:color w:val="auto"/>
              </w:rPr>
            </w:pPr>
          </w:p>
        </w:tc>
      </w:tr>
      <w:tr>
        <w:trPr>
          <w:trHeight w:val="20"/>
        </w:trPr>
        <w:tc>
          <w:tcPr>
            <w:tcW w:w="7460" w:type="dxa"/>
            <w:vAlign w:val="bottom"/>
            <w:gridSpan w:val="52"/>
          </w:tcPr>
          <w:p>
            <w:pPr>
              <w:spacing w:after="0" w:line="20" w:lineRule="exact"/>
              <w:rPr>
                <w:sz w:val="1"/>
                <w:szCs w:val="1"/>
                <w:color w:val="auto"/>
              </w:rPr>
            </w:pPr>
          </w:p>
        </w:tc>
        <w:tc>
          <w:tcPr>
            <w:tcW w:w="900" w:type="dxa"/>
            <w:vAlign w:val="bottom"/>
            <w:tcBorders>
              <w:bottom w:val="single" w:sz="8" w:color="auto"/>
            </w:tcBorders>
            <w:gridSpan w:val="7"/>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Edward H.</w:t>
            </w:r>
          </w:p>
        </w:tc>
        <w:tc>
          <w:tcPr>
            <w:tcW w:w="120" w:type="dxa"/>
            <w:vAlign w:val="bottom"/>
          </w:tcPr>
          <w:p>
            <w:pPr>
              <w:spacing w:after="0"/>
              <w:rPr>
                <w:sz w:val="6"/>
                <w:szCs w:val="6"/>
                <w:color w:val="auto"/>
              </w:rPr>
            </w:pP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Christopher E.</w:t>
            </w:r>
          </w:p>
        </w:tc>
        <w:tc>
          <w:tcPr>
            <w:tcW w:w="140" w:type="dxa"/>
            <w:vAlign w:val="bottom"/>
          </w:tcPr>
          <w:p>
            <w:pPr>
              <w:spacing w:after="0"/>
              <w:rPr>
                <w:sz w:val="6"/>
                <w:szCs w:val="6"/>
                <w:color w:val="auto"/>
              </w:rPr>
            </w:pPr>
          </w:p>
        </w:tc>
        <w:tc>
          <w:tcPr>
            <w:tcW w:w="84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Edward H.</w:t>
            </w:r>
          </w:p>
        </w:tc>
        <w:tc>
          <w:tcPr>
            <w:tcW w:w="120" w:type="dxa"/>
            <w:vAlign w:val="bottom"/>
          </w:tcPr>
          <w:p>
            <w:pPr>
              <w:spacing w:after="0"/>
              <w:rPr>
                <w:sz w:val="6"/>
                <w:szCs w:val="6"/>
                <w:color w:val="auto"/>
              </w:rPr>
            </w:pP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Christopher E.</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3"/>
          </w:tcPr>
          <w:p>
            <w:pPr>
              <w:jc w:val="center"/>
              <w:spacing w:after="0" w:line="64" w:lineRule="exact"/>
              <w:rPr>
                <w:sz w:val="20"/>
                <w:szCs w:val="20"/>
                <w:color w:val="auto"/>
              </w:rPr>
            </w:pPr>
            <w:r>
              <w:rPr>
                <w:rFonts w:ascii="Times New Roman" w:cs="Times New Roman" w:eastAsia="Times New Roman" w:hAnsi="Times New Roman"/>
                <w:sz w:val="7"/>
                <w:szCs w:val="7"/>
                <w:b w:val="1"/>
                <w:bCs w:val="1"/>
                <w:color w:val="auto"/>
              </w:rPr>
              <w:t>Table Total for</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gridSpan w:val="8"/>
          </w:tcPr>
          <w:p>
            <w:pPr>
              <w:jc w:val="right"/>
              <w:ind w:right="100"/>
              <w:spacing w:after="0" w:line="64" w:lineRule="exact"/>
              <w:rPr>
                <w:sz w:val="20"/>
                <w:szCs w:val="20"/>
                <w:color w:val="auto"/>
              </w:rPr>
            </w:pPr>
            <w:r>
              <w:rPr>
                <w:rFonts w:ascii="Times New Roman" w:cs="Times New Roman" w:eastAsia="Times New Roman" w:hAnsi="Times New Roman"/>
                <w:sz w:val="7"/>
                <w:szCs w:val="7"/>
                <w:b w:val="1"/>
                <w:bCs w:val="1"/>
                <w:color w:val="auto"/>
              </w:rPr>
              <w:t>Actually Paid to</w:t>
            </w:r>
          </w:p>
        </w:tc>
        <w:tc>
          <w:tcPr>
            <w:tcW w:w="100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8"/>
              </w:rPr>
              <w:t>Total Shareholder</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6"/>
          </w:tcPr>
          <w:p>
            <w:pPr>
              <w:jc w:val="center"/>
              <w:ind w:right="140"/>
              <w:spacing w:after="0" w:line="71" w:lineRule="exact"/>
              <w:rPr>
                <w:sz w:val="20"/>
                <w:szCs w:val="20"/>
                <w:color w:val="auto"/>
              </w:rPr>
            </w:pPr>
            <w:r>
              <w:rPr>
                <w:rFonts w:ascii="Times New Roman" w:cs="Times New Roman" w:eastAsia="Times New Roman" w:hAnsi="Times New Roman"/>
                <w:sz w:val="8"/>
                <w:szCs w:val="8"/>
                <w:b w:val="1"/>
                <w:bCs w:val="1"/>
                <w:color w:val="auto"/>
              </w:rPr>
              <w:t>Shareholder</w:t>
            </w:r>
          </w:p>
        </w:tc>
        <w:tc>
          <w:tcPr>
            <w:tcW w:w="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Net (Loss) Income</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5"/>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5"/>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60" w:type="dxa"/>
            <w:vAlign w:val="bottom"/>
            <w:tcBorders>
              <w:top w:val="single" w:sz="8" w:color="auto"/>
            </w:tcBorders>
            <w:gridSpan w:val="4"/>
            <w:vMerge w:val="restart"/>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w w:val="90"/>
              </w:rPr>
              <w:t>Non-PEO NEOs</w:t>
            </w:r>
          </w:p>
        </w:tc>
        <w:tc>
          <w:tcPr>
            <w:tcW w:w="4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gridSpan w:val="7"/>
            <w:vMerge w:val="restart"/>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w w:val="97"/>
              </w:rPr>
              <w:t>Non-PEO NEOs</w:t>
            </w: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0" w:type="dxa"/>
            <w:vAlign w:val="bottom"/>
            <w:gridSpan w:val="5"/>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20" w:type="dxa"/>
            <w:vAlign w:val="bottom"/>
          </w:tcPr>
          <w:p>
            <w:pPr>
              <w:spacing w:after="0"/>
              <w:rPr>
                <w:sz w:val="7"/>
                <w:szCs w:val="7"/>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200" w:type="dxa"/>
            <w:vAlign w:val="bottom"/>
          </w:tcPr>
          <w:p>
            <w:pPr>
              <w:spacing w:after="0"/>
              <w:rPr>
                <w:sz w:val="7"/>
                <w:szCs w:val="7"/>
                <w:color w:val="auto"/>
              </w:rPr>
            </w:pPr>
          </w:p>
        </w:tc>
        <w:tc>
          <w:tcPr>
            <w:tcW w:w="8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gridSpan w:val="4"/>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20" w:type="dxa"/>
            <w:vAlign w:val="bottom"/>
            <w:gridSpan w:val="7"/>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0" w:type="dxa"/>
            <w:vAlign w:val="bottom"/>
            <w:gridSpan w:val="5"/>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gridSpan w:val="4"/>
          </w:tcPr>
          <w:p>
            <w:pPr>
              <w:jc w:val="center"/>
              <w:ind w:right="140"/>
              <w:spacing w:after="0" w:line="89" w:lineRule="exact"/>
              <w:rPr>
                <w:sz w:val="20"/>
                <w:szCs w:val="20"/>
                <w:color w:val="auto"/>
              </w:rPr>
            </w:pPr>
            <w:r>
              <w:rPr>
                <w:rFonts w:ascii="Times New Roman" w:cs="Times New Roman" w:eastAsia="Times New Roman" w:hAnsi="Times New Roman"/>
                <w:sz w:val="10"/>
                <w:szCs w:val="10"/>
                <w:b w:val="1"/>
                <w:bCs w:val="1"/>
                <w:color w:val="auto"/>
              </w:rPr>
              <w:t>Return</w:t>
            </w:r>
          </w:p>
        </w:tc>
        <w:tc>
          <w:tcPr>
            <w:tcW w:w="2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40" w:type="dxa"/>
            <w:vAlign w:val="bottom"/>
            <w:gridSpan w:val="4"/>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EBITDA (in</w:t>
            </w:r>
          </w:p>
        </w:tc>
        <w:tc>
          <w:tcPr>
            <w:tcW w:w="0" w:type="dxa"/>
            <w:vAlign w:val="bottom"/>
          </w:tcPr>
          <w:p>
            <w:pPr>
              <w:spacing w:after="0"/>
              <w:rPr>
                <w:sz w:val="1"/>
                <w:szCs w:val="1"/>
                <w:color w:val="auto"/>
              </w:rPr>
            </w:pPr>
          </w:p>
        </w:tc>
      </w:tr>
      <w:tr>
        <w:trPr>
          <w:trHeight w:val="96"/>
        </w:trPr>
        <w:tc>
          <w:tcPr>
            <w:tcW w:w="120" w:type="dxa"/>
            <w:vAlign w:val="bottom"/>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gridSpan w:val="2"/>
          </w:tcPr>
          <w:p>
            <w:pPr>
              <w:jc w:val="center"/>
              <w:ind w:right="40"/>
              <w:spacing w:after="0" w:line="83" w:lineRule="exact"/>
              <w:rPr>
                <w:sz w:val="20"/>
                <w:szCs w:val="20"/>
                <w:color w:val="auto"/>
              </w:rPr>
            </w:pPr>
            <w:r>
              <w:rPr>
                <w:rFonts w:ascii="Times New Roman" w:cs="Times New Roman" w:eastAsia="Times New Roman" w:hAnsi="Times New Roman"/>
                <w:sz w:val="9"/>
                <w:szCs w:val="9"/>
                <w:b w:val="1"/>
                <w:bCs w:val="1"/>
                <w:color w:val="auto"/>
              </w:rPr>
              <w:t>McKay</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gridSpan w:val="2"/>
          </w:tcPr>
          <w:p>
            <w:pPr>
              <w:jc w:val="center"/>
              <w:ind w:right="200"/>
              <w:spacing w:after="0" w:line="83" w:lineRule="exact"/>
              <w:rPr>
                <w:sz w:val="20"/>
                <w:szCs w:val="20"/>
                <w:color w:val="auto"/>
              </w:rPr>
            </w:pPr>
            <w:r>
              <w:rPr>
                <w:rFonts w:ascii="Times New Roman" w:cs="Times New Roman" w:eastAsia="Times New Roman" w:hAnsi="Times New Roman"/>
                <w:sz w:val="9"/>
                <w:szCs w:val="9"/>
                <w:b w:val="1"/>
                <w:bCs w:val="1"/>
                <w:color w:val="auto"/>
              </w:rPr>
              <w:t>French</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gridSpan w:val="2"/>
          </w:tcPr>
          <w:p>
            <w:pPr>
              <w:jc w:val="center"/>
              <w:ind w:right="40"/>
              <w:spacing w:after="0" w:line="83" w:lineRule="exact"/>
              <w:rPr>
                <w:sz w:val="20"/>
                <w:szCs w:val="20"/>
                <w:color w:val="auto"/>
              </w:rPr>
            </w:pPr>
            <w:r>
              <w:rPr>
                <w:rFonts w:ascii="Times New Roman" w:cs="Times New Roman" w:eastAsia="Times New Roman" w:hAnsi="Times New Roman"/>
                <w:sz w:val="9"/>
                <w:szCs w:val="9"/>
                <w:b w:val="1"/>
                <w:bCs w:val="1"/>
                <w:color w:val="auto"/>
              </w:rPr>
              <w:t>McKay</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gridSpan w:val="2"/>
          </w:tcPr>
          <w:p>
            <w:pPr>
              <w:jc w:val="center"/>
              <w:ind w:right="200"/>
              <w:spacing w:after="0" w:line="83" w:lineRule="exact"/>
              <w:rPr>
                <w:sz w:val="20"/>
                <w:szCs w:val="20"/>
                <w:color w:val="auto"/>
              </w:rPr>
            </w:pPr>
            <w:r>
              <w:rPr>
                <w:rFonts w:ascii="Times New Roman" w:cs="Times New Roman" w:eastAsia="Times New Roman" w:hAnsi="Times New Roman"/>
                <w:sz w:val="9"/>
                <w:szCs w:val="9"/>
                <w:b w:val="1"/>
                <w:bCs w:val="1"/>
                <w:color w:val="auto"/>
              </w:rPr>
              <w:t>French</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5"/>
          </w:tcPr>
          <w:p>
            <w:pPr>
              <w:jc w:val="center"/>
              <w:ind w:right="60"/>
              <w:spacing w:after="0" w:line="83" w:lineRule="exact"/>
              <w:rPr>
                <w:sz w:val="20"/>
                <w:szCs w:val="20"/>
                <w:color w:val="auto"/>
              </w:rPr>
            </w:pPr>
            <w:r>
              <w:rPr>
                <w:rFonts w:ascii="Times New Roman" w:cs="Times New Roman" w:eastAsia="Times New Roman" w:hAnsi="Times New Roman"/>
                <w:sz w:val="9"/>
                <w:szCs w:val="9"/>
                <w:b w:val="1"/>
                <w:bCs w:val="1"/>
                <w:color w:val="auto"/>
              </w:rPr>
              <w:t>(c)</w:t>
            </w:r>
          </w:p>
        </w:tc>
        <w:tc>
          <w:tcPr>
            <w:tcW w:w="8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6"/>
          </w:tcPr>
          <w:p>
            <w:pPr>
              <w:jc w:val="center"/>
              <w:ind w:right="240"/>
              <w:spacing w:after="0" w:line="83" w:lineRule="exact"/>
              <w:rPr>
                <w:sz w:val="20"/>
                <w:szCs w:val="20"/>
                <w:color w:val="auto"/>
              </w:rPr>
            </w:pPr>
            <w:r>
              <w:rPr>
                <w:rFonts w:ascii="Times New Roman" w:cs="Times New Roman" w:eastAsia="Times New Roman" w:hAnsi="Times New Roman"/>
                <w:sz w:val="9"/>
                <w:szCs w:val="9"/>
                <w:b w:val="1"/>
                <w:bCs w:val="1"/>
                <w:color w:val="auto"/>
              </w:rPr>
              <w:t>(b)(c)</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top w:val="single" w:sz="8" w:color="auto"/>
            </w:tcBorders>
            <w:gridSpan w:val="3"/>
          </w:tcPr>
          <w:p>
            <w:pPr>
              <w:ind w:left="280"/>
              <w:spacing w:after="0" w:line="83" w:lineRule="exact"/>
              <w:rPr>
                <w:sz w:val="20"/>
                <w:szCs w:val="20"/>
                <w:color w:val="auto"/>
              </w:rPr>
            </w:pPr>
            <w:r>
              <w:rPr>
                <w:rFonts w:ascii="Times New Roman" w:cs="Times New Roman" w:eastAsia="Times New Roman" w:hAnsi="Times New Roman"/>
                <w:sz w:val="9"/>
                <w:szCs w:val="9"/>
                <w:b w:val="1"/>
                <w:bCs w:val="1"/>
                <w:color w:val="auto"/>
              </w:rPr>
              <w:t>Return</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top w:val="single" w:sz="8" w:color="auto"/>
            </w:tcBorders>
            <w:gridSpan w:val="3"/>
          </w:tcPr>
          <w:p>
            <w:pPr>
              <w:jc w:val="center"/>
              <w:ind w:right="20"/>
              <w:spacing w:after="0" w:line="83" w:lineRule="exact"/>
              <w:rPr>
                <w:sz w:val="20"/>
                <w:szCs w:val="20"/>
                <w:color w:val="auto"/>
              </w:rPr>
            </w:pPr>
            <w:r>
              <w:rPr>
                <w:rFonts w:ascii="Times New Roman" w:cs="Times New Roman" w:eastAsia="Times New Roman" w:hAnsi="Times New Roman"/>
                <w:sz w:val="9"/>
                <w:szCs w:val="9"/>
                <w:b w:val="1"/>
                <w:bCs w:val="1"/>
                <w:color w:val="auto"/>
              </w:rPr>
              <w:t>(d)</w:t>
            </w:r>
          </w:p>
        </w:tc>
        <w:tc>
          <w:tcPr>
            <w:tcW w:w="30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3"/>
          </w:tcPr>
          <w:p>
            <w:pPr>
              <w:jc w:val="right"/>
              <w:ind w:right="100"/>
              <w:spacing w:after="0" w:line="83"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4"/>
          </w:tcPr>
          <w:p>
            <w:pPr>
              <w:spacing w:after="0" w:line="83" w:lineRule="exact"/>
              <w:rPr>
                <w:sz w:val="20"/>
                <w:szCs w:val="20"/>
                <w:color w:val="auto"/>
              </w:rPr>
            </w:pPr>
            <w:r>
              <w:rPr>
                <w:rFonts w:ascii="Times New Roman" w:cs="Times New Roman" w:eastAsia="Times New Roman" w:hAnsi="Times New Roman"/>
                <w:sz w:val="9"/>
                <w:szCs w:val="9"/>
                <w:b w:val="1"/>
                <w:bCs w:val="1"/>
                <w:color w:val="auto"/>
              </w:rPr>
              <w:t>thousands)</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00" w:type="dxa"/>
            <w:vAlign w:val="bottom"/>
            <w:gridSpan w:val="6"/>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440" w:type="dxa"/>
            <w:vAlign w:val="bottom"/>
            <w:gridSpan w:val="14"/>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560" w:type="dxa"/>
            <w:vAlign w:val="bottom"/>
            <w:tcBorders>
              <w:top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1"/>
              </w:rPr>
              <w:t>2025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2,270,866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3,007,359</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2,596,906</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1,294,569</w:t>
            </w:r>
          </w:p>
        </w:tc>
        <w:tc>
          <w:tcPr>
            <w:tcW w:w="2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9"/>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1,073,571</w:t>
            </w: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w:t>
            </w:r>
          </w:p>
        </w:tc>
        <w:tc>
          <w:tcPr>
            <w:tcW w:w="60" w:type="dxa"/>
            <w:vAlign w:val="bottom"/>
            <w:shd w:val="clear" w:color="auto" w:fill="CCEEFF"/>
          </w:tcPr>
          <w:p>
            <w:pPr>
              <w:spacing w:after="0"/>
              <w:rPr>
                <w:sz w:val="15"/>
                <w:szCs w:val="15"/>
                <w:color w:val="auto"/>
              </w:rPr>
            </w:pPr>
          </w:p>
        </w:tc>
        <w:tc>
          <w:tcPr>
            <w:tcW w:w="92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6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(32,943)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119,139</w:t>
            </w:r>
          </w:p>
        </w:tc>
        <w:tc>
          <w:tcPr>
            <w:tcW w:w="0" w:type="dxa"/>
            <w:vAlign w:val="bottom"/>
          </w:tcPr>
          <w:p>
            <w:pPr>
              <w:spacing w:after="0"/>
              <w:rPr>
                <w:sz w:val="1"/>
                <w:szCs w:val="1"/>
                <w:color w:val="auto"/>
              </w:rPr>
            </w:pPr>
          </w:p>
        </w:tc>
      </w:tr>
      <w:tr>
        <w:trPr>
          <w:trHeight w:val="161"/>
        </w:trPr>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1"/>
              </w:rPr>
              <w:t>2024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6"/>
              </w:rPr>
              <w:t>N/A</w:t>
            </w:r>
          </w:p>
        </w:tc>
        <w:tc>
          <w:tcPr>
            <w:tcW w:w="120" w:type="dxa"/>
            <w:vAlign w:val="bottom"/>
          </w:tcPr>
          <w:p>
            <w:pPr>
              <w:spacing w:after="0"/>
              <w:rPr>
                <w:sz w:val="14"/>
                <w:szCs w:val="14"/>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3,347,146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6"/>
              </w:rPr>
              <w:t>N/A</w:t>
            </w:r>
          </w:p>
        </w:tc>
        <w:tc>
          <w:tcPr>
            <w:tcW w:w="120" w:type="dxa"/>
            <w:vAlign w:val="bottom"/>
          </w:tcPr>
          <w:p>
            <w:pPr>
              <w:spacing w:after="0"/>
              <w:rPr>
                <w:sz w:val="14"/>
                <w:szCs w:val="14"/>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941,228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7"/>
          </w:tcPr>
          <w:p>
            <w:pPr>
              <w:jc w:val="right"/>
              <w:ind w:right="40"/>
              <w:spacing w:after="0"/>
              <w:rPr>
                <w:sz w:val="20"/>
                <w:szCs w:val="20"/>
                <w:color w:val="auto"/>
              </w:rPr>
            </w:pPr>
            <w:r>
              <w:rPr>
                <w:rFonts w:ascii="Times New Roman" w:cs="Times New Roman" w:eastAsia="Times New Roman" w:hAnsi="Times New Roman"/>
                <w:sz w:val="12"/>
                <w:szCs w:val="12"/>
                <w:color w:val="auto"/>
              </w:rPr>
              <w:t>1,542,356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9"/>
          </w:tcPr>
          <w:p>
            <w:pPr>
              <w:jc w:val="right"/>
              <w:ind w:right="80"/>
              <w:spacing w:after="0"/>
              <w:rPr>
                <w:sz w:val="20"/>
                <w:szCs w:val="20"/>
                <w:color w:val="auto"/>
              </w:rPr>
            </w:pPr>
            <w:r>
              <w:rPr>
                <w:rFonts w:ascii="Times New Roman" w:cs="Times New Roman" w:eastAsia="Times New Roman" w:hAnsi="Times New Roman"/>
                <w:sz w:val="12"/>
                <w:szCs w:val="12"/>
                <w:color w:val="auto"/>
              </w:rPr>
              <w:t>64,797</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49</w:t>
            </w:r>
          </w:p>
        </w:tc>
        <w:tc>
          <w:tcPr>
            <w:tcW w:w="60" w:type="dxa"/>
            <w:vAlign w:val="bottom"/>
          </w:tcPr>
          <w:p>
            <w:pPr>
              <w:spacing w:after="0"/>
              <w:rPr>
                <w:sz w:val="14"/>
                <w:szCs w:val="14"/>
                <w:color w:val="auto"/>
              </w:rPr>
            </w:pPr>
          </w:p>
        </w:tc>
        <w:tc>
          <w:tcPr>
            <w:tcW w:w="920" w:type="dxa"/>
            <w:vAlign w:val="bottom"/>
            <w:gridSpan w:val="8"/>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193,817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7"/>
          </w:tcPr>
          <w:p>
            <w:pPr>
              <w:jc w:val="right"/>
              <w:ind w:right="60"/>
              <w:spacing w:after="0"/>
              <w:rPr>
                <w:sz w:val="20"/>
                <w:szCs w:val="20"/>
                <w:color w:val="auto"/>
              </w:rPr>
            </w:pPr>
            <w:r>
              <w:rPr>
                <w:rFonts w:ascii="Times New Roman" w:cs="Times New Roman" w:eastAsia="Times New Roman" w:hAnsi="Times New Roman"/>
                <w:sz w:val="12"/>
                <w:szCs w:val="12"/>
                <w:color w:val="auto"/>
              </w:rPr>
              <w:t>94,590</w:t>
            </w:r>
          </w:p>
        </w:tc>
        <w:tc>
          <w:tcPr>
            <w:tcW w:w="0" w:type="dxa"/>
            <w:vAlign w:val="bottom"/>
          </w:tcPr>
          <w:p>
            <w:pPr>
              <w:spacing w:after="0"/>
              <w:rPr>
                <w:sz w:val="1"/>
                <w:szCs w:val="1"/>
                <w:color w:val="auto"/>
              </w:rPr>
            </w:pPr>
          </w:p>
        </w:tc>
      </w:tr>
      <w:tr>
        <w:trPr>
          <w:trHeight w:val="174"/>
        </w:trPr>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1"/>
              </w:rPr>
              <w:t>2023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6"/>
              </w:rPr>
              <w:t>N/A</w:t>
            </w:r>
          </w:p>
        </w:tc>
        <w:tc>
          <w:tcPr>
            <w:tcW w:w="12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3,418,824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6"/>
              </w:rPr>
              <w:t>N/A</w:t>
            </w:r>
          </w:p>
        </w:tc>
        <w:tc>
          <w:tcPr>
            <w:tcW w:w="12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4,013,574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1,521,884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gridSpan w:val="9"/>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1,922,270</w:t>
            </w:r>
          </w:p>
        </w:tc>
        <w:tc>
          <w:tcPr>
            <w:tcW w:w="10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83</w:t>
            </w:r>
          </w:p>
        </w:tc>
        <w:tc>
          <w:tcPr>
            <w:tcW w:w="98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6,519</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90,595</w:t>
            </w:r>
          </w:p>
        </w:tc>
        <w:tc>
          <w:tcPr>
            <w:tcW w:w="0" w:type="dxa"/>
            <w:vAlign w:val="bottom"/>
          </w:tcPr>
          <w:p>
            <w:pPr>
              <w:spacing w:after="0"/>
              <w:rPr>
                <w:sz w:val="1"/>
                <w:szCs w:val="1"/>
                <w:color w:val="auto"/>
              </w:rPr>
            </w:pPr>
          </w:p>
        </w:tc>
      </w:tr>
      <w:tr>
        <w:trPr>
          <w:trHeight w:val="161"/>
        </w:trPr>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1"/>
              </w:rPr>
              <w:t>2022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6"/>
              </w:rPr>
              <w:t>N/A</w:t>
            </w:r>
          </w:p>
        </w:tc>
        <w:tc>
          <w:tcPr>
            <w:tcW w:w="120" w:type="dxa"/>
            <w:vAlign w:val="bottom"/>
          </w:tcPr>
          <w:p>
            <w:pPr>
              <w:spacing w:after="0"/>
              <w:rPr>
                <w:sz w:val="14"/>
                <w:szCs w:val="14"/>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2,816,123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6"/>
              </w:rPr>
              <w:t>N/A</w:t>
            </w:r>
          </w:p>
        </w:tc>
        <w:tc>
          <w:tcPr>
            <w:tcW w:w="120" w:type="dxa"/>
            <w:vAlign w:val="bottom"/>
          </w:tcPr>
          <w:p>
            <w:pPr>
              <w:spacing w:after="0"/>
              <w:rPr>
                <w:sz w:val="14"/>
                <w:szCs w:val="14"/>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2,212,185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7"/>
          </w:tcPr>
          <w:p>
            <w:pPr>
              <w:jc w:val="right"/>
              <w:ind w:right="40"/>
              <w:spacing w:after="0"/>
              <w:rPr>
                <w:sz w:val="20"/>
                <w:szCs w:val="20"/>
                <w:color w:val="auto"/>
              </w:rPr>
            </w:pPr>
            <w:r>
              <w:rPr>
                <w:rFonts w:ascii="Times New Roman" w:cs="Times New Roman" w:eastAsia="Times New Roman" w:hAnsi="Times New Roman"/>
                <w:sz w:val="12"/>
                <w:szCs w:val="12"/>
                <w:color w:val="auto"/>
              </w:rPr>
              <w:t>1,352,904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9"/>
          </w:tcPr>
          <w:p>
            <w:pPr>
              <w:jc w:val="right"/>
              <w:ind w:right="80"/>
              <w:spacing w:after="0"/>
              <w:rPr>
                <w:sz w:val="20"/>
                <w:szCs w:val="20"/>
                <w:color w:val="auto"/>
              </w:rPr>
            </w:pPr>
            <w:r>
              <w:rPr>
                <w:rFonts w:ascii="Times New Roman" w:cs="Times New Roman" w:eastAsia="Times New Roman" w:hAnsi="Times New Roman"/>
                <w:sz w:val="12"/>
                <w:szCs w:val="12"/>
                <w:color w:val="auto"/>
              </w:rPr>
              <w:t>966,594</w:t>
            </w:r>
          </w:p>
        </w:tc>
        <w:tc>
          <w:tcPr>
            <w:tcW w:w="1000" w:type="dxa"/>
            <w:vAlign w:val="bottom"/>
            <w:gridSpan w:val="5"/>
          </w:tcPr>
          <w:p>
            <w:pPr>
              <w:jc w:val="right"/>
              <w:ind w:right="40"/>
              <w:spacing w:after="0"/>
              <w:rPr>
                <w:sz w:val="20"/>
                <w:szCs w:val="20"/>
                <w:color w:val="auto"/>
              </w:rPr>
            </w:pPr>
            <w:r>
              <w:rPr>
                <w:rFonts w:ascii="Times New Roman" w:cs="Times New Roman" w:eastAsia="Times New Roman" w:hAnsi="Times New Roman"/>
                <w:sz w:val="12"/>
                <w:szCs w:val="12"/>
                <w:color w:val="auto"/>
              </w:rPr>
              <w:t>60</w:t>
            </w:r>
          </w:p>
        </w:tc>
        <w:tc>
          <w:tcPr>
            <w:tcW w:w="980" w:type="dxa"/>
            <w:vAlign w:val="bottom"/>
            <w:gridSpan w:val="9"/>
          </w:tcPr>
          <w:p>
            <w:pPr>
              <w:jc w:val="right"/>
              <w:ind w:right="20"/>
              <w:spacing w:after="0"/>
              <w:rPr>
                <w:sz w:val="20"/>
                <w:szCs w:val="20"/>
                <w:color w:val="auto"/>
              </w:rPr>
            </w:pPr>
            <w:r>
              <w:rPr>
                <w:rFonts w:ascii="Times New Roman" w:cs="Times New Roman" w:eastAsia="Times New Roman" w:hAnsi="Times New Roman"/>
                <w:sz w:val="12"/>
                <w:szCs w:val="12"/>
                <w:color w:val="auto"/>
              </w:rPr>
              <w:t>82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(8,379)</w:t>
            </w:r>
          </w:p>
        </w:tc>
        <w:tc>
          <w:tcPr>
            <w:tcW w:w="140" w:type="dxa"/>
            <w:vAlign w:val="bottom"/>
          </w:tcPr>
          <w:p>
            <w:pPr>
              <w:spacing w:after="0"/>
              <w:rPr>
                <w:sz w:val="14"/>
                <w:szCs w:val="14"/>
                <w:color w:val="auto"/>
              </w:rPr>
            </w:pPr>
          </w:p>
        </w:tc>
        <w:tc>
          <w:tcPr>
            <w:tcW w:w="860" w:type="dxa"/>
            <w:vAlign w:val="bottom"/>
            <w:gridSpan w:val="7"/>
          </w:tcPr>
          <w:p>
            <w:pPr>
              <w:jc w:val="right"/>
              <w:ind w:right="60"/>
              <w:spacing w:after="0"/>
              <w:rPr>
                <w:sz w:val="20"/>
                <w:szCs w:val="20"/>
                <w:color w:val="auto"/>
              </w:rPr>
            </w:pPr>
            <w:r>
              <w:rPr>
                <w:rFonts w:ascii="Times New Roman" w:cs="Times New Roman" w:eastAsia="Times New Roman" w:hAnsi="Times New Roman"/>
                <w:sz w:val="12"/>
                <w:szCs w:val="12"/>
                <w:color w:val="auto"/>
              </w:rPr>
              <w:t>75,961</w:t>
            </w:r>
          </w:p>
        </w:tc>
        <w:tc>
          <w:tcPr>
            <w:tcW w:w="0" w:type="dxa"/>
            <w:vAlign w:val="bottom"/>
          </w:tcPr>
          <w:p>
            <w:pPr>
              <w:spacing w:after="0"/>
              <w:rPr>
                <w:sz w:val="1"/>
                <w:szCs w:val="1"/>
                <w:color w:val="auto"/>
              </w:rPr>
            </w:pPr>
          </w:p>
        </w:tc>
      </w:tr>
      <w:tr>
        <w:trPr>
          <w:trHeight w:val="174"/>
        </w:trPr>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1"/>
              </w:rPr>
              <w:t>2021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6"/>
              </w:rPr>
              <w:t>N/A</w:t>
            </w:r>
          </w:p>
        </w:tc>
        <w:tc>
          <w:tcPr>
            <w:tcW w:w="12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2,420,824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6"/>
              </w:rPr>
              <w:t>N/A</w:t>
            </w:r>
          </w:p>
        </w:tc>
        <w:tc>
          <w:tcPr>
            <w:tcW w:w="12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1,620,948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1,050,218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gridSpan w:val="9"/>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810,027</w:t>
            </w:r>
          </w:p>
        </w:tc>
        <w:tc>
          <w:tcPr>
            <w:tcW w:w="10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97</w:t>
            </w:r>
          </w:p>
        </w:tc>
        <w:tc>
          <w:tcPr>
            <w:tcW w:w="98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1,003,537</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65,726</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w:t>
      </w:r>
    </w:p>
    <w:p>
      <w:pPr>
        <w:spacing w:after="0" w:line="32" w:lineRule="exact"/>
        <w:rPr>
          <w:sz w:val="20"/>
          <w:szCs w:val="20"/>
          <w:color w:val="auto"/>
        </w:rPr>
      </w:pPr>
    </w:p>
    <w:p>
      <w:pPr>
        <w:ind w:left="460" w:right="120" w:hanging="302"/>
        <w:spacing w:after="0" w:line="256" w:lineRule="auto"/>
        <w:tabs>
          <w:tab w:leader="none" w:pos="45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are the amounts of total compensation reported for our CEO, Mr. McKay in in the Summary Compensation Table ("SCT") for fiscal year 2025, and for Mr. French, in the Summary Compensation Table ("SCT") for fiscal years 2025, 2024, 2023, 2022 and 2021. The PEOs for 2025 were Mr. McKay and Mr. French. Mr. French transitioned from the position of Chief Executive Officer to Executive Chairman, and Mr. McKay was promoted to the position of Chief Executive Officer, each as of September 1, 2025. The PEO for 2024, 2023, 2022 and 2021 was Mr. French. Mr. McKay's compensation for years in which he did not serve as PEO are included in the Non-PEO NEO amounts.</w:t>
      </w:r>
    </w:p>
    <w:p>
      <w:pPr>
        <w:spacing w:after="0" w:line="1" w:lineRule="exact"/>
        <w:rPr>
          <w:rFonts w:ascii="Times New Roman" w:cs="Times New Roman" w:eastAsia="Times New Roman" w:hAnsi="Times New Roman"/>
          <w:sz w:val="17"/>
          <w:szCs w:val="17"/>
          <w:color w:val="auto"/>
        </w:rPr>
      </w:pPr>
    </w:p>
    <w:p>
      <w:pPr>
        <w:ind w:left="460" w:right="60" w:hanging="302"/>
        <w:spacing w:after="0" w:line="257" w:lineRule="auto"/>
        <w:tabs>
          <w:tab w:leader="none" w:pos="45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represent the amount of CAP, as computed in accordance with SEC rules. The dollar amounts do not reflect the actual amounts of compensation paid to our CEO or other NEOs during the applicable year, but rather is a value calculated under applicable SEC rules. In general, the amounts also include the year-end value of equity awards granted during the reported year and the change in the value of equity awards that were unvested at the end of the prior year, measured through the date the awards vested or were forfeited, or through the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43" w:name="page44"/>
    <w:bookmarkEnd w:id="43"/>
    <w:p>
      <w:pPr>
        <w:ind w:left="302" w:right="80"/>
        <w:spacing w:after="0" w:line="265" w:lineRule="auto"/>
        <w:rPr>
          <w:sz w:val="20"/>
          <w:szCs w:val="20"/>
          <w:color w:val="auto"/>
        </w:rPr>
      </w:pPr>
      <w:r>
        <w:rPr>
          <w:rFonts w:ascii="Times New Roman" w:cs="Times New Roman" w:eastAsia="Times New Roman" w:hAnsi="Times New Roman"/>
          <w:sz w:val="17"/>
          <w:szCs w:val="17"/>
          <w:color w:val="auto"/>
        </w:rPr>
        <w:t>end of the reported fiscal year. NEOs do not participate in a defined benefit plan so no adjustment for pension benefits is included. Similarly, no adjustment is made for dividends as there are no dividend rights associated with the equity awards. To calculate the amounts of CAP, the following amounts were deducted from and added to (as applicable) “Total” compensation as reported in the SCT.</w:t>
      </w:r>
    </w:p>
    <w:tbl>
      <w:tblPr>
        <w:tblLayout w:type="fixed"/>
        <w:tblInd w:w="2" w:type="dxa"/>
        <w:tblCellMar>
          <w:top w:w="0" w:type="dxa"/>
          <w:left w:w="0" w:type="dxa"/>
          <w:bottom w:w="0" w:type="dxa"/>
          <w:right w:w="0" w:type="dxa"/>
        </w:tblCellMar>
      </w:tblPr>
      <w:tr>
        <w:trPr>
          <w:trHeight w:val="144"/>
        </w:trPr>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Deduction of Fair</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Value of Awards</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Fair Value at</w:t>
            </w:r>
          </w:p>
        </w:tc>
        <w:tc>
          <w:tcPr>
            <w:tcW w:w="12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Granted Prior to</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Change in Value of</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Add Change in</w:t>
            </w:r>
          </w:p>
        </w:tc>
        <w:tc>
          <w:tcPr>
            <w:tcW w:w="1120" w:type="dxa"/>
            <w:vAlign w:val="bottom"/>
            <w:vMerge w:val="continue"/>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the Current Year</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6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8"/>
              </w:rPr>
              <w:t>Subtract Stock</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Add Year-End</w:t>
            </w:r>
          </w:p>
        </w:tc>
        <w:tc>
          <w:tcPr>
            <w:tcW w:w="120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Vesting Date of</w:t>
            </w:r>
          </w:p>
        </w:tc>
        <w:tc>
          <w:tcPr>
            <w:tcW w:w="12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that were Forfeited</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Prior Equity</w:t>
            </w:r>
          </w:p>
        </w:tc>
        <w:tc>
          <w:tcPr>
            <w:tcW w:w="12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3"/>
              </w:rPr>
              <w:t>Value of Vested</w:t>
            </w:r>
          </w:p>
        </w:tc>
        <w:tc>
          <w:tcPr>
            <w:tcW w:w="11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Vested Awards</w:t>
            </w: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during the current</w:t>
            </w:r>
          </w:p>
        </w:tc>
        <w:tc>
          <w:tcPr>
            <w:tcW w:w="11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2"/>
        </w:trPr>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Executive(s)</w:t>
            </w:r>
          </w:p>
        </w:tc>
        <w:tc>
          <w:tcPr>
            <w:tcW w:w="120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6"/>
              </w:rPr>
              <w:t>Awards ($)</w:t>
            </w: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Equity Value ($)</w:t>
            </w:r>
          </w:p>
        </w:tc>
        <w:tc>
          <w:tcPr>
            <w:tcW w:w="12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Awards ($)</w:t>
            </w:r>
          </w:p>
        </w:tc>
        <w:tc>
          <w:tcPr>
            <w:tcW w:w="12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Equity Awards ($)</w:t>
            </w: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Granted in</w:t>
            </w: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year</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Table Total ($)</w:t>
            </w:r>
          </w:p>
        </w:tc>
        <w:tc>
          <w:tcPr>
            <w:tcW w:w="116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0"/>
              </w:rPr>
              <w:t>(i)</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(ii)</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(ii)</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(ii)</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Current Year (iii)</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(iv)</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Actually Paid ($)</w:t>
            </w:r>
          </w:p>
        </w:tc>
        <w:tc>
          <w:tcPr>
            <w:tcW w:w="0" w:type="dxa"/>
            <w:vAlign w:val="bottom"/>
          </w:tcPr>
          <w:p>
            <w:pPr>
              <w:spacing w:after="0"/>
              <w:rPr>
                <w:sz w:val="1"/>
                <w:szCs w:val="1"/>
                <w:color w:val="auto"/>
              </w:rPr>
            </w:pPr>
          </w:p>
        </w:tc>
      </w:tr>
      <w:tr>
        <w:trPr>
          <w:trHeight w:val="198"/>
        </w:trPr>
        <w:tc>
          <w:tcPr>
            <w:tcW w:w="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92"/>
              </w:rPr>
              <w:t>2025</w:t>
            </w:r>
          </w:p>
        </w:tc>
        <w:tc>
          <w:tcPr>
            <w:tcW w:w="1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Edward H. McKay</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2,270,866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(1,368,867)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1,311,052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(215,114)</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32,091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(180,028)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1,850,000</w:t>
            </w:r>
          </w:p>
        </w:tc>
        <w:tc>
          <w:tcPr>
            <w:tcW w:w="0" w:type="dxa"/>
            <w:vAlign w:val="bottom"/>
          </w:tcPr>
          <w:p>
            <w:pPr>
              <w:spacing w:after="0"/>
              <w:rPr>
                <w:sz w:val="1"/>
                <w:szCs w:val="1"/>
                <w:color w:val="auto"/>
              </w:rPr>
            </w:pPr>
          </w:p>
        </w:tc>
      </w:tr>
      <w:tr>
        <w:trPr>
          <w:trHeight w:val="134"/>
        </w:trPr>
        <w:tc>
          <w:tcPr>
            <w:tcW w:w="440" w:type="dxa"/>
            <w:vAlign w:val="bottom"/>
          </w:tcPr>
          <w:p>
            <w:pPr>
              <w:spacing w:after="0"/>
              <w:rPr>
                <w:sz w:val="11"/>
                <w:szCs w:val="11"/>
                <w:color w:val="auto"/>
              </w:rPr>
            </w:pPr>
          </w:p>
        </w:tc>
        <w:tc>
          <w:tcPr>
            <w:tcW w:w="124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Christopher E.</w:t>
            </w:r>
          </w:p>
        </w:tc>
        <w:tc>
          <w:tcPr>
            <w:tcW w:w="120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3,007,359</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(1,784,519)</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845,454</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(226,105)</w:t>
            </w:r>
          </w:p>
        </w:tc>
        <w:tc>
          <w:tcPr>
            <w:tcW w:w="120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34,777</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907,370</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(187,430)</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2,596,906</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French</w:t>
            </w:r>
          </w:p>
        </w:tc>
        <w:tc>
          <w:tcPr>
            <w:tcW w:w="12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NEOs</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1,294,569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(699,117)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667,908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(112,572)</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12,253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1,073,571</w:t>
            </w:r>
          </w:p>
        </w:tc>
        <w:tc>
          <w:tcPr>
            <w:tcW w:w="0" w:type="dxa"/>
            <w:vAlign w:val="bottom"/>
          </w:tcPr>
          <w:p>
            <w:pPr>
              <w:spacing w:after="0"/>
              <w:rPr>
                <w:sz w:val="1"/>
                <w:szCs w:val="1"/>
                <w:color w:val="auto"/>
              </w:rPr>
            </w:pPr>
          </w:p>
        </w:tc>
      </w:tr>
      <w:tr>
        <w:trPr>
          <w:trHeight w:val="186"/>
        </w:trPr>
        <w:tc>
          <w:tcPr>
            <w:tcW w:w="4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2"/>
              </w:rPr>
              <w:t>2024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CEO</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3,347,146</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(1,771,704)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357,724</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(732,111)</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(109,337)</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851,606</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(1,002,096)</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941,228</w:t>
            </w:r>
          </w:p>
        </w:tc>
        <w:tc>
          <w:tcPr>
            <w:tcW w:w="0" w:type="dxa"/>
            <w:vAlign w:val="bottom"/>
          </w:tcPr>
          <w:p>
            <w:pPr>
              <w:spacing w:after="0"/>
              <w:rPr>
                <w:sz w:val="1"/>
                <w:szCs w:val="1"/>
                <w:color w:val="auto"/>
              </w:rPr>
            </w:pPr>
          </w:p>
        </w:tc>
      </w:tr>
      <w:tr>
        <w:trPr>
          <w:trHeight w:val="201"/>
        </w:trPr>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NEOs</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1,542,356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(846,409)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443,446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(530,766)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(73,236)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(470,594)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64,797</w:t>
            </w:r>
          </w:p>
        </w:tc>
        <w:tc>
          <w:tcPr>
            <w:tcW w:w="0" w:type="dxa"/>
            <w:vAlign w:val="bottom"/>
          </w:tcPr>
          <w:p>
            <w:pPr>
              <w:spacing w:after="0"/>
              <w:rPr>
                <w:sz w:val="1"/>
                <w:szCs w:val="1"/>
                <w:color w:val="auto"/>
              </w:rPr>
            </w:pPr>
          </w:p>
        </w:tc>
      </w:tr>
      <w:tr>
        <w:trPr>
          <w:trHeight w:val="186"/>
        </w:trPr>
        <w:tc>
          <w:tcPr>
            <w:tcW w:w="4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2"/>
              </w:rPr>
              <w:t>2023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CEO</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3,418,824</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(1,863,158)</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1,181,899</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449,205</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826,804</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4,013,574</w:t>
            </w:r>
          </w:p>
        </w:tc>
        <w:tc>
          <w:tcPr>
            <w:tcW w:w="0" w:type="dxa"/>
            <w:vAlign w:val="bottom"/>
          </w:tcPr>
          <w:p>
            <w:pPr>
              <w:spacing w:after="0"/>
              <w:rPr>
                <w:sz w:val="1"/>
                <w:szCs w:val="1"/>
                <w:color w:val="auto"/>
              </w:rPr>
            </w:pPr>
          </w:p>
        </w:tc>
      </w:tr>
      <w:tr>
        <w:trPr>
          <w:trHeight w:val="201"/>
        </w:trPr>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NEOs</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1,521,884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(849,881)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972,104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252,686</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25,477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1,922,270</w:t>
            </w:r>
          </w:p>
        </w:tc>
        <w:tc>
          <w:tcPr>
            <w:tcW w:w="0" w:type="dxa"/>
            <w:vAlign w:val="bottom"/>
          </w:tcPr>
          <w:p>
            <w:pPr>
              <w:spacing w:after="0"/>
              <w:rPr>
                <w:sz w:val="1"/>
                <w:szCs w:val="1"/>
                <w:color w:val="auto"/>
              </w:rPr>
            </w:pPr>
          </w:p>
        </w:tc>
      </w:tr>
      <w:tr>
        <w:trPr>
          <w:trHeight w:val="186"/>
        </w:trPr>
        <w:tc>
          <w:tcPr>
            <w:tcW w:w="4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2"/>
              </w:rPr>
              <w:t>2022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CEO</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2,816,123</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(1,413,938)</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504,221</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(270,438)</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(95,559)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671,776</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2,212,185</w:t>
            </w:r>
          </w:p>
        </w:tc>
        <w:tc>
          <w:tcPr>
            <w:tcW w:w="0" w:type="dxa"/>
            <w:vAlign w:val="bottom"/>
          </w:tcPr>
          <w:p>
            <w:pPr>
              <w:spacing w:after="0"/>
              <w:rPr>
                <w:sz w:val="1"/>
                <w:szCs w:val="1"/>
                <w:color w:val="auto"/>
              </w:rPr>
            </w:pPr>
          </w:p>
        </w:tc>
      </w:tr>
      <w:tr>
        <w:trPr>
          <w:trHeight w:val="201"/>
        </w:trPr>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NEOs</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1,352,904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(751,994)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556,781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(161,302)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966,594</w:t>
            </w:r>
          </w:p>
        </w:tc>
        <w:tc>
          <w:tcPr>
            <w:tcW w:w="0" w:type="dxa"/>
            <w:vAlign w:val="bottom"/>
          </w:tcPr>
          <w:p>
            <w:pPr>
              <w:spacing w:after="0"/>
              <w:rPr>
                <w:sz w:val="1"/>
                <w:szCs w:val="1"/>
                <w:color w:val="auto"/>
              </w:rPr>
            </w:pPr>
          </w:p>
        </w:tc>
      </w:tr>
      <w:tr>
        <w:trPr>
          <w:trHeight w:val="178"/>
        </w:trPr>
        <w:tc>
          <w:tcPr>
            <w:tcW w:w="4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2"/>
              </w:rPr>
              <w:t>2021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CEO</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2,420,824</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(1,387,736)</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583,623</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(503,285)</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(144,768)</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652,290</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1,620,948</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NEOs</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1,050,218</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(488,300)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399,158</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(126,310)</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(24,739)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810,027</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w:t>
      </w:r>
    </w:p>
    <w:p>
      <w:pPr>
        <w:spacing w:after="0" w:line="41" w:lineRule="exact"/>
        <w:rPr>
          <w:sz w:val="20"/>
          <w:szCs w:val="20"/>
          <w:color w:val="auto"/>
        </w:rPr>
      </w:pPr>
    </w:p>
    <w:p>
      <w:pPr>
        <w:ind w:left="922" w:hanging="303"/>
        <w:spacing w:after="0"/>
        <w:tabs>
          <w:tab w:leader="none" w:pos="922"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grant date fair value of the equity awards as reported in the “Stock Awards” column in the SCT for each applicable year.</w:t>
      </w:r>
    </w:p>
    <w:p>
      <w:pPr>
        <w:spacing w:after="0" w:line="27" w:lineRule="exact"/>
        <w:rPr>
          <w:rFonts w:ascii="Times New Roman" w:cs="Times New Roman" w:eastAsia="Times New Roman" w:hAnsi="Times New Roman"/>
          <w:sz w:val="17"/>
          <w:szCs w:val="17"/>
          <w:color w:val="auto"/>
        </w:rPr>
      </w:pPr>
    </w:p>
    <w:p>
      <w:pPr>
        <w:ind w:left="922" w:hanging="303"/>
        <w:spacing w:after="0" w:line="253" w:lineRule="auto"/>
        <w:tabs>
          <w:tab w:leader="none" w:pos="913"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equity awards reported for CAP purposes were valued at each fiscal year end during the vesting period. As discussed in “Executive Compensation – Compensation Discussion and Analysis,” the Company currently grants three types of equity awards. The RTSR PSU awards were valued via Monte Carlo Simulation, the RSU awards were valued using the market closing price of the Company's common stock, and the Strategic PSU awards were valued using the market closing price of the Company's common stock and the Company's current assessment of performance towards the underlying objectives.</w:t>
      </w:r>
    </w:p>
    <w:p>
      <w:pPr>
        <w:ind w:left="922" w:right="320" w:hanging="303"/>
        <w:spacing w:after="0" w:line="253" w:lineRule="auto"/>
        <w:tabs>
          <w:tab w:leader="none" w:pos="922"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CAP purposes and this table, time-based RSUs are considered “vested” on the date of retirement eligibility. As a result, 100% of the time-based RSUs granted to the CEO were considered “vested” for fiscal years 2025, 2024, 2023, 2022 and 2021 and 100% of the time-based RSUs granted to one of the Other NEOs were considered "vested" for fiscal year 2021.</w:t>
      </w:r>
    </w:p>
    <w:p>
      <w:pPr>
        <w:ind w:left="922" w:right="420" w:hanging="303"/>
        <w:spacing w:after="0" w:line="257" w:lineRule="auto"/>
        <w:tabs>
          <w:tab w:leader="none" w:pos="912"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2025, RTSR PSUs granted February 22, 2023 and Strategic PSUs granted on February 22, 2023 failed to meet all performance conditions, resulting in vesting of less than 100% and forfeiture of a portion of the related awards. Similarly, in 2024, RTSR PSUs granted September 21, 2021, RTSR PSUs granted February 22, 2022 and Strategic PSUs granted on September 20, 2022 failed to meet all performance conditions, resulting in vesting of less than 100% and forfeiture of a portion of the related awards.</w:t>
      </w:r>
    </w:p>
    <w:p>
      <w:pPr>
        <w:spacing w:after="0" w:line="254" w:lineRule="exact"/>
        <w:rPr>
          <w:rFonts w:ascii="Times New Roman" w:cs="Times New Roman" w:eastAsia="Times New Roman" w:hAnsi="Times New Roman"/>
          <w:sz w:val="17"/>
          <w:szCs w:val="17"/>
          <w:color w:val="auto"/>
        </w:rPr>
      </w:pPr>
    </w:p>
    <w:p>
      <w:pPr>
        <w:ind w:left="302" w:right="60" w:hanging="302"/>
        <w:spacing w:after="0" w:line="264" w:lineRule="auto"/>
        <w:tabs>
          <w:tab w:leader="none" w:pos="29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are the amounts of total compensation reported for our NEOs, other than our CEO. 2025 reflects compensation information for Mr. Volk, Mr. Mason, and Ms. Cheng. 2024 and 2023 reflects compensation information for Mr. McKay, Mr. Volk, Mr. Mason, and Ms. Cheng. 2022 reflects compensation information for Mr. McKay, Mr. Volk, Ms. Cheng, and Ms. Tormey. 2021 reflects compensation information for Mr. McKay, Mr. Volk, Mr. Heimbach, and Mr. Pirtle.</w:t>
      </w:r>
    </w:p>
    <w:p>
      <w:pPr>
        <w:spacing w:after="0" w:line="16" w:lineRule="exact"/>
        <w:rPr>
          <w:rFonts w:ascii="Times New Roman" w:cs="Times New Roman" w:eastAsia="Times New Roman" w:hAnsi="Times New Roman"/>
          <w:sz w:val="17"/>
          <w:szCs w:val="17"/>
          <w:color w:val="auto"/>
        </w:rPr>
      </w:pPr>
    </w:p>
    <w:p>
      <w:pPr>
        <w:ind w:left="302" w:hanging="302"/>
        <w:spacing w:after="0"/>
        <w:tabs>
          <w:tab w:leader="none" w:pos="30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Peer Group selected for Total Shareholder Return comparisons is the Nasdaq Telecommunications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8"/>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2"/>
          </w:cols>
          <w:pgMar w:left="478" w:top="897" w:right="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1146810</wp:posOffset>
            </wp:positionH>
            <wp:positionV relativeFrom="page">
              <wp:posOffset>612775</wp:posOffset>
            </wp:positionV>
            <wp:extent cx="5263515" cy="4985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63515" cy="4985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77470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1343025</wp:posOffset>
            </wp:positionH>
            <wp:positionV relativeFrom="page">
              <wp:posOffset>711200</wp:posOffset>
            </wp:positionV>
            <wp:extent cx="5263515" cy="23577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526351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The various metrics that the Company uses for both our long-term and short-term incentive awards are described in greater detail in “Executive Compensation – Compensation Discussion and Analysis.” The three items listed below represent the most important measures used to link executive compensation actually paid to the Company's actual performance:</w:t>
      </w: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Relative Total Shareholder Return</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Fiber Homes/Businesses Passed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21"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The members of the Compensation Committee for the 2025 fiscal year were Mr. Flora, who is the Chair, Mr. Barnes, Dr. Fitzsimmons and Mr. Koontz. During 2025, none of our executive officers served on the compensation committee (or its equivalent) or board of directors of another entity whose executive officer served on either our Compensation Committee or our Board of Directors. No member of the Compensation Committee serving during 2025 (i) served as an officer or employee of the Company or any affiliate or has any other business relationship or affiliation with the Company, except service as a director or (ii) had any relationship requiring disclosure under the section titled “Certain Relationships and Related Transactions” set forth below.</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221"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As set forth in the Audit Committee charter, the Audit Committee is responsible for reviewing and approving all related party transactions required to be disclosed pursuant to Item 404 of Regulation S-K of the SEC. Accordingly, the Audit Committee does not approve any related party transaction unless it is (a) deemed commercially reasonable, fair and in, or not inconsistent with, the best interest of the Company, and (b) determined to have terms comparable to those that could be obtained in an arm's-length transaction with an unrelated third party. There have been no related party transactions since the beginning of the registrant's last fiscal year.</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PROPOSAL NO. 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SELECTION OF INDEPENDENT REGISTERED PUBLIC ACCOUNTING FIRM</w:t>
      </w:r>
    </w:p>
    <w:p>
      <w:pPr>
        <w:spacing w:after="0" w:line="22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Audit Committee of the Board of Directors has appointed RSM US LLP (“RSM”), as the Company’s independent registered public accounting firm for the Company’s fiscal year ending December 31, 2026. Our shareholders are asked to ratify that appointment at the annual meeting. In accordance with its charter, the Audit Committee will periodically assess the suitability of our incumbent independent registered public accounting firm taking into account all relevant facts and circumstances, including the possible consideration of the qualifications of other accounting firms. If the shareholders do not ratify the appointment of RSM, the Audit Committee will reconsider whether or not to retain RSM as the Company’s independent registered public accounting firm. Even if the appointment of RSM is ratified by the shareholders, the Audit Committee may change the appointment at any time if it determines that a change would be in the best interests of the Company and its shareholders.</w:t>
      </w:r>
    </w:p>
    <w:p>
      <w:pPr>
        <w:spacing w:after="0" w:line="179"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Representatives of RSM are expected to attend the annual meeting, will have the opportunity to make a statement, if they so desire, and will be available to respond to appropriate questions from shareholders.</w:t>
      </w:r>
    </w:p>
    <w:p>
      <w:pPr>
        <w:spacing w:after="0" w:line="138"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RSM served as the Company’s independent registered public accounting firm for the Company’s fiscal years ended December 31, 2025 and 2024. The following sets forth the aggregate fees billed by RSM to the Company for the audit of our annual financial statements for the fiscal years ended December 31, 2025 and December 31, 2024, and fees billed for other services rendered during those periods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60" w:type="dxa"/>
            <w:vAlign w:val="bottom"/>
          </w:tcPr>
          <w:p>
            <w:pPr>
              <w:spacing w:after="0"/>
              <w:rPr>
                <w:sz w:val="19"/>
                <w:szCs w:val="19"/>
                <w:color w:val="auto"/>
              </w:rPr>
            </w:pPr>
          </w:p>
        </w:tc>
        <w:tc>
          <w:tcPr>
            <w:tcW w:w="4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Audit fee (1)</w:t>
            </w:r>
          </w:p>
        </w:tc>
        <w:tc>
          <w:tcPr>
            <w:tcW w:w="438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w:t>
            </w: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Audit-related fee (2)</w:t>
            </w:r>
          </w:p>
        </w:tc>
        <w:tc>
          <w:tcPr>
            <w:tcW w:w="4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fee (3)</w:t>
            </w:r>
          </w:p>
        </w:tc>
        <w:tc>
          <w:tcPr>
            <w:tcW w:w="4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 other fee (4)</w:t>
            </w:r>
          </w:p>
        </w:tc>
        <w:tc>
          <w:tcPr>
            <w:tcW w:w="4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438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w:t>
            </w:r>
          </w:p>
        </w:tc>
      </w:tr>
    </w:tbl>
    <w:p>
      <w:pPr>
        <w:spacing w:after="0" w:line="293" w:lineRule="exact"/>
        <w:rPr>
          <w:sz w:val="20"/>
          <w:szCs w:val="20"/>
          <w:color w:val="auto"/>
        </w:rPr>
      </w:pPr>
    </w:p>
    <w:p>
      <w:pPr>
        <w:ind w:left="1400" w:right="200" w:hanging="623"/>
        <w:spacing w:after="0" w:line="260" w:lineRule="auto"/>
        <w:tabs>
          <w:tab w:leader="none" w:pos="14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for services in connection with the audit of our financial statements and review of our quarterly financial statements. The audit fees shown above for 2024 also include nonrecurring transaction-related fees relating to audit work performed in connection with the Company's acquisition of Horizon.</w:t>
      </w:r>
    </w:p>
    <w:p>
      <w:pPr>
        <w:ind w:left="1400" w:hanging="623"/>
        <w:spacing w:after="0"/>
        <w:tabs>
          <w:tab w:leader="none" w:pos="14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for services provided in connection with the audit of one of our government grants.</w:t>
      </w:r>
    </w:p>
    <w:p>
      <w:pPr>
        <w:spacing w:after="0" w:line="10" w:lineRule="exact"/>
        <w:rPr>
          <w:rFonts w:ascii="Times New Roman" w:cs="Times New Roman" w:eastAsia="Times New Roman" w:hAnsi="Times New Roman"/>
          <w:sz w:val="17"/>
          <w:szCs w:val="17"/>
          <w:color w:val="auto"/>
        </w:rPr>
      </w:pPr>
    </w:p>
    <w:p>
      <w:pPr>
        <w:ind w:left="1400" w:right="280" w:hanging="623"/>
        <w:spacing w:after="0" w:line="253" w:lineRule="auto"/>
        <w:tabs>
          <w:tab w:leader="none" w:pos="14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for tax compliance, tax planning, and tax advice, including tax return preparation and requests for rulings or technical advice from tax authorities.</w:t>
      </w:r>
    </w:p>
    <w:p>
      <w:pPr>
        <w:ind w:left="1400" w:hanging="623"/>
        <w:spacing w:after="0"/>
        <w:tabs>
          <w:tab w:leader="none" w:pos="14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for services provided, excluding the services described above, if any.</w:t>
      </w:r>
    </w:p>
    <w:p>
      <w:pPr>
        <w:spacing w:after="0" w:line="200"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In making its appointment of RSM as the Company’s independent registered public accounting firm for the Company’s fiscal year ending December 31, 2026, the Audit Committee considered whether RSM’s provision of non-audit services is compatible with maintaining RSM’s independence. RSM does not presently provide any non-audit services to the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Pre-Approval of Audit and Permissible Non-Audit Services</w:t>
      </w:r>
    </w:p>
    <w:p>
      <w:pPr>
        <w:spacing w:after="0" w:line="221"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The Audit Committee is responsible for appointing, setting compensation for and overseeing the work of the independent registered public accounting firm. The Audit Committee pre-approves all audit and permissible non-audit services provided by such firm. For both types of pre-approval, the Audit Committee considers whether such services are consistent with the SEC’s rules on auditor independence.</w:t>
      </w:r>
    </w:p>
    <w:p>
      <w:pPr>
        <w:spacing w:after="0" w:line="161" w:lineRule="exact"/>
        <w:rPr>
          <w:sz w:val="20"/>
          <w:szCs w:val="20"/>
          <w:color w:val="auto"/>
        </w:rPr>
      </w:pPr>
    </w:p>
    <w:p>
      <w:pPr>
        <w:ind w:right="200" w:firstLine="619"/>
        <w:spacing w:after="0" w:line="292"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that the shareholders of the Company vote FOR the ratification of the appointment of RSM US LLP.</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221" w:lineRule="exact"/>
        <w:rPr>
          <w:sz w:val="20"/>
          <w:szCs w:val="20"/>
          <w:color w:val="auto"/>
        </w:rPr>
      </w:pPr>
    </w:p>
    <w:p>
      <w:pPr>
        <w:ind w:right="900" w:firstLine="619"/>
        <w:spacing w:after="0" w:line="287" w:lineRule="auto"/>
        <w:rPr>
          <w:sz w:val="20"/>
          <w:szCs w:val="20"/>
          <w:color w:val="auto"/>
        </w:rPr>
      </w:pPr>
      <w:r>
        <w:rPr>
          <w:rFonts w:ascii="Times New Roman" w:cs="Times New Roman" w:eastAsia="Times New Roman" w:hAnsi="Times New Roman"/>
          <w:sz w:val="17"/>
          <w:szCs w:val="17"/>
          <w:color w:val="auto"/>
        </w:rPr>
        <w:t>The Audit Committee of the Company’s Board of Directors is a standing committee composed of three non-employee directors who meet the independence and expertise requirements of the listing standards of the Nasdaq Stock Market.</w:t>
      </w:r>
    </w:p>
    <w:p>
      <w:pPr>
        <w:spacing w:after="0" w:line="151" w:lineRule="exact"/>
        <w:rPr>
          <w:sz w:val="20"/>
          <w:szCs w:val="20"/>
          <w:color w:val="auto"/>
        </w:rPr>
      </w:pPr>
    </w:p>
    <w:p>
      <w:pPr>
        <w:ind w:right="120" w:firstLine="619"/>
        <w:spacing w:after="0" w:line="260" w:lineRule="auto"/>
        <w:rPr>
          <w:sz w:val="20"/>
          <w:szCs w:val="20"/>
          <w:color w:val="auto"/>
        </w:rPr>
      </w:pPr>
      <w:r>
        <w:rPr>
          <w:rFonts w:ascii="Times New Roman" w:cs="Times New Roman" w:eastAsia="Times New Roman" w:hAnsi="Times New Roman"/>
          <w:sz w:val="17"/>
          <w:szCs w:val="17"/>
          <w:color w:val="auto"/>
        </w:rPr>
        <w:t>During the fiscal year ended December 31, 2025, the Audit Committee reviewed with the Company’s management, internal audit department, and RSM, the scope of the annual audit and audit plans, the results of internal control testing and external audit examinations, the evaluation of the Company’s system of internal controls, the quality of the Company’s financial reporting, and the Company’s process for legal and regulatory compliance. The Audit Committee also monitored the progress and results of the testing of internal controls over financial reporting pursuant to Section 404 of the Sarbanes-Oxley Act of 2002, as described in greater detail in the section titled “Review of Internal Control Over Financial Reporting” in the proxy statement for the 2025 annual meeting of shareholders.</w:t>
      </w:r>
    </w:p>
    <w:p>
      <w:pPr>
        <w:spacing w:after="0" w:line="173"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Management is responsible for the Company’s system of internal controls, the financial statements and the financial reporting process, and the assessment of the effectiveness of internal control over financial reporting. RSM is responsible for performing an integrated audit and issuing reports on the following: (1) the Company’s consolidated financial statements; and (2) the Company’s internal controls over financial reporting. As provided in its charter, the Audit Committee’s responsibilities include monitoring and overseeing these processes.</w:t>
      </w:r>
    </w:p>
    <w:p>
      <w:pPr>
        <w:spacing w:after="0" w:line="171"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Consistent with this oversight responsibility, RSM reported directly to the Audit Committee. The Audit Committee appointed RSM as the Company’s independent registered public accounting firm and approved the firm’s fees. The Audit Committee has the authority to obtain advice and assistance from outside legal, accounting or other advisors as the Audit Committee deems necessary to carry out its duties and receives appropriate funding, as determined by the Audit Committee, from the Company for such advice and assistance.</w:t>
      </w:r>
    </w:p>
    <w:p>
      <w:pPr>
        <w:spacing w:after="0" w:line="171"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In the performance of its oversight function, the Audit Committee has reviewed and discussed with management and RSM the audited financial statements for the year ended December 31, 2025, management’s assessment of the effectiveness of the Company’s internal control over financial reporting as of December 31, 2025, and RSM’s evaluation of the Company’s internal control over financial reporting as of that date. The Audit Committee has also discussed with RSM the matters that the independent public accountants must communicate to the Audit Committee under applicable requirements of the Public Company Accounting Oversight Board (“PCAOB”).</w:t>
      </w:r>
    </w:p>
    <w:p>
      <w:pPr>
        <w:spacing w:after="0" w:line="175"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With respect to the Company’s independent public accountants, the Audit Committee discussed with RSM, among other things, matters relating to its independence and has received the written disclosures and the letter from RSM required by applicable provisions of the PCAOB regarding the independent public accountants’ communications with the Audit Committee concerning independence. The Audit Committee reviews and approves the annual audit fees and any changes in annual audit fees. The Audit Committee or its Chairman, to whom authority has been delegated by the Committee, reviews and approves in advance all non-audit services provided to the Company by RSM. Any fee approvals made by the Chairman pursuant to such delegation of authority are subsequently ratified by the full Audit Committee at its next meeting.</w:t>
      </w:r>
    </w:p>
    <w:p>
      <w:pPr>
        <w:spacing w:after="0" w:line="173"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The Audit Committee annually reviews the independence and performance of its independent public accounting firm, including its lead audit partner and engagement team, in connection with the Audit Committee’s responsibility for the appointment and oversight of the Company’s independent public accountants and determines whether to re-engage its independent public accounting firm or consider other audit firms. In doing so, the Audit Committee considers, among other things, the quality and efficiency of the independent public accounting firm’s historical and recent performance on the Company’s audit, the firm’s capability and expertise, the quality and candor of communications and discussions with the firm, the ability of the firm to remain independent, external data relating to audit quality and performance (including recent PCAOB reports on the firm’s and its peer firms), and the appropriateness of fees charged. The Audit Committee also considers RSM’s tenure as the Company’s independent public accountant and its representatives’ familiarity with our operations, businesses, accounting policies and practices, and internal control over financial reporting. Based upon the foregoing considerations, the Audit Committee believes that the continued retention of RSM to serve as the Company’s independent public accountants is in the best interests of the Company and its shareholders.</w:t>
      </w:r>
    </w:p>
    <w:p>
      <w:pPr>
        <w:spacing w:after="0" w:line="179"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In reliance on the review and discussions referred to above, the Audit Committee recommended to the Board of Directors, and the Board of Directors has approved, the inclusion of the audited consolidated financial statements in the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color w:val="auto"/>
        </w:rPr>
        <w:t>Company’s Annual Report on Form 10-K for the year ended December 31, 2025, for filing with the Securities and Exchange Commission.</w:t>
      </w:r>
    </w:p>
    <w:p>
      <w:pPr>
        <w:sectPr>
          <w:pgSz w:w="11900" w:h="16838" w:orient="portrait"/>
          <w:cols w:equalWidth="0" w:num="1">
            <w:col w:w="10139"/>
          </w:cols>
          <w:pgMar w:left="320" w:top="1103" w:right="1440" w:bottom="1440" w:gutter="0" w:footer="0" w:header="0"/>
        </w:sectPr>
      </w:pPr>
    </w:p>
    <w:p>
      <w:pPr>
        <w:spacing w:after="0" w:line="26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20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THE AUDIT COMMITTEE</w:t>
      </w:r>
    </w:p>
    <w:p>
      <w:pPr>
        <w:spacing w:after="0" w:line="20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Leigh Ann Schultz, Chair</w:t>
      </w:r>
    </w:p>
    <w:p>
      <w:pPr>
        <w:spacing w:after="0" w:line="4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Victor C. Barnes</w:t>
      </w:r>
    </w:p>
    <w:p>
      <w:pPr>
        <w:spacing w:after="0" w:line="4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Matthew S. DeNichilo</w:t>
      </w:r>
    </w:p>
    <w:p>
      <w:pPr>
        <w:spacing w:after="0" w:line="4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Kenneth L. Quaglio</w:t>
      </w:r>
    </w:p>
    <w:p>
      <w:pPr>
        <w:spacing w:after="0" w:line="4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Michael A. Rhymes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03" w:right="1440" w:bottom="1440"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17"/>
          <w:szCs w:val="17"/>
          <w:b w:val="1"/>
          <w:bCs w:val="1"/>
          <w:color w:val="auto"/>
        </w:rPr>
        <w:t>PROPOSAL NO. 3</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NON-BINDING VOTE ON NAMED EXECUTIVE OFFICER COMPENSATION</w:t>
      </w:r>
    </w:p>
    <w:p>
      <w:pPr>
        <w:spacing w:after="0" w:line="234"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In accordance with Section 14A of the Exchange Act, and the SEC’s rules thereunder, the Board of Directors is asking shareholders to approve, in a non-binding vote, the Company’s named executive officer compensation as disclosed in this proxy statement, pursuant to Item 402 of Regulation S-K, including the Compensation Discussion and Analysis, compensation tables and narrative discussion.</w:t>
      </w:r>
    </w:p>
    <w:p>
      <w:pPr>
        <w:spacing w:after="0" w:line="179"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This proposal, commonly known as a “say-on-pay” proposal, gives our shareholders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p>
    <w:p>
      <w:pPr>
        <w:spacing w:after="0" w:line="165"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As described above in the “Compensation Discussion and Analysis” section of this proxy statement, the Compensation Committee has structured our executive compensation program to attract and retain the management talent needed to successfully lead our Company and increase shareholder value.</w:t>
      </w:r>
    </w:p>
    <w:p>
      <w:pPr>
        <w:spacing w:after="0" w:line="151" w:lineRule="exact"/>
        <w:rPr>
          <w:sz w:val="20"/>
          <w:szCs w:val="20"/>
          <w:color w:val="auto"/>
        </w:rPr>
      </w:pPr>
    </w:p>
    <w:p>
      <w:pPr>
        <w:ind w:right="120" w:firstLine="619"/>
        <w:spacing w:after="0" w:line="260" w:lineRule="auto"/>
        <w:rPr>
          <w:sz w:val="20"/>
          <w:szCs w:val="20"/>
          <w:color w:val="auto"/>
        </w:rPr>
      </w:pPr>
      <w:r>
        <w:rPr>
          <w:rFonts w:ascii="Times New Roman" w:cs="Times New Roman" w:eastAsia="Times New Roman" w:hAnsi="Times New Roman"/>
          <w:sz w:val="17"/>
          <w:szCs w:val="17"/>
          <w:color w:val="auto"/>
        </w:rPr>
        <w:t>The Board urges shareholders to read the Compensation Discussion and Analysis beginning on page 21 of this proxy statement, which describes in more detail how the Company’s executive compensation policies and procedures operate and are designed to achieve our compensation objectives, as well as the Summary Compensation Table appearing on page 29 and other related compensation tables and narratives of this proxy statement, which provide detailed information on the compensation of our named executive officers. The Compensation Committee and the Board of Directors believe that the policies and procedures articulated in the Compensation Discussion and Analysis are effective in achieving our goals and that the compensation of our named executive officers reported in this proxy statement reflects and supports these compensation policies and procedures.</w:t>
      </w:r>
    </w:p>
    <w:p>
      <w:pPr>
        <w:spacing w:after="0" w:line="173"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A vote on this proposal, commonly referred to as a “say-on-pay” resolution, is not binding on the Board of Directors or the Company, nor will it create or imply any change in the fiduciary duties of the Board or the Compensation Committee. Although the vote is non-binding, the Board and the Compensation Committee will review and consider the voting results when evaluating our executive compensation program.</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proposal will be approved if the number of votes cast in favor of the proposal exceeds the number of votes cast against the proposal.</w:t>
      </w:r>
    </w:p>
    <w:p>
      <w:pPr>
        <w:spacing w:after="0" w:line="217" w:lineRule="exact"/>
        <w:rPr>
          <w:sz w:val="20"/>
          <w:szCs w:val="20"/>
          <w:color w:val="auto"/>
        </w:rPr>
      </w:pPr>
    </w:p>
    <w:p>
      <w:pPr>
        <w:ind w:right="280" w:firstLine="619"/>
        <w:spacing w:after="0" w:line="287" w:lineRule="auto"/>
        <w:rPr>
          <w:sz w:val="20"/>
          <w:szCs w:val="20"/>
          <w:color w:val="auto"/>
        </w:rPr>
      </w:pPr>
      <w:r>
        <w:rPr>
          <w:rFonts w:ascii="Times New Roman" w:cs="Times New Roman" w:eastAsia="Times New Roman" w:hAnsi="Times New Roman"/>
          <w:sz w:val="17"/>
          <w:szCs w:val="17"/>
          <w:color w:val="auto"/>
        </w:rPr>
        <w:t>The Company's current policy is to provide shareholders with an opportunity to approve the compensation of the Company’s named executive officers each year at the annual meeting of shareholders. Accordingly, the next such vote is expected to occur at the 2027 annual meeting of shareholders.</w:t>
      </w:r>
    </w:p>
    <w:p>
      <w:pPr>
        <w:spacing w:after="0" w:line="147" w:lineRule="exact"/>
        <w:rPr>
          <w:sz w:val="20"/>
          <w:szCs w:val="20"/>
          <w:color w:val="auto"/>
        </w:rPr>
      </w:pPr>
    </w:p>
    <w:p>
      <w:pPr>
        <w:ind w:right="520" w:firstLine="619"/>
        <w:spacing w:after="0" w:line="292"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that shareholders vote FOR the approval of the compensation of the Company’s named executive officers.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51" w:name="page52"/>
    <w:bookmarkEnd w:id="51"/>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SHAREHOLDER PROPOSALS FOR THE ANNUAL MEETING IN 2027</w:t>
      </w:r>
    </w:p>
    <w:p>
      <w:pPr>
        <w:spacing w:after="0" w:line="221"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Shareholders who intend to present proposals at the 2027 annual meeting of shareholders (the “2027 Annual Meeting”) and have those proposals included in the Company’s proxy statement for the 2027 Annual Meeting pursuant to Rule 14a-8 under the Exchange Act, must ensure that those proposals are received at the Company’s principal executive offices located at 500 Shentel Way, P.O. Box 459, Edinburg, Virginia 22824, Attention: Corporate Secretary, no later than November 9, 2026. Such proposals must meet the requirements set forth in the rules and regulations of the SEC in order to be eligible for inclusion in the proxy statement for the 2027 Annual Meeting.</w:t>
      </w:r>
    </w:p>
    <w:p>
      <w:pPr>
        <w:spacing w:after="0" w:line="175"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addition, the Company’s bylaws require that notice of proposals by shareholders (including nominations of directors) to be brought before any annual meeting (other than matters properly brought under Rule 14a-8 under the Exchange Act and included in the company’s notice of meeting) must be received by the Company’s Corporate Secretary at the address set forth above no more than 150 days prior to, and not fewer than 120 days before, the first anniversary of the preceding year's annual meeting. Accordingly, any such notice of proposal to be brought before the 2027 Annual Meeting must be received between November 22, 2026 and December 22, 2026. Such notice must also comply with the other requirements set forth in the Company's bylaws. The provisions in the Company’s bylaws concerning notice of proposals by shareholders are not intended to affect any rights of shareholders to request inclusion of proposals in the Company’s proxy statement pursuant to Rule 14a-8 under the Exchange Act.</w:t>
      </w:r>
    </w:p>
    <w:p>
      <w:pPr>
        <w:spacing w:after="0" w:line="166"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In addition to satisfying the foregoing requirements under our bylaws, to comply with the universal proxy rules, shareholders who intend to solicit proxies in support of director nominees other than the Company’s nominees must provide notice that sets forth the information required by Rule 14a-19 under the Exchange Act, which notice must be postmarked or transmitted electronically to the Company and its principal executive offices no later than February 21, 2027. However, if the date of the 2027 Annual Meeting is changed by more than 30 calendar days from the anniversary date of the 2026 annual meeting, then notice must be provided by the later of 60 calendar days prior to the date of the 2027 Annual Meeting or the 10th calendar day following the day on which public announcement of the date of the 2027 Annual Meeting is first made by the Company.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80" w:right="359" w:bottom="1440" w:gutter="0" w:footer="0" w:header="0"/>
        </w:sectPr>
      </w:pPr>
    </w:p>
    <w:bookmarkStart w:id="52" w:name="page53"/>
    <w:bookmarkEnd w:id="52"/>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21" w:lineRule="exact"/>
        <w:rPr>
          <w:sz w:val="20"/>
          <w:szCs w:val="20"/>
          <w:color w:val="auto"/>
        </w:rPr>
      </w:pPr>
    </w:p>
    <w:p>
      <w:pPr>
        <w:ind w:left="140" w:firstLine="538"/>
        <w:spacing w:after="0" w:line="263" w:lineRule="auto"/>
        <w:rPr>
          <w:sz w:val="20"/>
          <w:szCs w:val="20"/>
          <w:color w:val="auto"/>
        </w:rPr>
      </w:pPr>
      <w:r>
        <w:rPr>
          <w:rFonts w:ascii="Times New Roman" w:cs="Times New Roman" w:eastAsia="Times New Roman" w:hAnsi="Times New Roman"/>
          <w:sz w:val="17"/>
          <w:szCs w:val="17"/>
          <w:color w:val="auto"/>
        </w:rPr>
        <w:t>The Board of Directors does not intend to present to the meeting any other matters not referred to above and does not presently know of any matters that may be presented to the meeting by others. If other matters are properly brought before the meeting, the persons named in the enclosed proxy will vote on such</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matters in their own discretion.</w:t>
      </w:r>
    </w:p>
    <w:p>
      <w:pPr>
        <w:spacing w:after="0" w:line="25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4"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Angela M. Olsen</w:t>
      </w:r>
    </w:p>
    <w:p>
      <w:pPr>
        <w:spacing w:after="0" w:line="4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Secretary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March 9,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40" w:top="1331" w:right="399"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367030</wp:posOffset>
            </wp:positionV>
            <wp:extent cx="7164070" cy="87636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8763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434340</wp:posOffset>
            </wp:positionH>
            <wp:positionV relativeFrom="page">
              <wp:posOffset>367030</wp:posOffset>
            </wp:positionV>
            <wp:extent cx="6680200" cy="81292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6680200" cy="81292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3"/>
    </w:lvl>
  </w:abstractNum>
  <w:abstractNum w:abstractNumId="7">
    <w:nsid w:val="4E6AFB66"/>
    <w:multiLevelType w:val="hybridMultilevel"/>
    <w:lvl w:ilvl="0">
      <w:lvlJc w:val="left"/>
      <w:lvlText w:val="(%1)"/>
      <w:numFmt w:val="lowerRoman"/>
      <w:start w:val="4"/>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decimal"/>
      <w:start w:val="2"/>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lowerRoman"/>
      <w:start w:val="2"/>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4"/>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1"/>
    </w:lvl>
    <w:lvl w:ilvl="1">
      <w:lvlJc w:val="left"/>
      <w:lvlText w:val="(%2)"/>
      <w:numFmt w:val="lowerRoman"/>
      <w:start w:val="1"/>
    </w:lvl>
  </w:abstractNum>
  <w:abstractNum w:abstractNumId="22">
    <w:nsid w:val="75A2A8D4"/>
    <w:multiLevelType w:val="hybridMultilevel"/>
    <w:lvl w:ilvl="0">
      <w:lvlJc w:val="left"/>
      <w:lvlText w:val="(%1)"/>
      <w:numFmt w:val="lowerLetter"/>
      <w:start w:val="3"/>
    </w:lvl>
    <w:lvl w:ilvl="1">
      <w:lvlJc w:val="left"/>
      <w:lvlText w:val="%2"/>
      <w:numFmt w:val="lowerRoman"/>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2026-03-09T07:08:06Z</dcterms:created>
  <dcterms:modified xsi:type="dcterms:W3CDTF">2026-03-09T07:08:06Z</dcterms:modified>
</cp:coreProperties>
</file>