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OF AMERICA</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 C. 20549</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5" w:lineRule="exact"/>
        <w:rPr>
          <w:sz w:val="24"/>
          <w:szCs w:val="24"/>
          <w:color w:val="auto"/>
        </w:rPr>
      </w:pPr>
    </w:p>
    <w:p>
      <w:pPr>
        <w:ind w:left="520" w:right="1960" w:hanging="485"/>
        <w:spacing w:after="0" w:line="450" w:lineRule="auto"/>
        <w:tabs>
          <w:tab w:leader="none" w:pos="6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2020</w:t>
      </w:r>
    </w:p>
    <w:p>
      <w:pPr>
        <w:spacing w:after="0" w:line="34" w:lineRule="exact"/>
        <w:rPr>
          <w:sz w:val="24"/>
          <w:szCs w:val="24"/>
          <w:color w:val="auto"/>
        </w:rPr>
      </w:pPr>
    </w:p>
    <w:p>
      <w:pPr>
        <w:ind w:left="600" w:hanging="565"/>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98" w:lineRule="exact"/>
        <w:rPr>
          <w:sz w:val="24"/>
          <w:szCs w:val="24"/>
          <w:color w:val="auto"/>
        </w:rPr>
      </w:pPr>
    </w:p>
    <w:p>
      <w:pPr>
        <w:ind w:left="600"/>
        <w:spacing w:after="0"/>
        <w:rPr>
          <w:sz w:val="20"/>
          <w:szCs w:val="20"/>
          <w:color w:val="auto"/>
        </w:rPr>
      </w:pPr>
      <w:r>
        <w:rPr>
          <w:rFonts w:ascii="Arial" w:cs="Arial" w:eastAsia="Arial" w:hAnsi="Arial"/>
          <w:sz w:val="18"/>
          <w:szCs w:val="18"/>
          <w:color w:val="auto"/>
        </w:rPr>
        <w:t>For the transition period from__________ to __________</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14605</wp:posOffset>
            </wp:positionV>
            <wp:extent cx="202311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SHENANDOAH TELECOMMUNICATIONS COMPANY</w:t>
      </w:r>
    </w:p>
    <w:p>
      <w:pPr>
        <w:spacing w:after="0" w:line="45" w:lineRule="exact"/>
        <w:rPr>
          <w:sz w:val="24"/>
          <w:szCs w:val="24"/>
          <w:color w:val="auto"/>
        </w:rPr>
      </w:pPr>
    </w:p>
    <w:tbl>
      <w:tblPr>
        <w:tblLayout w:type="fixed"/>
        <w:tblInd w:w="56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p>
        </w:tc>
        <w:tc>
          <w:tcPr>
            <w:tcW w:w="5720" w:type="dxa"/>
            <w:vAlign w:val="bottom"/>
            <w:gridSpan w:val="5"/>
          </w:tcPr>
          <w:p>
            <w:pPr>
              <w:jc w:val="center"/>
              <w:ind w:left="677"/>
              <w:spacing w:after="0"/>
              <w:rPr>
                <w:sz w:val="20"/>
                <w:szCs w:val="20"/>
                <w:color w:val="auto"/>
              </w:rPr>
            </w:pPr>
            <w:r>
              <w:rPr>
                <w:rFonts w:ascii="Arial" w:cs="Arial" w:eastAsia="Arial" w:hAnsi="Arial"/>
                <w:sz w:val="18"/>
                <w:szCs w:val="18"/>
                <w:color w:val="auto"/>
                <w:w w:val="90"/>
              </w:rPr>
              <w:t>(Exact name of registrant as specified in its charter)</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6"/>
        </w:trPr>
        <w:tc>
          <w:tcPr>
            <w:tcW w:w="1820" w:type="dxa"/>
            <w:vAlign w:val="bottom"/>
          </w:tcPr>
          <w:p>
            <w:pPr>
              <w:spacing w:after="0"/>
              <w:rPr>
                <w:sz w:val="24"/>
                <w:szCs w:val="24"/>
                <w:color w:val="auto"/>
              </w:rPr>
            </w:pPr>
          </w:p>
        </w:tc>
        <w:tc>
          <w:tcPr>
            <w:tcW w:w="2200" w:type="dxa"/>
            <w:vAlign w:val="bottom"/>
          </w:tcPr>
          <w:p>
            <w:pPr>
              <w:ind w:left="20"/>
              <w:spacing w:after="0"/>
              <w:rPr>
                <w:sz w:val="20"/>
                <w:szCs w:val="20"/>
                <w:color w:val="auto"/>
              </w:rPr>
            </w:pPr>
            <w:r>
              <w:rPr>
                <w:rFonts w:ascii="Arial" w:cs="Arial" w:eastAsia="Arial" w:hAnsi="Arial"/>
                <w:sz w:val="18"/>
                <w:szCs w:val="18"/>
                <w:b w:val="1"/>
                <w:bCs w:val="1"/>
                <w:color w:val="auto"/>
              </w:rPr>
              <w:t>Virginia</w:t>
            </w: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tcPr>
          <w:p>
            <w:pPr>
              <w:jc w:val="right"/>
              <w:ind w:right="2122"/>
              <w:spacing w:after="0"/>
              <w:rPr>
                <w:sz w:val="20"/>
                <w:szCs w:val="20"/>
                <w:color w:val="auto"/>
              </w:rPr>
            </w:pPr>
            <w:r>
              <w:rPr>
                <w:rFonts w:ascii="Arial" w:cs="Arial" w:eastAsia="Arial" w:hAnsi="Arial"/>
                <w:sz w:val="18"/>
                <w:szCs w:val="18"/>
                <w:b w:val="1"/>
                <w:bCs w:val="1"/>
                <w:color w:val="auto"/>
                <w:w w:val="89"/>
              </w:rPr>
              <w:t>54-1162807</w:t>
            </w:r>
          </w:p>
        </w:tc>
        <w:tc>
          <w:tcPr>
            <w:tcW w:w="0" w:type="dxa"/>
            <w:vAlign w:val="bottom"/>
          </w:tcPr>
          <w:p>
            <w:pPr>
              <w:spacing w:after="0"/>
              <w:rPr>
                <w:sz w:val="1"/>
                <w:szCs w:val="1"/>
                <w:color w:val="auto"/>
              </w:rPr>
            </w:pPr>
          </w:p>
        </w:tc>
      </w:tr>
      <w:tr>
        <w:trPr>
          <w:trHeight w:val="270"/>
        </w:trPr>
        <w:tc>
          <w:tcPr>
            <w:tcW w:w="6220" w:type="dxa"/>
            <w:vAlign w:val="bottom"/>
            <w:gridSpan w:val="4"/>
          </w:tcPr>
          <w:p>
            <w:pPr>
              <w:spacing w:after="0"/>
              <w:rPr>
                <w:sz w:val="20"/>
                <w:szCs w:val="20"/>
                <w:color w:val="auto"/>
              </w:rPr>
            </w:pPr>
            <w:r>
              <w:rPr>
                <w:rFonts w:ascii="Arial" w:cs="Arial" w:eastAsia="Arial" w:hAnsi="Arial"/>
                <w:sz w:val="18"/>
                <w:szCs w:val="18"/>
                <w:color w:val="auto"/>
              </w:rPr>
              <w:t>(State or other jurisdiction of incorporation or organization)</w:t>
            </w:r>
          </w:p>
        </w:tc>
        <w:tc>
          <w:tcPr>
            <w:tcW w:w="340" w:type="dxa"/>
            <w:vAlign w:val="bottom"/>
          </w:tcPr>
          <w:p>
            <w:pPr>
              <w:spacing w:after="0"/>
              <w:rPr>
                <w:sz w:val="23"/>
                <w:szCs w:val="23"/>
                <w:color w:val="auto"/>
              </w:rPr>
            </w:pPr>
          </w:p>
        </w:tc>
        <w:tc>
          <w:tcPr>
            <w:tcW w:w="4060" w:type="dxa"/>
            <w:vAlign w:val="bottom"/>
            <w:gridSpan w:val="2"/>
          </w:tcPr>
          <w:p>
            <w:pPr>
              <w:jc w:val="center"/>
              <w:ind w:right="1122"/>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445"/>
        </w:trPr>
        <w:tc>
          <w:tcPr>
            <w:tcW w:w="1820" w:type="dxa"/>
            <w:vAlign w:val="bottom"/>
          </w:tcPr>
          <w:p>
            <w:pPr>
              <w:spacing w:after="0"/>
              <w:rPr>
                <w:sz w:val="24"/>
                <w:szCs w:val="24"/>
                <w:color w:val="auto"/>
              </w:rPr>
            </w:pPr>
          </w:p>
        </w:tc>
        <w:tc>
          <w:tcPr>
            <w:tcW w:w="4400" w:type="dxa"/>
            <w:vAlign w:val="bottom"/>
            <w:gridSpan w:val="3"/>
          </w:tcPr>
          <w:p>
            <w:pPr>
              <w:ind w:left="1600"/>
              <w:spacing w:after="0"/>
              <w:rPr>
                <w:sz w:val="20"/>
                <w:szCs w:val="20"/>
                <w:color w:val="auto"/>
              </w:rPr>
            </w:pPr>
            <w:r>
              <w:rPr>
                <w:rFonts w:ascii="Arial" w:cs="Arial" w:eastAsia="Arial" w:hAnsi="Arial"/>
                <w:sz w:val="18"/>
                <w:szCs w:val="18"/>
                <w:color w:val="auto"/>
                <w:w w:val="96"/>
              </w:rPr>
              <w:t>500 Shentel Way, Edinburg, Virginia</w:t>
            </w:r>
          </w:p>
        </w:tc>
        <w:tc>
          <w:tcPr>
            <w:tcW w:w="1320" w:type="dxa"/>
            <w:vAlign w:val="bottom"/>
            <w:gridSpan w:val="2"/>
          </w:tcPr>
          <w:p>
            <w:pPr>
              <w:jc w:val="right"/>
              <w:ind w:right="759"/>
              <w:spacing w:after="0"/>
              <w:rPr>
                <w:sz w:val="20"/>
                <w:szCs w:val="20"/>
                <w:color w:val="auto"/>
              </w:rPr>
            </w:pPr>
            <w:r>
              <w:rPr>
                <w:rFonts w:ascii="Arial" w:cs="Arial" w:eastAsia="Arial" w:hAnsi="Arial"/>
                <w:sz w:val="18"/>
                <w:szCs w:val="18"/>
                <w:color w:val="auto"/>
                <w:w w:val="91"/>
              </w:rPr>
              <w:t>22824</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5720" w:type="dxa"/>
            <w:vAlign w:val="bottom"/>
            <w:gridSpan w:val="5"/>
          </w:tcPr>
          <w:p>
            <w:pPr>
              <w:jc w:val="center"/>
              <w:ind w:left="697"/>
              <w:spacing w:after="0"/>
              <w:rPr>
                <w:sz w:val="20"/>
                <w:szCs w:val="20"/>
                <w:color w:val="auto"/>
              </w:rPr>
            </w:pPr>
            <w:r>
              <w:rPr>
                <w:rFonts w:ascii="Arial" w:cs="Arial" w:eastAsia="Arial" w:hAnsi="Arial"/>
                <w:sz w:val="18"/>
                <w:szCs w:val="18"/>
                <w:color w:val="auto"/>
                <w:w w:val="93"/>
              </w:rPr>
              <w:t>(Address of principal executive offices) (Zip Code)</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8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(540) 984-4141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5720" w:type="dxa"/>
            <w:vAlign w:val="bottom"/>
            <w:gridSpan w:val="5"/>
          </w:tcPr>
          <w:p>
            <w:pPr>
              <w:jc w:val="center"/>
              <w:ind w:left="677"/>
              <w:spacing w:after="0"/>
              <w:rPr>
                <w:sz w:val="20"/>
                <w:szCs w:val="20"/>
                <w:color w:val="auto"/>
              </w:rPr>
            </w:pPr>
            <w:r>
              <w:rPr>
                <w:rFonts w:ascii="Arial" w:cs="Arial" w:eastAsia="Arial" w:hAnsi="Arial"/>
                <w:sz w:val="18"/>
                <w:szCs w:val="18"/>
                <w:color w:val="auto"/>
                <w:w w:val="89"/>
              </w:rPr>
              <w:t>(Registrant's telephone number, including area code)</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100" w:type="dxa"/>
            <w:vAlign w:val="bottom"/>
            <w:tcBorders>
              <w:bottom w:val="single" w:sz="8" w:color="auto"/>
            </w:tcBorders>
          </w:tcPr>
          <w:p>
            <w:pPr>
              <w:spacing w:after="0"/>
              <w:rPr>
                <w:sz w:val="12"/>
                <w:szCs w:val="12"/>
                <w:color w:val="auto"/>
              </w:rPr>
            </w:pPr>
          </w:p>
        </w:tc>
        <w:tc>
          <w:tcPr>
            <w:tcW w:w="1420" w:type="dxa"/>
            <w:vAlign w:val="bottom"/>
            <w:gridSpan w:val="3"/>
          </w:tcPr>
          <w:p>
            <w:pPr>
              <w:spacing w:after="0"/>
              <w:rPr>
                <w:sz w:val="12"/>
                <w:szCs w:val="12"/>
                <w:color w:val="auto"/>
              </w:rPr>
            </w:pPr>
          </w:p>
        </w:tc>
        <w:tc>
          <w:tcPr>
            <w:tcW w:w="3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1820" w:type="dxa"/>
            <w:vAlign w:val="bottom"/>
          </w:tcPr>
          <w:p>
            <w:pPr>
              <w:spacing w:after="0"/>
              <w:rPr>
                <w:sz w:val="24"/>
                <w:szCs w:val="24"/>
                <w:color w:val="auto"/>
              </w:rPr>
            </w:pPr>
          </w:p>
        </w:tc>
        <w:tc>
          <w:tcPr>
            <w:tcW w:w="5720" w:type="dxa"/>
            <w:vAlign w:val="bottom"/>
            <w:gridSpan w:val="5"/>
          </w:tcPr>
          <w:p>
            <w:pPr>
              <w:jc w:val="center"/>
              <w:ind w:left="677"/>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820" w:type="dxa"/>
            <w:vAlign w:val="bottom"/>
          </w:tcPr>
          <w:p>
            <w:pPr>
              <w:ind w:left="20"/>
              <w:spacing w:after="0"/>
              <w:rPr>
                <w:sz w:val="20"/>
                <w:szCs w:val="20"/>
                <w:color w:val="auto"/>
              </w:rPr>
            </w:pPr>
            <w:r>
              <w:rPr>
                <w:rFonts w:ascii="Arial" w:cs="Arial" w:eastAsia="Arial" w:hAnsi="Arial"/>
                <w:sz w:val="14"/>
                <w:szCs w:val="14"/>
                <w:color w:val="auto"/>
                <w:w w:val="92"/>
              </w:rPr>
              <w:t>Common Stock (No Par Value)</w:t>
            </w:r>
          </w:p>
        </w:tc>
        <w:tc>
          <w:tcPr>
            <w:tcW w:w="2200" w:type="dxa"/>
            <w:vAlign w:val="bottom"/>
          </w:tcPr>
          <w:p>
            <w:pPr>
              <w:jc w:val="center"/>
              <w:ind w:left="297"/>
              <w:spacing w:after="0"/>
              <w:rPr>
                <w:sz w:val="20"/>
                <w:szCs w:val="20"/>
                <w:color w:val="auto"/>
              </w:rPr>
            </w:pPr>
            <w:r>
              <w:rPr>
                <w:rFonts w:ascii="Arial" w:cs="Arial" w:eastAsia="Arial" w:hAnsi="Arial"/>
                <w:sz w:val="14"/>
                <w:szCs w:val="14"/>
                <w:color w:val="auto"/>
                <w:w w:val="97"/>
              </w:rPr>
              <w:t>SHEN</w:t>
            </w:r>
          </w:p>
        </w:tc>
        <w:tc>
          <w:tcPr>
            <w:tcW w:w="2200" w:type="dxa"/>
            <w:vAlign w:val="bottom"/>
            <w:gridSpan w:val="2"/>
          </w:tcPr>
          <w:p>
            <w:pPr>
              <w:jc w:val="center"/>
              <w:ind w:left="162"/>
              <w:spacing w:after="0"/>
              <w:rPr>
                <w:sz w:val="20"/>
                <w:szCs w:val="20"/>
                <w:color w:val="auto"/>
              </w:rPr>
            </w:pPr>
            <w:r>
              <w:rPr>
                <w:rFonts w:ascii="Arial" w:cs="Arial" w:eastAsia="Arial" w:hAnsi="Arial"/>
                <w:sz w:val="14"/>
                <w:szCs w:val="14"/>
                <w:color w:val="auto"/>
                <w:w w:val="97"/>
              </w:rPr>
              <w:t>NASDAQ Global Select Market</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80" w:type="dxa"/>
            <w:vAlign w:val="bottom"/>
          </w:tcPr>
          <w:p>
            <w:pPr>
              <w:jc w:val="center"/>
              <w:ind w:right="762"/>
              <w:spacing w:after="0"/>
              <w:rPr>
                <w:sz w:val="20"/>
                <w:szCs w:val="20"/>
                <w:color w:val="auto"/>
              </w:rPr>
            </w:pPr>
            <w:r>
              <w:rPr>
                <w:rFonts w:ascii="Arial" w:cs="Arial" w:eastAsia="Arial" w:hAnsi="Arial"/>
                <w:sz w:val="14"/>
                <w:szCs w:val="14"/>
                <w:color w:val="auto"/>
                <w:w w:val="91"/>
              </w:rPr>
              <w:t>49,852,174</w:t>
            </w:r>
          </w:p>
        </w:tc>
        <w:tc>
          <w:tcPr>
            <w:tcW w:w="0" w:type="dxa"/>
            <w:vAlign w:val="bottom"/>
          </w:tcPr>
          <w:p>
            <w:pPr>
              <w:spacing w:after="0"/>
              <w:rPr>
                <w:sz w:val="1"/>
                <w:szCs w:val="1"/>
                <w:color w:val="auto"/>
              </w:rPr>
            </w:pPr>
          </w:p>
        </w:tc>
      </w:tr>
      <w:tr>
        <w:trPr>
          <w:trHeight w:val="169"/>
        </w:trPr>
        <w:tc>
          <w:tcPr>
            <w:tcW w:w="1820" w:type="dxa"/>
            <w:vAlign w:val="bottom"/>
            <w:vMerge w:val="restart"/>
          </w:tcPr>
          <w:p>
            <w:pPr>
              <w:ind w:left="480"/>
              <w:spacing w:after="0"/>
              <w:rPr>
                <w:sz w:val="20"/>
                <w:szCs w:val="20"/>
                <w:color w:val="auto"/>
              </w:rPr>
            </w:pPr>
            <w:r>
              <w:rPr>
                <w:rFonts w:ascii="Arial" w:cs="Arial" w:eastAsia="Arial" w:hAnsi="Arial"/>
                <w:sz w:val="14"/>
                <w:szCs w:val="14"/>
                <w:color w:val="auto"/>
              </w:rPr>
              <w:t>(Title of Class)</w:t>
            </w:r>
          </w:p>
        </w:tc>
        <w:tc>
          <w:tcPr>
            <w:tcW w:w="2200" w:type="dxa"/>
            <w:vAlign w:val="bottom"/>
            <w:vMerge w:val="restart"/>
          </w:tcPr>
          <w:p>
            <w:pPr>
              <w:jc w:val="center"/>
              <w:ind w:left="297"/>
              <w:spacing w:after="0"/>
              <w:rPr>
                <w:sz w:val="20"/>
                <w:szCs w:val="20"/>
                <w:color w:val="auto"/>
              </w:rPr>
            </w:pPr>
            <w:r>
              <w:rPr>
                <w:rFonts w:ascii="Arial" w:cs="Arial" w:eastAsia="Arial" w:hAnsi="Arial"/>
                <w:sz w:val="14"/>
                <w:szCs w:val="14"/>
                <w:color w:val="auto"/>
                <w:w w:val="94"/>
              </w:rPr>
              <w:t>(Trading Symbol)</w:t>
            </w:r>
          </w:p>
        </w:tc>
        <w:tc>
          <w:tcPr>
            <w:tcW w:w="2540" w:type="dxa"/>
            <w:vAlign w:val="bottom"/>
            <w:gridSpan w:val="3"/>
            <w:vMerge w:val="restart"/>
          </w:tcPr>
          <w:p>
            <w:pPr>
              <w:jc w:val="center"/>
              <w:ind w:right="10"/>
              <w:spacing w:after="0"/>
              <w:rPr>
                <w:sz w:val="20"/>
                <w:szCs w:val="20"/>
                <w:color w:val="auto"/>
              </w:rPr>
            </w:pPr>
            <w:r>
              <w:rPr>
                <w:rFonts w:ascii="Arial" w:cs="Arial" w:eastAsia="Arial" w:hAnsi="Arial"/>
                <w:sz w:val="14"/>
                <w:szCs w:val="14"/>
                <w:color w:val="auto"/>
                <w:w w:val="92"/>
              </w:rPr>
              <w:t>(Name of Exchange on which Registered)</w:t>
            </w:r>
          </w:p>
        </w:tc>
        <w:tc>
          <w:tcPr>
            <w:tcW w:w="4060" w:type="dxa"/>
            <w:vAlign w:val="bottom"/>
            <w:gridSpan w:val="2"/>
          </w:tcPr>
          <w:p>
            <w:pPr>
              <w:jc w:val="center"/>
              <w:ind w:left="59"/>
              <w:spacing w:after="0"/>
              <w:rPr>
                <w:sz w:val="20"/>
                <w:szCs w:val="20"/>
                <w:color w:val="auto"/>
              </w:rPr>
            </w:pPr>
            <w:r>
              <w:rPr>
                <w:rFonts w:ascii="Arial" w:cs="Arial" w:eastAsia="Arial" w:hAnsi="Arial"/>
                <w:sz w:val="14"/>
                <w:szCs w:val="14"/>
                <w:color w:val="auto"/>
                <w:w w:val="92"/>
              </w:rPr>
              <w:t>(The number of shares of the registrant's common stock outstanding</w:t>
            </w: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2200" w:type="dxa"/>
            <w:vAlign w:val="bottom"/>
            <w:vMerge w:val="continue"/>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980" w:type="dxa"/>
            <w:vAlign w:val="bottom"/>
          </w:tcPr>
          <w:p>
            <w:pPr>
              <w:spacing w:after="0"/>
              <w:rPr>
                <w:sz w:val="8"/>
                <w:szCs w:val="8"/>
                <w:color w:val="auto"/>
              </w:rPr>
            </w:pPr>
          </w:p>
        </w:tc>
        <w:tc>
          <w:tcPr>
            <w:tcW w:w="3080" w:type="dxa"/>
            <w:vAlign w:val="bottom"/>
            <w:vMerge w:val="restart"/>
          </w:tcPr>
          <w:p>
            <w:pPr>
              <w:jc w:val="center"/>
              <w:ind w:right="762"/>
              <w:spacing w:after="0"/>
              <w:rPr>
                <w:sz w:val="20"/>
                <w:szCs w:val="20"/>
                <w:color w:val="auto"/>
              </w:rPr>
            </w:pPr>
            <w:r>
              <w:rPr>
                <w:rFonts w:ascii="Arial" w:cs="Arial" w:eastAsia="Arial" w:hAnsi="Arial"/>
                <w:sz w:val="14"/>
                <w:szCs w:val="14"/>
                <w:color w:val="auto"/>
                <w:w w:val="93"/>
              </w:rPr>
              <w:t>on July 24, 2020)</w:t>
            </w:r>
          </w:p>
        </w:tc>
        <w:tc>
          <w:tcPr>
            <w:tcW w:w="0" w:type="dxa"/>
            <w:vAlign w:val="bottom"/>
          </w:tcPr>
          <w:p>
            <w:pPr>
              <w:spacing w:after="0"/>
              <w:rPr>
                <w:sz w:val="1"/>
                <w:szCs w:val="1"/>
                <w:color w:val="auto"/>
              </w:rPr>
            </w:pPr>
          </w:p>
        </w:tc>
      </w:tr>
      <w:tr>
        <w:trPr>
          <w:trHeight w:val="81"/>
        </w:trPr>
        <w:tc>
          <w:tcPr>
            <w:tcW w:w="18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Pr>
          <w:p>
            <w:pPr>
              <w:spacing w:after="0"/>
              <w:rPr>
                <w:sz w:val="7"/>
                <w:szCs w:val="7"/>
                <w:color w:val="auto"/>
              </w:rPr>
            </w:pPr>
          </w:p>
        </w:tc>
        <w:tc>
          <w:tcPr>
            <w:tcW w:w="3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p>
      <w:pPr>
        <w:ind w:left="40"/>
        <w:spacing w:after="0" w:line="181" w:lineRule="exact"/>
        <w:tabs>
          <w:tab w:leader="none" w:pos="1600" w:val="left"/>
          <w:tab w:leader="none" w:pos="2020" w:val="left"/>
          <w:tab w:leader="none" w:pos="3260" w:val="left"/>
          <w:tab w:leader="none" w:pos="3680" w:val="left"/>
          <w:tab w:leader="none" w:pos="5260" w:val="left"/>
          <w:tab w:leader="none" w:pos="5680" w:val="left"/>
          <w:tab w:leader="none" w:pos="7660" w:val="left"/>
          <w:tab w:leader="none" w:pos="8080" w:val="left"/>
          <w:tab w:leader="none" w:pos="100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03"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6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60" w:right="339" w:bottom="1440" w:gutter="0" w:footer="0" w:header="0"/>
        </w:sectPr>
      </w:pPr>
    </w:p>
    <w:bookmarkStart w:id="1" w:name="page2"/>
    <w:bookmarkEnd w:id="1"/>
    <w:p>
      <w:pPr>
        <w:jc w:val="center"/>
        <w:ind w:right="-219"/>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INDEX</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2180" w:type="dxa"/>
            <w:vAlign w:val="bottom"/>
          </w:tcPr>
          <w:p>
            <w:pPr>
              <w:jc w:val="center"/>
              <w:ind w:left="1450"/>
              <w:spacing w:after="0"/>
              <w:rPr>
                <w:sz w:val="20"/>
                <w:szCs w:val="20"/>
                <w:color w:val="auto"/>
              </w:rPr>
            </w:pPr>
            <w:r>
              <w:rPr>
                <w:rFonts w:ascii="Arial" w:cs="Arial" w:eastAsia="Arial" w:hAnsi="Arial"/>
                <w:sz w:val="18"/>
                <w:szCs w:val="18"/>
                <w:color w:val="auto"/>
                <w:w w:val="85"/>
              </w:rPr>
              <w:t>Page</w:t>
            </w:r>
          </w:p>
        </w:tc>
      </w:tr>
      <w:tr>
        <w:trPr>
          <w:trHeight w:val="230"/>
        </w:trPr>
        <w:tc>
          <w:tcPr>
            <w:tcW w:w="7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2180" w:type="dxa"/>
            <w:vAlign w:val="bottom"/>
          </w:tcPr>
          <w:p>
            <w:pPr>
              <w:jc w:val="center"/>
              <w:ind w:left="1430"/>
              <w:spacing w:after="0"/>
              <w:rPr>
                <w:sz w:val="20"/>
                <w:szCs w:val="20"/>
                <w:color w:val="auto"/>
              </w:rPr>
            </w:pPr>
            <w:r>
              <w:rPr>
                <w:rFonts w:ascii="Arial" w:cs="Arial" w:eastAsia="Arial" w:hAnsi="Arial"/>
                <w:sz w:val="18"/>
                <w:szCs w:val="18"/>
                <w:color w:val="auto"/>
                <w:w w:val="90"/>
              </w:rPr>
              <w:t>Numbers</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PART I.</w:t>
            </w:r>
          </w:p>
        </w:tc>
        <w:tc>
          <w:tcPr>
            <w:tcW w:w="8040" w:type="dxa"/>
            <w:vAlign w:val="bottom"/>
          </w:tcPr>
          <w:p>
            <w:pPr>
              <w:ind w:left="80"/>
              <w:spacing w:after="0"/>
              <w:rPr>
                <w:sz w:val="20"/>
                <w:szCs w:val="20"/>
                <w:color w:val="auto"/>
              </w:rPr>
            </w:pPr>
            <w:r>
              <w:rPr>
                <w:rFonts w:ascii="Arial" w:cs="Arial" w:eastAsia="Arial" w:hAnsi="Arial"/>
                <w:sz w:val="18"/>
                <w:szCs w:val="18"/>
                <w:color w:val="auto"/>
              </w:rPr>
              <w:t>FINANCIAL INFORMATION</w:t>
            </w:r>
          </w:p>
        </w:tc>
        <w:tc>
          <w:tcPr>
            <w:tcW w:w="2180" w:type="dxa"/>
            <w:vAlign w:val="bottom"/>
          </w:tcPr>
          <w:p>
            <w:pPr>
              <w:spacing w:after="0"/>
              <w:rPr>
                <w:sz w:val="23"/>
                <w:szCs w:val="23"/>
                <w:color w:val="auto"/>
              </w:rPr>
            </w:pPr>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1.</w:t>
            </w:r>
          </w:p>
        </w:tc>
        <w:tc>
          <w:tcPr>
            <w:tcW w:w="804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2180" w:type="dxa"/>
            <w:vAlign w:val="bottom"/>
          </w:tcPr>
          <w:p>
            <w:pPr>
              <w:spacing w:after="0"/>
              <w:rPr>
                <w:sz w:val="24"/>
                <w:szCs w:val="24"/>
                <w:color w:val="auto"/>
              </w:rPr>
            </w:pPr>
          </w:p>
        </w:tc>
      </w:tr>
      <w:tr>
        <w:trPr>
          <w:trHeight w:val="540"/>
        </w:trPr>
        <w:tc>
          <w:tcPr>
            <w:tcW w:w="7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w:t>
              </w:r>
            </w:hyperlink>
          </w:p>
        </w:tc>
        <w:tc>
          <w:tcPr>
            <w:tcW w:w="2180" w:type="dxa"/>
            <w:vAlign w:val="bottom"/>
          </w:tcPr>
          <w:p>
            <w:pPr>
              <w:jc w:val="center"/>
              <w:ind w:left="1450"/>
              <w:spacing w:after="0"/>
              <w:rPr>
                <w:rFonts w:ascii="Arial" w:cs="Arial" w:eastAsia="Arial" w:hAnsi="Arial"/>
                <w:sz w:val="18"/>
                <w:szCs w:val="18"/>
                <w:u w:val="single" w:color="auto"/>
                <w:color w:val="0000EE"/>
                <w:w w:val="79"/>
              </w:rPr>
            </w:pPr>
            <w:hyperlink w:anchor="page3">
              <w:r>
                <w:rPr>
                  <w:rFonts w:ascii="Arial" w:cs="Arial" w:eastAsia="Arial" w:hAnsi="Arial"/>
                  <w:sz w:val="18"/>
                  <w:szCs w:val="18"/>
                  <w:u w:val="single" w:color="auto"/>
                  <w:color w:val="0000EE"/>
                  <w:w w:val="79"/>
                </w:rPr>
                <w:t>3</w:t>
              </w:r>
            </w:hyperlink>
          </w:p>
        </w:tc>
      </w:tr>
      <w:tr>
        <w:trPr>
          <w:trHeight w:val="540"/>
        </w:trPr>
        <w:tc>
          <w:tcPr>
            <w:tcW w:w="7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Statements of Comprehensive Income</w:t>
              </w:r>
            </w:hyperlink>
          </w:p>
        </w:tc>
        <w:tc>
          <w:tcPr>
            <w:tcW w:w="2180" w:type="dxa"/>
            <w:vAlign w:val="bottom"/>
          </w:tcPr>
          <w:p>
            <w:pPr>
              <w:jc w:val="center"/>
              <w:ind w:left="1450"/>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4</w:t>
              </w:r>
            </w:hyperlink>
          </w:p>
        </w:tc>
      </w:tr>
      <w:tr>
        <w:trPr>
          <w:trHeight w:val="540"/>
        </w:trPr>
        <w:tc>
          <w:tcPr>
            <w:tcW w:w="7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Statements of Shareholders’ Equity</w:t>
              </w:r>
            </w:hyperlink>
          </w:p>
        </w:tc>
        <w:tc>
          <w:tcPr>
            <w:tcW w:w="2180" w:type="dxa"/>
            <w:vAlign w:val="bottom"/>
          </w:tcPr>
          <w:p>
            <w:pPr>
              <w:jc w:val="center"/>
              <w:ind w:left="1450"/>
              <w:spacing w:after="0"/>
              <w:rPr>
                <w:rFonts w:ascii="Arial" w:cs="Arial" w:eastAsia="Arial" w:hAnsi="Arial"/>
                <w:sz w:val="18"/>
                <w:szCs w:val="18"/>
                <w:u w:val="single" w:color="auto"/>
                <w:color w:val="0000EE"/>
                <w:w w:val="79"/>
              </w:rPr>
            </w:pPr>
            <w:hyperlink w:anchor="page5">
              <w:r>
                <w:rPr>
                  <w:rFonts w:ascii="Arial" w:cs="Arial" w:eastAsia="Arial" w:hAnsi="Arial"/>
                  <w:sz w:val="18"/>
                  <w:szCs w:val="18"/>
                  <w:u w:val="single" w:color="auto"/>
                  <w:color w:val="0000EE"/>
                  <w:w w:val="79"/>
                </w:rPr>
                <w:t>5</w:t>
              </w:r>
            </w:hyperlink>
          </w:p>
        </w:tc>
      </w:tr>
      <w:tr>
        <w:trPr>
          <w:trHeight w:val="540"/>
        </w:trPr>
        <w:tc>
          <w:tcPr>
            <w:tcW w:w="7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Statements of Cash Flows</w:t>
              </w:r>
            </w:hyperlink>
          </w:p>
        </w:tc>
        <w:tc>
          <w:tcPr>
            <w:tcW w:w="2180" w:type="dxa"/>
            <w:vAlign w:val="bottom"/>
          </w:tcPr>
          <w:p>
            <w:pPr>
              <w:jc w:val="center"/>
              <w:ind w:left="1450"/>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6</w:t>
              </w:r>
            </w:hyperlink>
          </w:p>
        </w:tc>
      </w:tr>
      <w:tr>
        <w:trPr>
          <w:trHeight w:val="540"/>
        </w:trPr>
        <w:tc>
          <w:tcPr>
            <w:tcW w:w="7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Unaudited Condensed Consolidated Financial Statements</w:t>
              </w:r>
            </w:hyperlink>
          </w:p>
        </w:tc>
        <w:tc>
          <w:tcPr>
            <w:tcW w:w="2180" w:type="dxa"/>
            <w:vAlign w:val="bottom"/>
          </w:tcPr>
          <w:p>
            <w:pPr>
              <w:jc w:val="center"/>
              <w:ind w:left="1450"/>
              <w:spacing w:after="0"/>
              <w:rPr>
                <w:rFonts w:ascii="Arial" w:cs="Arial" w:eastAsia="Arial" w:hAnsi="Arial"/>
                <w:sz w:val="18"/>
                <w:szCs w:val="18"/>
                <w:u w:val="single" w:color="auto"/>
                <w:color w:val="0000EE"/>
                <w:w w:val="79"/>
              </w:rPr>
            </w:pPr>
            <w:hyperlink w:anchor="page7">
              <w:r>
                <w:rPr>
                  <w:rFonts w:ascii="Arial" w:cs="Arial" w:eastAsia="Arial" w:hAnsi="Arial"/>
                  <w:sz w:val="18"/>
                  <w:szCs w:val="18"/>
                  <w:u w:val="single" w:color="auto"/>
                  <w:color w:val="0000EE"/>
                  <w:w w:val="79"/>
                </w:rPr>
                <w:t>7</w:t>
              </w:r>
            </w:hyperlink>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8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Management’s Discussion and Analysis of Financial Condition and Results of Operations</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20">
              <w:r>
                <w:rPr>
                  <w:rFonts w:ascii="Arial" w:cs="Arial" w:eastAsia="Arial" w:hAnsi="Arial"/>
                  <w:sz w:val="18"/>
                  <w:szCs w:val="18"/>
                  <w:u w:val="single" w:color="auto"/>
                  <w:color w:val="0000EE"/>
                  <w:w w:val="89"/>
                </w:rPr>
                <w:t>20</w:t>
              </w:r>
            </w:hyperlink>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3.</w:t>
            </w:r>
          </w:p>
        </w:tc>
        <w:tc>
          <w:tcPr>
            <w:tcW w:w="804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Quantitative and Qualitative Disclosures about Market Risk</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35">
              <w:r>
                <w:rPr>
                  <w:rFonts w:ascii="Arial" w:cs="Arial" w:eastAsia="Arial" w:hAnsi="Arial"/>
                  <w:sz w:val="18"/>
                  <w:szCs w:val="18"/>
                  <w:u w:val="single" w:color="auto"/>
                  <w:color w:val="0000EE"/>
                  <w:w w:val="89"/>
                </w:rPr>
                <w:t>35</w:t>
              </w:r>
            </w:hyperlink>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4.</w:t>
            </w:r>
          </w:p>
        </w:tc>
        <w:tc>
          <w:tcPr>
            <w:tcW w:w="804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Controls and Procedures</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35">
              <w:r>
                <w:rPr>
                  <w:rFonts w:ascii="Arial" w:cs="Arial" w:eastAsia="Arial" w:hAnsi="Arial"/>
                  <w:sz w:val="18"/>
                  <w:szCs w:val="18"/>
                  <w:u w:val="single" w:color="auto"/>
                  <w:color w:val="0000EE"/>
                  <w:w w:val="89"/>
                </w:rPr>
                <w:t>35</w:t>
              </w:r>
            </w:hyperlink>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PART II.</w:t>
            </w:r>
          </w:p>
        </w:tc>
        <w:tc>
          <w:tcPr>
            <w:tcW w:w="804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2180" w:type="dxa"/>
            <w:vAlign w:val="bottom"/>
          </w:tcPr>
          <w:p>
            <w:pPr>
              <w:spacing w:after="0"/>
              <w:rPr>
                <w:sz w:val="24"/>
                <w:szCs w:val="24"/>
                <w:color w:val="auto"/>
              </w:rPr>
            </w:pPr>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1A.</w:t>
            </w:r>
          </w:p>
        </w:tc>
        <w:tc>
          <w:tcPr>
            <w:tcW w:w="804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Risk Factors</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35">
              <w:r>
                <w:rPr>
                  <w:rFonts w:ascii="Arial" w:cs="Arial" w:eastAsia="Arial" w:hAnsi="Arial"/>
                  <w:sz w:val="18"/>
                  <w:szCs w:val="18"/>
                  <w:u w:val="single" w:color="auto"/>
                  <w:color w:val="0000EE"/>
                  <w:w w:val="89"/>
                </w:rPr>
                <w:t>35</w:t>
              </w:r>
            </w:hyperlink>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tcPr>
          <w:p>
            <w:pPr>
              <w:ind w:left="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Unregistered Sales of Equity Securities and Use of Proceeds</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37">
              <w:r>
                <w:rPr>
                  <w:rFonts w:ascii="Arial" w:cs="Arial" w:eastAsia="Arial" w:hAnsi="Arial"/>
                  <w:sz w:val="18"/>
                  <w:szCs w:val="18"/>
                  <w:u w:val="single" w:color="auto"/>
                  <w:color w:val="0000EE"/>
                  <w:w w:val="89"/>
                </w:rPr>
                <w:t>37</w:t>
              </w:r>
            </w:hyperlink>
          </w:p>
        </w:tc>
      </w:tr>
      <w:tr>
        <w:trPr>
          <w:trHeight w:val="540"/>
        </w:trPr>
        <w:tc>
          <w:tcPr>
            <w:tcW w:w="720" w:type="dxa"/>
            <w:vAlign w:val="bottom"/>
          </w:tcPr>
          <w:p>
            <w:pPr>
              <w:spacing w:after="0"/>
              <w:rPr>
                <w:sz w:val="20"/>
                <w:szCs w:val="20"/>
                <w:color w:val="auto"/>
              </w:rPr>
            </w:pPr>
            <w:r>
              <w:rPr>
                <w:rFonts w:ascii="Arial" w:cs="Arial" w:eastAsia="Arial" w:hAnsi="Arial"/>
                <w:sz w:val="18"/>
                <w:szCs w:val="18"/>
                <w:color w:val="auto"/>
              </w:rPr>
              <w:t>Item 6.</w:t>
            </w:r>
          </w:p>
        </w:tc>
        <w:tc>
          <w:tcPr>
            <w:tcW w:w="8040" w:type="dxa"/>
            <w:vAlign w:val="bottom"/>
          </w:tcPr>
          <w:p>
            <w:pPr>
              <w:ind w:left="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Exhibits</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38">
              <w:r>
                <w:rPr>
                  <w:rFonts w:ascii="Arial" w:cs="Arial" w:eastAsia="Arial" w:hAnsi="Arial"/>
                  <w:sz w:val="18"/>
                  <w:szCs w:val="18"/>
                  <w:u w:val="single" w:color="auto"/>
                  <w:color w:val="0000EE"/>
                  <w:w w:val="89"/>
                </w:rPr>
                <w:t>38</w:t>
              </w:r>
            </w:hyperlink>
          </w:p>
        </w:tc>
      </w:tr>
      <w:tr>
        <w:trPr>
          <w:trHeight w:val="540"/>
        </w:trPr>
        <w:tc>
          <w:tcPr>
            <w:tcW w:w="720" w:type="dxa"/>
            <w:vAlign w:val="bottom"/>
          </w:tcPr>
          <w:p>
            <w:pPr>
              <w:spacing w:after="0"/>
              <w:rPr>
                <w:sz w:val="24"/>
                <w:szCs w:val="24"/>
                <w:color w:val="auto"/>
              </w:rPr>
            </w:pPr>
          </w:p>
        </w:tc>
        <w:tc>
          <w:tcPr>
            <w:tcW w:w="8040" w:type="dxa"/>
            <w:vAlign w:val="bottom"/>
          </w:tcPr>
          <w:p>
            <w:pPr>
              <w:ind w:left="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Signatures</w:t>
              </w:r>
            </w:hyperlink>
          </w:p>
        </w:tc>
        <w:tc>
          <w:tcPr>
            <w:tcW w:w="2180" w:type="dxa"/>
            <w:vAlign w:val="bottom"/>
          </w:tcPr>
          <w:p>
            <w:pPr>
              <w:jc w:val="center"/>
              <w:ind w:left="1430"/>
              <w:spacing w:after="0"/>
              <w:rPr>
                <w:rFonts w:ascii="Arial" w:cs="Arial" w:eastAsia="Arial" w:hAnsi="Arial"/>
                <w:sz w:val="18"/>
                <w:szCs w:val="18"/>
                <w:u w:val="single" w:color="auto"/>
                <w:color w:val="0000EE"/>
                <w:w w:val="89"/>
              </w:rPr>
            </w:pPr>
            <w:hyperlink w:anchor="page39">
              <w:r>
                <w:rPr>
                  <w:rFonts w:ascii="Arial" w:cs="Arial" w:eastAsia="Arial" w:hAnsi="Arial"/>
                  <w:sz w:val="18"/>
                  <w:szCs w:val="18"/>
                  <w:u w:val="single" w:color="auto"/>
                  <w:color w:val="0000EE"/>
                  <w:w w:val="89"/>
                </w:rPr>
                <w:t>39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60" w:top="557" w:right="5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4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1"/>
        </w:trPr>
        <w:tc>
          <w:tcPr>
            <w:tcW w:w="8440" w:type="dxa"/>
            <w:vAlign w:val="bottom"/>
          </w:tcPr>
          <w:p>
            <w:pPr>
              <w:spacing w:after="0"/>
              <w:rPr>
                <w:sz w:val="20"/>
                <w:szCs w:val="20"/>
                <w:color w:val="auto"/>
              </w:rPr>
            </w:pPr>
            <w:r>
              <w:rPr>
                <w:rFonts w:ascii="Arial" w:cs="Arial" w:eastAsia="Arial" w:hAnsi="Arial"/>
                <w:sz w:val="18"/>
                <w:szCs w:val="18"/>
                <w:b w:val="1"/>
                <w:bCs w:val="1"/>
                <w:color w:val="auto"/>
              </w:rPr>
              <w:t>SHENANDOAH TELECOMMUNICATIONS COMPANY AND SUBSIDIARIES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440" w:type="dxa"/>
            <w:vAlign w:val="bottom"/>
          </w:tcPr>
          <w:p>
            <w:pPr>
              <w:spacing w:after="0"/>
              <w:rPr>
                <w:sz w:val="20"/>
                <w:szCs w:val="20"/>
                <w:color w:val="auto"/>
              </w:rPr>
            </w:pPr>
            <w:r>
              <w:rPr>
                <w:rFonts w:ascii="Arial" w:cs="Arial" w:eastAsia="Arial" w:hAnsi="Arial"/>
                <w:sz w:val="18"/>
                <w:szCs w:val="18"/>
                <w:b w:val="1"/>
                <w:bCs w:val="1"/>
                <w:color w:val="auto"/>
              </w:rPr>
              <w:t>UNAUDITED CONDENSED CONSOLIDATED BALANCE SHEETS</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8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8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84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143,712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101,651</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 of $445 and $533, respectively</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91,682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63,541</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Income taxes receivable</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Inventory, net of allowances of $40 and $66, respectively</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5,728</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56,392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60,527</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28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299,533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241,753</w:t>
            </w:r>
          </w:p>
        </w:tc>
        <w:tc>
          <w:tcPr>
            <w:tcW w:w="0" w:type="dxa"/>
            <w:vAlign w:val="bottom"/>
          </w:tcPr>
          <w:p>
            <w:pPr>
              <w:spacing w:after="0"/>
              <w:rPr>
                <w:sz w:val="1"/>
                <w:szCs w:val="1"/>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12,661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12,388</w:t>
            </w:r>
          </w:p>
        </w:tc>
        <w:tc>
          <w:tcPr>
            <w:tcW w:w="0" w:type="dxa"/>
            <w:vAlign w:val="bottom"/>
          </w:tcPr>
          <w:p>
            <w:pPr>
              <w:spacing w:after="0"/>
              <w:rPr>
                <w:sz w:val="1"/>
                <w:szCs w:val="1"/>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703,012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701,514</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285,081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314,147</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149,070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149,070</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376,912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392,589</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Deferred charges and other assets</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54,311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53,352</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1,880,580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1,864,813</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4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4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84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Current maturities of long-term debt, net of unamortized loan fees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31,689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31,650</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26,702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40,295</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Advanced billings and customer deposits</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8,188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8,358</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13,439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10,075</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45,005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42,567</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Accrued liabilities and other</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20,304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14,391</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145,327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147,336</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Long-term debt, less current maturities, net of unamortized loan fees</w:t>
            </w: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672,601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688,464</w:t>
            </w:r>
          </w:p>
        </w:tc>
        <w:tc>
          <w:tcPr>
            <w:tcW w:w="0" w:type="dxa"/>
            <w:vAlign w:val="bottom"/>
          </w:tcPr>
          <w:p>
            <w:pPr>
              <w:spacing w:after="0"/>
              <w:rPr>
                <w:sz w:val="1"/>
                <w:szCs w:val="1"/>
                <w:color w:val="auto"/>
              </w:rPr>
            </w:pPr>
          </w:p>
        </w:tc>
      </w:tr>
      <w:tr>
        <w:trPr>
          <w:trHeight w:val="270"/>
        </w:trPr>
        <w:tc>
          <w:tcPr>
            <w:tcW w:w="84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144,273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137,567</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Asset retirement obligations</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37,929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36,914</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Benefit plan obligations</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12,247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332,850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352,439</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23,896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16,990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440" w:type="dxa"/>
            <w:vAlign w:val="bottom"/>
          </w:tcPr>
          <w:p>
            <w:pPr>
              <w:ind w:left="280"/>
              <w:spacing w:after="0"/>
              <w:rPr>
                <w:sz w:val="20"/>
                <w:szCs w:val="20"/>
                <w:color w:val="auto"/>
              </w:rPr>
            </w:pPr>
            <w:r>
              <w:rPr>
                <w:rFonts w:ascii="Arial" w:cs="Arial" w:eastAsia="Arial" w:hAnsi="Arial"/>
                <w:sz w:val="18"/>
                <w:szCs w:val="18"/>
                <w:color w:val="auto"/>
              </w:rPr>
              <w:t>Total other long-term liabilities</w:t>
            </w: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551,195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556,585</w:t>
            </w:r>
          </w:p>
        </w:tc>
        <w:tc>
          <w:tcPr>
            <w:tcW w:w="0" w:type="dxa"/>
            <w:vAlign w:val="bottom"/>
          </w:tcPr>
          <w:p>
            <w:pPr>
              <w:spacing w:after="0"/>
              <w:rPr>
                <w:sz w:val="1"/>
                <w:szCs w:val="1"/>
                <w:color w:val="auto"/>
              </w:rPr>
            </w:pPr>
          </w:p>
        </w:tc>
      </w:tr>
      <w:tr>
        <w:trPr>
          <w:trHeight w:val="27"/>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Shareholders’ equity:</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440" w:type="dxa"/>
            <w:vAlign w:val="bottom"/>
          </w:tcPr>
          <w:p>
            <w:pPr>
              <w:ind w:left="180"/>
              <w:spacing w:after="0"/>
              <w:rPr>
                <w:sz w:val="20"/>
                <w:szCs w:val="20"/>
                <w:color w:val="auto"/>
              </w:rPr>
            </w:pPr>
            <w:r>
              <w:rPr>
                <w:rFonts w:ascii="Arial" w:cs="Arial" w:eastAsia="Arial" w:hAnsi="Arial"/>
                <w:sz w:val="18"/>
                <w:szCs w:val="18"/>
                <w:color w:val="auto"/>
                <w:w w:val="90"/>
              </w:rPr>
              <w:t>Common stock, no par value, authorized 96,000; 49,852 and 49,671 issued and outstanding at June 30, 2020 and</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tcPr>
          <w:p>
            <w:pPr>
              <w:ind w:left="180"/>
              <w:spacing w:after="0"/>
              <w:rPr>
                <w:sz w:val="20"/>
                <w:szCs w:val="20"/>
                <w:color w:val="auto"/>
              </w:rPr>
            </w:pPr>
            <w:r>
              <w:rPr>
                <w:rFonts w:ascii="Arial" w:cs="Arial" w:eastAsia="Arial" w:hAnsi="Arial"/>
                <w:sz w:val="18"/>
                <w:szCs w:val="18"/>
                <w:color w:val="auto"/>
              </w:rPr>
              <w:t>December 31, 2019, respectively</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44,659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42,110</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472,537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430,010</w:t>
            </w:r>
          </w:p>
        </w:tc>
        <w:tc>
          <w:tcPr>
            <w:tcW w:w="0" w:type="dxa"/>
            <w:vAlign w:val="bottom"/>
          </w:tcPr>
          <w:p>
            <w:pPr>
              <w:spacing w:after="0"/>
              <w:rPr>
                <w:sz w:val="1"/>
                <w:szCs w:val="1"/>
                <w:color w:val="auto"/>
              </w:rPr>
            </w:pPr>
          </w:p>
        </w:tc>
      </w:tr>
      <w:tr>
        <w:trPr>
          <w:trHeight w:val="270"/>
        </w:trPr>
        <w:tc>
          <w:tcPr>
            <w:tcW w:w="8440" w:type="dxa"/>
            <w:vAlign w:val="bottom"/>
          </w:tcPr>
          <w:p>
            <w:pPr>
              <w:ind w:left="180"/>
              <w:spacing w:after="0"/>
              <w:rPr>
                <w:sz w:val="20"/>
                <w:szCs w:val="20"/>
                <w:color w:val="auto"/>
              </w:rPr>
            </w:pPr>
            <w:r>
              <w:rPr>
                <w:rFonts w:ascii="Arial" w:cs="Arial" w:eastAsia="Arial" w:hAnsi="Arial"/>
                <w:sz w:val="18"/>
                <w:szCs w:val="18"/>
                <w:color w:val="auto"/>
              </w:rPr>
              <w:t>Accumulated other comprehensive (loss) income, net of taxes</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440" w:type="dxa"/>
            <w:vAlign w:val="bottom"/>
          </w:tcPr>
          <w:p>
            <w:pPr>
              <w:ind w:left="280"/>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511,457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472,428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1,880,580</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1,864,813</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SHENANDOAH TELECOMMUNICATIONS COMPANY AND SUBSIDIARIES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UNAUDITED CONDENSED CONSOLIDATED STATEMENTS OF COMPREHENSIVE INCOME</w:t>
      </w:r>
    </w:p>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5240" w:type="dxa"/>
            <w:vAlign w:val="bottom"/>
          </w:tcPr>
          <w:p>
            <w:pPr>
              <w:spacing w:after="0"/>
              <w:rPr>
                <w:sz w:val="20"/>
                <w:szCs w:val="20"/>
                <w:color w:val="auto"/>
              </w:rPr>
            </w:pPr>
            <w:r>
              <w:rPr>
                <w:rFonts w:ascii="Arial" w:cs="Arial" w:eastAsia="Arial" w:hAnsi="Arial"/>
                <w:sz w:val="16"/>
                <w:szCs w:val="16"/>
                <w:i w:val="1"/>
                <w:iCs w:val="1"/>
                <w:color w:val="auto"/>
              </w:rPr>
              <w:t>(in thousands, except per share amounts)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2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21"/>
                <w:szCs w:val="21"/>
                <w:color w:val="auto"/>
              </w:rPr>
            </w:pPr>
          </w:p>
        </w:tc>
        <w:tc>
          <w:tcPr>
            <w:tcW w:w="2480" w:type="dxa"/>
            <w:vAlign w:val="bottom"/>
            <w:gridSpan w:val="4"/>
          </w:tcPr>
          <w:p>
            <w:pPr>
              <w:jc w:val="right"/>
              <w:ind w:right="65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240" w:type="dxa"/>
            <w:vAlign w:val="bottom"/>
            <w:vMerge w:val="restart"/>
          </w:tcPr>
          <w:p>
            <w:pPr>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2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5240" w:type="dxa"/>
            <w:vAlign w:val="bottom"/>
            <w:vMerge w:val="restart"/>
          </w:tcPr>
          <w:p>
            <w:pPr>
              <w:ind w:left="140"/>
              <w:spacing w:after="0"/>
              <w:rPr>
                <w:sz w:val="20"/>
                <w:szCs w:val="20"/>
                <w:color w:val="auto"/>
              </w:rPr>
            </w:pPr>
            <w:r>
              <w:rPr>
                <w:rFonts w:ascii="Arial" w:cs="Arial" w:eastAsia="Arial" w:hAnsi="Arial"/>
                <w:sz w:val="18"/>
                <w:szCs w:val="18"/>
                <w:color w:val="auto"/>
              </w:rPr>
              <w:t>Service revenue and other</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159,720</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142,059</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299,908</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285,290</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Equipment revenue</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9,806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16,855</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22,806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32,467</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24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169,526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158,914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322,714</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317,757</w:t>
            </w:r>
          </w:p>
        </w:tc>
        <w:tc>
          <w:tcPr>
            <w:tcW w:w="0" w:type="dxa"/>
            <w:vAlign w:val="bottom"/>
          </w:tcPr>
          <w:p>
            <w:pPr>
              <w:spacing w:after="0"/>
              <w:rPr>
                <w:sz w:val="1"/>
                <w:szCs w:val="1"/>
                <w:color w:val="auto"/>
              </w:rPr>
            </w:pPr>
          </w:p>
        </w:tc>
      </w:tr>
      <w:tr>
        <w:trPr>
          <w:trHeight w:val="27"/>
        </w:trPr>
        <w:tc>
          <w:tcPr>
            <w:tcW w:w="524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24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32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50,640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49,497</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100,205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99,015</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9,658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15,874</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22,329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30,511</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31,394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27,170</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62,385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55,892</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34,832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42,353</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71,743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83,532</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126,524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134,894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256,662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268,950</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2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43,002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24,020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66,052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48,807</w:t>
            </w:r>
          </w:p>
        </w:tc>
        <w:tc>
          <w:tcPr>
            <w:tcW w:w="0" w:type="dxa"/>
            <w:vAlign w:val="bottom"/>
          </w:tcPr>
          <w:p>
            <w:pPr>
              <w:spacing w:after="0"/>
              <w:rPr>
                <w:sz w:val="1"/>
                <w:szCs w:val="1"/>
                <w:color w:val="auto"/>
              </w:rPr>
            </w:pPr>
          </w:p>
        </w:tc>
      </w:tr>
      <w:tr>
        <w:trPr>
          <w:trHeight w:val="27"/>
        </w:trPr>
        <w:tc>
          <w:tcPr>
            <w:tcW w:w="5240" w:type="dxa"/>
            <w:vAlign w:val="bottom"/>
            <w:vMerge w:val="restart"/>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2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(5,044)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(7,522)</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(11,255)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(15,476)</w:t>
            </w: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2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39,531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17,674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57,103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35,794</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10,284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4,524</w:t>
            </w: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14,576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8,734</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2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29,247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13,150</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42,527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27,060</w:t>
            </w:r>
          </w:p>
        </w:tc>
        <w:tc>
          <w:tcPr>
            <w:tcW w:w="0" w:type="dxa"/>
            <w:vAlign w:val="bottom"/>
          </w:tcPr>
          <w:p>
            <w:pPr>
              <w:spacing w:after="0"/>
              <w:rPr>
                <w:sz w:val="1"/>
                <w:szCs w:val="1"/>
                <w:color w:val="auto"/>
              </w:rPr>
            </w:pPr>
          </w:p>
        </w:tc>
      </w:tr>
      <w:tr>
        <w:trPr>
          <w:trHeight w:val="27"/>
        </w:trPr>
        <w:tc>
          <w:tcPr>
            <w:tcW w:w="5240" w:type="dxa"/>
            <w:vAlign w:val="bottom"/>
            <w:vMerge w:val="restart"/>
          </w:tcPr>
          <w:p>
            <w:pPr>
              <w:spacing w:after="0"/>
              <w:rPr>
                <w:sz w:val="20"/>
                <w:szCs w:val="20"/>
                <w:color w:val="auto"/>
              </w:rPr>
            </w:pPr>
            <w:r>
              <w:rPr>
                <w:rFonts w:ascii="Arial" w:cs="Arial" w:eastAsia="Arial" w:hAnsi="Arial"/>
                <w:sz w:val="18"/>
                <w:szCs w:val="18"/>
                <w:color w:val="auto"/>
              </w:rPr>
              <w:t>Other comprehensive income:</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5240" w:type="dxa"/>
            <w:vAlign w:val="bottom"/>
          </w:tcPr>
          <w:p>
            <w:pPr>
              <w:ind w:left="140"/>
              <w:spacing w:after="0"/>
              <w:rPr>
                <w:sz w:val="20"/>
                <w:szCs w:val="20"/>
                <w:color w:val="auto"/>
              </w:rPr>
            </w:pPr>
            <w:r>
              <w:rPr>
                <w:rFonts w:ascii="Arial" w:cs="Arial" w:eastAsia="Arial" w:hAnsi="Arial"/>
                <w:sz w:val="18"/>
                <w:szCs w:val="18"/>
                <w:color w:val="auto"/>
              </w:rPr>
              <w:t>Unrealized income (loss) on interest rate hedge, net of tax</w:t>
            </w:r>
          </w:p>
        </w:tc>
        <w:tc>
          <w:tcPr>
            <w:tcW w:w="320" w:type="dxa"/>
            <w:vAlign w:val="bottom"/>
          </w:tcPr>
          <w:p>
            <w:pPr>
              <w:spacing w:after="0"/>
              <w:rPr>
                <w:sz w:val="24"/>
                <w:szCs w:val="24"/>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(4,212)</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(6,047)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(6,940)</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2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4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29,306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8,938</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36,480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20,120</w:t>
            </w:r>
          </w:p>
        </w:tc>
        <w:tc>
          <w:tcPr>
            <w:tcW w:w="0" w:type="dxa"/>
            <w:vAlign w:val="bottom"/>
          </w:tcPr>
          <w:p>
            <w:pPr>
              <w:spacing w:after="0"/>
              <w:rPr>
                <w:sz w:val="1"/>
                <w:szCs w:val="1"/>
                <w:color w:val="auto"/>
              </w:rPr>
            </w:pPr>
          </w:p>
        </w:tc>
      </w:tr>
      <w:tr>
        <w:trPr>
          <w:trHeight w:val="27"/>
        </w:trPr>
        <w:tc>
          <w:tcPr>
            <w:tcW w:w="5240" w:type="dxa"/>
            <w:vAlign w:val="bottom"/>
            <w:vMerge w:val="restart"/>
          </w:tcPr>
          <w:p>
            <w:pPr>
              <w:spacing w:after="0"/>
              <w:rPr>
                <w:sz w:val="20"/>
                <w:szCs w:val="20"/>
                <w:color w:val="auto"/>
              </w:rPr>
            </w:pPr>
            <w:r>
              <w:rPr>
                <w:rFonts w:ascii="Arial" w:cs="Arial" w:eastAsia="Arial" w:hAnsi="Arial"/>
                <w:sz w:val="18"/>
                <w:szCs w:val="18"/>
                <w:color w:val="auto"/>
              </w:rPr>
              <w:t>Net income per share, basic and diluted:</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140"/>
              <w:spacing w:after="0"/>
              <w:rPr>
                <w:sz w:val="20"/>
                <w:szCs w:val="20"/>
                <w:color w:val="auto"/>
              </w:rPr>
            </w:pPr>
            <w:r>
              <w:rPr>
                <w:rFonts w:ascii="Arial" w:cs="Arial" w:eastAsia="Arial" w:hAnsi="Arial"/>
                <w:sz w:val="18"/>
                <w:szCs w:val="18"/>
                <w:color w:val="auto"/>
              </w:rPr>
              <w:t>Basic net income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3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140"/>
              <w:spacing w:after="0"/>
              <w:rPr>
                <w:sz w:val="20"/>
                <w:szCs w:val="20"/>
                <w:color w:val="auto"/>
              </w:rPr>
            </w:pPr>
            <w:r>
              <w:rPr>
                <w:rFonts w:ascii="Arial" w:cs="Arial" w:eastAsia="Arial" w:hAnsi="Arial"/>
                <w:sz w:val="18"/>
                <w:szCs w:val="18"/>
                <w:color w:val="auto"/>
              </w:rPr>
              <w:t>Diluted net income per share</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vMerge w:val="continue"/>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basic</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49,902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49,848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49,878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49,812</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diluted</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50,082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50,142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50,039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50,118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thousands)</w:t>
      </w:r>
    </w:p>
    <w:p>
      <w:pPr>
        <w:spacing w:after="0" w:line="4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4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Accumulated Other</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35"/>
        </w:trPr>
        <w:tc>
          <w:tcPr>
            <w:tcW w:w="4140" w:type="dxa"/>
            <w:vAlign w:val="bottom"/>
          </w:tcPr>
          <w:p>
            <w:pPr>
              <w:spacing w:after="0"/>
              <w:rPr>
                <w:sz w:val="11"/>
                <w:szCs w:val="11"/>
                <w:color w:val="auto"/>
              </w:rPr>
            </w:pPr>
          </w:p>
        </w:tc>
        <w:tc>
          <w:tcPr>
            <w:tcW w:w="13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Shares of Common</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 Paid in</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Comprehensive Income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74"/>
        </w:trPr>
        <w:tc>
          <w:tcPr>
            <w:tcW w:w="414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Stock (no par value)</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(Loss)</w:t>
            </w:r>
          </w:p>
        </w:tc>
        <w:tc>
          <w:tcPr>
            <w:tcW w:w="320" w:type="dxa"/>
            <w:vAlign w:val="bottom"/>
          </w:tcPr>
          <w:p>
            <w:pPr>
              <w:spacing w:after="0"/>
              <w:rPr>
                <w:sz w:val="15"/>
                <w:szCs w:val="15"/>
                <w:color w:val="auto"/>
              </w:rPr>
            </w:pPr>
          </w:p>
        </w:tc>
        <w:tc>
          <w:tcPr>
            <w:tcW w:w="1020" w:type="dxa"/>
            <w:vAlign w:val="bottom"/>
          </w:tcPr>
          <w:p>
            <w:pPr>
              <w:jc w:val="right"/>
              <w:ind w:right="469"/>
              <w:spacing w:after="0"/>
              <w:rPr>
                <w:sz w:val="20"/>
                <w:szCs w:val="20"/>
                <w:color w:val="auto"/>
              </w:rPr>
            </w:pPr>
            <w:r>
              <w:rPr>
                <w:rFonts w:ascii="Arial" w:cs="Arial" w:eastAsia="Arial" w:hAnsi="Arial"/>
                <w:sz w:val="13"/>
                <w:szCs w:val="13"/>
                <w:b w:val="1"/>
                <w:bCs w:val="1"/>
                <w:color w:val="auto"/>
              </w:rPr>
              <w:t>Total</w:t>
            </w:r>
          </w:p>
        </w:tc>
      </w:tr>
      <w:tr>
        <w:trPr>
          <w:trHeight w:val="244"/>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March 31, 2020</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49,842</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43,158</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443,290</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(5,798)</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480,650</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29,247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29,247</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59</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1,731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1,731</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Common stock issued</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7</w:t>
            </w:r>
          </w:p>
        </w:tc>
      </w:tr>
      <w:tr>
        <w:trPr>
          <w:trHeight w:val="169"/>
        </w:trPr>
        <w:tc>
          <w:tcPr>
            <w:tcW w:w="4140" w:type="dxa"/>
            <w:vAlign w:val="bottom"/>
          </w:tcPr>
          <w:p>
            <w:pPr>
              <w:ind w:left="140"/>
              <w:spacing w:after="0"/>
              <w:rPr>
                <w:sz w:val="20"/>
                <w:szCs w:val="20"/>
                <w:color w:val="auto"/>
              </w:rPr>
            </w:pPr>
            <w:r>
              <w:rPr>
                <w:rFonts w:ascii="Arial" w:cs="Arial" w:eastAsia="Arial" w:hAnsi="Arial"/>
                <w:sz w:val="14"/>
                <w:szCs w:val="14"/>
                <w:color w:val="auto"/>
                <w:w w:val="98"/>
              </w:rPr>
              <w:t>Shares retired for settlement of employee taxes upon issuance of</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8"/>
        </w:trPr>
        <w:tc>
          <w:tcPr>
            <w:tcW w:w="4140" w:type="dxa"/>
            <w:vAlign w:val="bottom"/>
          </w:tcPr>
          <w:p>
            <w:pPr>
              <w:ind w:left="140"/>
              <w:spacing w:after="0"/>
              <w:rPr>
                <w:sz w:val="20"/>
                <w:szCs w:val="20"/>
                <w:color w:val="auto"/>
              </w:rPr>
            </w:pPr>
            <w:r>
              <w:rPr>
                <w:rFonts w:ascii="Arial" w:cs="Arial" w:eastAsia="Arial" w:hAnsi="Arial"/>
                <w:sz w:val="14"/>
                <w:szCs w:val="14"/>
                <w:color w:val="auto"/>
              </w:rPr>
              <w:t>vested equity awards</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(237)</w:t>
            </w:r>
          </w:p>
        </w:tc>
      </w:tr>
      <w:tr>
        <w:trPr>
          <w:trHeight w:val="237"/>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June 30, 2020</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49,852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44,659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472,537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(5,739)</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511,457</w:t>
            </w:r>
          </w:p>
        </w:tc>
      </w:tr>
      <w:tr>
        <w:trPr>
          <w:trHeight w:val="20"/>
        </w:trPr>
        <w:tc>
          <w:tcPr>
            <w:tcW w:w="4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06"/>
        </w:trPr>
        <w:tc>
          <w:tcPr>
            <w:tcW w:w="4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Accumulated Other</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4140" w:type="dxa"/>
            <w:vAlign w:val="bottom"/>
          </w:tcPr>
          <w:p>
            <w:pPr>
              <w:spacing w:after="0"/>
              <w:rPr>
                <w:sz w:val="11"/>
                <w:szCs w:val="11"/>
                <w:color w:val="auto"/>
              </w:rPr>
            </w:pPr>
          </w:p>
        </w:tc>
        <w:tc>
          <w:tcPr>
            <w:tcW w:w="13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Shares of Common</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 Paid in</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Comprehensive Income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74"/>
        </w:trPr>
        <w:tc>
          <w:tcPr>
            <w:tcW w:w="414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Stock (no par value)</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(Loss)</w:t>
            </w:r>
          </w:p>
        </w:tc>
        <w:tc>
          <w:tcPr>
            <w:tcW w:w="320" w:type="dxa"/>
            <w:vAlign w:val="bottom"/>
          </w:tcPr>
          <w:p>
            <w:pPr>
              <w:spacing w:after="0"/>
              <w:rPr>
                <w:sz w:val="15"/>
                <w:szCs w:val="15"/>
                <w:color w:val="auto"/>
              </w:rPr>
            </w:pPr>
          </w:p>
        </w:tc>
        <w:tc>
          <w:tcPr>
            <w:tcW w:w="1020" w:type="dxa"/>
            <w:vAlign w:val="bottom"/>
          </w:tcPr>
          <w:p>
            <w:pPr>
              <w:jc w:val="right"/>
              <w:ind w:right="469"/>
              <w:spacing w:after="0"/>
              <w:rPr>
                <w:sz w:val="20"/>
                <w:szCs w:val="20"/>
                <w:color w:val="auto"/>
              </w:rPr>
            </w:pPr>
            <w:r>
              <w:rPr>
                <w:rFonts w:ascii="Arial" w:cs="Arial" w:eastAsia="Arial" w:hAnsi="Arial"/>
                <w:sz w:val="13"/>
                <w:szCs w:val="13"/>
                <w:b w:val="1"/>
                <w:bCs w:val="1"/>
                <w:color w:val="auto"/>
              </w:rPr>
              <w:t>Total</w:t>
            </w:r>
          </w:p>
        </w:tc>
      </w:tr>
      <w:tr>
        <w:trPr>
          <w:trHeight w:val="244"/>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December 31, 2019</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49,671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42,110</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430,010</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308</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472,428</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42,527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42,527</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(6,047)</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4,716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4,716</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Common stock issued</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15</w:t>
            </w:r>
          </w:p>
        </w:tc>
      </w:tr>
      <w:tr>
        <w:trPr>
          <w:trHeight w:val="169"/>
        </w:trPr>
        <w:tc>
          <w:tcPr>
            <w:tcW w:w="4140" w:type="dxa"/>
            <w:vAlign w:val="bottom"/>
          </w:tcPr>
          <w:p>
            <w:pPr>
              <w:ind w:left="140"/>
              <w:spacing w:after="0"/>
              <w:rPr>
                <w:sz w:val="20"/>
                <w:szCs w:val="20"/>
                <w:color w:val="auto"/>
              </w:rPr>
            </w:pPr>
            <w:r>
              <w:rPr>
                <w:rFonts w:ascii="Arial" w:cs="Arial" w:eastAsia="Arial" w:hAnsi="Arial"/>
                <w:sz w:val="14"/>
                <w:szCs w:val="14"/>
                <w:color w:val="auto"/>
                <w:w w:val="98"/>
              </w:rPr>
              <w:t>Shares retired for settlement of employee taxes upon issuance of</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2"/>
        </w:trPr>
        <w:tc>
          <w:tcPr>
            <w:tcW w:w="4140" w:type="dxa"/>
            <w:vAlign w:val="bottom"/>
          </w:tcPr>
          <w:p>
            <w:pPr>
              <w:ind w:left="140"/>
              <w:spacing w:after="0"/>
              <w:rPr>
                <w:sz w:val="20"/>
                <w:szCs w:val="20"/>
                <w:color w:val="auto"/>
              </w:rPr>
            </w:pPr>
            <w:r>
              <w:rPr>
                <w:rFonts w:ascii="Arial" w:cs="Arial" w:eastAsia="Arial" w:hAnsi="Arial"/>
                <w:sz w:val="14"/>
                <w:szCs w:val="14"/>
                <w:color w:val="auto"/>
              </w:rPr>
              <w:t>vested equity awards</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(2,182)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(2,182)</w:t>
            </w:r>
          </w:p>
        </w:tc>
      </w:tr>
      <w:tr>
        <w:trPr>
          <w:trHeight w:val="276"/>
        </w:trPr>
        <w:tc>
          <w:tcPr>
            <w:tcW w:w="4140" w:type="dxa"/>
            <w:vAlign w:val="bottom"/>
          </w:tcPr>
          <w:p>
            <w:pPr>
              <w:ind w:left="140"/>
              <w:spacing w:after="0"/>
              <w:rPr>
                <w:sz w:val="20"/>
                <w:szCs w:val="20"/>
                <w:color w:val="auto"/>
              </w:rPr>
            </w:pPr>
            <w:r>
              <w:rPr>
                <w:rFonts w:ascii="Arial" w:cs="Arial" w:eastAsia="Arial" w:hAnsi="Arial"/>
                <w:sz w:val="14"/>
                <w:szCs w:val="14"/>
                <w:color w:val="auto"/>
                <w:w w:val="97"/>
              </w:rPr>
              <w:t>Common stock issued to acquire non-controlling interest in nTelos</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June 30, 2020</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49,852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44,659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472,537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(5,739)</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511,457</w:t>
            </w:r>
          </w:p>
        </w:tc>
      </w:tr>
      <w:tr>
        <w:trPr>
          <w:trHeight w:val="20"/>
        </w:trPr>
        <w:tc>
          <w:tcPr>
            <w:tcW w:w="4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06"/>
        </w:trPr>
        <w:tc>
          <w:tcPr>
            <w:tcW w:w="4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Accumulated Other</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4140" w:type="dxa"/>
            <w:vAlign w:val="bottom"/>
          </w:tcPr>
          <w:p>
            <w:pPr>
              <w:spacing w:after="0"/>
              <w:rPr>
                <w:sz w:val="11"/>
                <w:szCs w:val="11"/>
                <w:color w:val="auto"/>
              </w:rPr>
            </w:pPr>
          </w:p>
        </w:tc>
        <w:tc>
          <w:tcPr>
            <w:tcW w:w="13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Shares of Common</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 Paid in</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Comprehensive Income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74"/>
        </w:trPr>
        <w:tc>
          <w:tcPr>
            <w:tcW w:w="414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Stock (no par value)</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(Loss)</w:t>
            </w:r>
          </w:p>
        </w:tc>
        <w:tc>
          <w:tcPr>
            <w:tcW w:w="320" w:type="dxa"/>
            <w:vAlign w:val="bottom"/>
          </w:tcPr>
          <w:p>
            <w:pPr>
              <w:spacing w:after="0"/>
              <w:rPr>
                <w:sz w:val="15"/>
                <w:szCs w:val="15"/>
                <w:color w:val="auto"/>
              </w:rPr>
            </w:pPr>
          </w:p>
        </w:tc>
        <w:tc>
          <w:tcPr>
            <w:tcW w:w="1020" w:type="dxa"/>
            <w:vAlign w:val="bottom"/>
          </w:tcPr>
          <w:p>
            <w:pPr>
              <w:jc w:val="right"/>
              <w:ind w:right="469"/>
              <w:spacing w:after="0"/>
              <w:rPr>
                <w:sz w:val="20"/>
                <w:szCs w:val="20"/>
                <w:color w:val="auto"/>
              </w:rPr>
            </w:pPr>
            <w:r>
              <w:rPr>
                <w:rFonts w:ascii="Arial" w:cs="Arial" w:eastAsia="Arial" w:hAnsi="Arial"/>
                <w:sz w:val="13"/>
                <w:szCs w:val="13"/>
                <w:b w:val="1"/>
                <w:bCs w:val="1"/>
                <w:color w:val="auto"/>
              </w:rPr>
              <w:t>Total</w:t>
            </w:r>
          </w:p>
        </w:tc>
      </w:tr>
      <w:tr>
        <w:trPr>
          <w:trHeight w:val="245"/>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March 31, 2019</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49,844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46,641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402,406</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5,552</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454,599</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13,150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13,150</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(4,212)</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695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695</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Stock options exercised</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Common stock issued</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8</w:t>
            </w:r>
          </w:p>
        </w:tc>
      </w:tr>
      <w:tr>
        <w:trPr>
          <w:trHeight w:val="169"/>
        </w:trPr>
        <w:tc>
          <w:tcPr>
            <w:tcW w:w="4140" w:type="dxa"/>
            <w:vAlign w:val="bottom"/>
          </w:tcPr>
          <w:p>
            <w:pPr>
              <w:ind w:left="140"/>
              <w:spacing w:after="0"/>
              <w:rPr>
                <w:sz w:val="20"/>
                <w:szCs w:val="20"/>
                <w:color w:val="auto"/>
              </w:rPr>
            </w:pPr>
            <w:r>
              <w:rPr>
                <w:rFonts w:ascii="Arial" w:cs="Arial" w:eastAsia="Arial" w:hAnsi="Arial"/>
                <w:sz w:val="14"/>
                <w:szCs w:val="14"/>
                <w:color w:val="auto"/>
                <w:w w:val="98"/>
              </w:rPr>
              <w:t>Shares retired for settlement of employee taxes upon issuance of</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8"/>
        </w:trPr>
        <w:tc>
          <w:tcPr>
            <w:tcW w:w="4140" w:type="dxa"/>
            <w:vAlign w:val="bottom"/>
          </w:tcPr>
          <w:p>
            <w:pPr>
              <w:ind w:left="140"/>
              <w:spacing w:after="0"/>
              <w:rPr>
                <w:sz w:val="20"/>
                <w:szCs w:val="20"/>
                <w:color w:val="auto"/>
              </w:rPr>
            </w:pPr>
            <w:r>
              <w:rPr>
                <w:rFonts w:ascii="Arial" w:cs="Arial" w:eastAsia="Arial" w:hAnsi="Arial"/>
                <w:sz w:val="14"/>
                <w:szCs w:val="14"/>
                <w:color w:val="auto"/>
              </w:rPr>
              <w:t>vested equity awards</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37"/>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June 30, 2019</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49,857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47,138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415,556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464,034</w:t>
            </w:r>
          </w:p>
        </w:tc>
      </w:tr>
      <w:tr>
        <w:trPr>
          <w:trHeight w:val="20"/>
        </w:trPr>
        <w:tc>
          <w:tcPr>
            <w:tcW w:w="4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19"/>
        </w:trPr>
        <w:tc>
          <w:tcPr>
            <w:tcW w:w="4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Accumulated Other</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35"/>
        </w:trPr>
        <w:tc>
          <w:tcPr>
            <w:tcW w:w="4140" w:type="dxa"/>
            <w:vAlign w:val="bottom"/>
          </w:tcPr>
          <w:p>
            <w:pPr>
              <w:spacing w:after="0"/>
              <w:rPr>
                <w:sz w:val="11"/>
                <w:szCs w:val="11"/>
                <w:color w:val="auto"/>
              </w:rPr>
            </w:pPr>
          </w:p>
        </w:tc>
        <w:tc>
          <w:tcPr>
            <w:tcW w:w="136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Shares of Common</w:t>
            </w: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Additional Paid in</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4"/>
              </w:rPr>
              <w:t>Comprehensive Income</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74"/>
        </w:trPr>
        <w:tc>
          <w:tcPr>
            <w:tcW w:w="414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6"/>
              </w:rPr>
              <w:t>Stock (no par value)</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 Earnings</w:t>
            </w:r>
          </w:p>
        </w:tc>
        <w:tc>
          <w:tcPr>
            <w:tcW w:w="12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(Loss)</w:t>
            </w:r>
          </w:p>
        </w:tc>
        <w:tc>
          <w:tcPr>
            <w:tcW w:w="320" w:type="dxa"/>
            <w:vAlign w:val="bottom"/>
          </w:tcPr>
          <w:p>
            <w:pPr>
              <w:spacing w:after="0"/>
              <w:rPr>
                <w:sz w:val="15"/>
                <w:szCs w:val="15"/>
                <w:color w:val="auto"/>
              </w:rPr>
            </w:pPr>
          </w:p>
        </w:tc>
        <w:tc>
          <w:tcPr>
            <w:tcW w:w="1020" w:type="dxa"/>
            <w:vAlign w:val="bottom"/>
          </w:tcPr>
          <w:p>
            <w:pPr>
              <w:jc w:val="right"/>
              <w:ind w:right="469"/>
              <w:spacing w:after="0"/>
              <w:rPr>
                <w:sz w:val="20"/>
                <w:szCs w:val="20"/>
                <w:color w:val="auto"/>
              </w:rPr>
            </w:pPr>
            <w:r>
              <w:rPr>
                <w:rFonts w:ascii="Arial" w:cs="Arial" w:eastAsia="Arial" w:hAnsi="Arial"/>
                <w:sz w:val="13"/>
                <w:szCs w:val="13"/>
                <w:b w:val="1"/>
                <w:bCs w:val="1"/>
                <w:color w:val="auto"/>
              </w:rPr>
              <w:t>Total</w:t>
            </w:r>
          </w:p>
        </w:tc>
      </w:tr>
      <w:tr>
        <w:trPr>
          <w:trHeight w:val="245"/>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December 31, 2018</w:t>
            </w:r>
          </w:p>
        </w:tc>
        <w:tc>
          <w:tcPr>
            <w:tcW w:w="124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49,630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47,456</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388,496</w:t>
            </w:r>
          </w:p>
        </w:tc>
        <w:tc>
          <w:tcPr>
            <w:tcW w:w="10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8,280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444,232</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49"/>
              <w:spacing w:after="0"/>
              <w:rPr>
                <w:sz w:val="20"/>
                <w:szCs w:val="20"/>
                <w:color w:val="auto"/>
              </w:rPr>
            </w:pPr>
            <w:r>
              <w:rPr>
                <w:rFonts w:ascii="Arial" w:cs="Arial" w:eastAsia="Arial" w:hAnsi="Arial"/>
                <w:sz w:val="14"/>
                <w:szCs w:val="14"/>
                <w:color w:val="auto"/>
              </w:rPr>
              <w:t>27,060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27,060</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Other comprehensive loss, net of tax</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(6,940)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(6,940)</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2,497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2,497</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Stock options exercised</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81</w:t>
            </w:r>
          </w:p>
        </w:tc>
      </w:tr>
      <w:tr>
        <w:trPr>
          <w:trHeight w:val="270"/>
        </w:trPr>
        <w:tc>
          <w:tcPr>
            <w:tcW w:w="4140" w:type="dxa"/>
            <w:vAlign w:val="bottom"/>
          </w:tcPr>
          <w:p>
            <w:pPr>
              <w:ind w:left="140"/>
              <w:spacing w:after="0"/>
              <w:rPr>
                <w:sz w:val="20"/>
                <w:szCs w:val="20"/>
                <w:color w:val="auto"/>
              </w:rPr>
            </w:pPr>
            <w:r>
              <w:rPr>
                <w:rFonts w:ascii="Arial" w:cs="Arial" w:eastAsia="Arial" w:hAnsi="Arial"/>
                <w:sz w:val="14"/>
                <w:szCs w:val="14"/>
                <w:color w:val="auto"/>
              </w:rPr>
              <w:t>Common stock issued</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20" w:type="dxa"/>
            <w:vAlign w:val="bottom"/>
          </w:tcPr>
          <w:p>
            <w:pPr>
              <w:jc w:val="right"/>
              <w:ind w:right="50"/>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16</w:t>
            </w:r>
          </w:p>
        </w:tc>
      </w:tr>
      <w:tr>
        <w:trPr>
          <w:trHeight w:val="169"/>
        </w:trPr>
        <w:tc>
          <w:tcPr>
            <w:tcW w:w="4140" w:type="dxa"/>
            <w:vAlign w:val="bottom"/>
          </w:tcPr>
          <w:p>
            <w:pPr>
              <w:ind w:left="140"/>
              <w:spacing w:after="0"/>
              <w:rPr>
                <w:sz w:val="20"/>
                <w:szCs w:val="20"/>
                <w:color w:val="auto"/>
              </w:rPr>
            </w:pPr>
            <w:r>
              <w:rPr>
                <w:rFonts w:ascii="Arial" w:cs="Arial" w:eastAsia="Arial" w:hAnsi="Arial"/>
                <w:sz w:val="14"/>
                <w:szCs w:val="14"/>
                <w:color w:val="auto"/>
                <w:w w:val="98"/>
              </w:rPr>
              <w:t>Shares retired for settlement of employee taxes upon issuance of</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2"/>
        </w:trPr>
        <w:tc>
          <w:tcPr>
            <w:tcW w:w="4140" w:type="dxa"/>
            <w:vAlign w:val="bottom"/>
          </w:tcPr>
          <w:p>
            <w:pPr>
              <w:ind w:left="140"/>
              <w:spacing w:after="0"/>
              <w:rPr>
                <w:sz w:val="20"/>
                <w:szCs w:val="20"/>
                <w:color w:val="auto"/>
              </w:rPr>
            </w:pPr>
            <w:r>
              <w:rPr>
                <w:rFonts w:ascii="Arial" w:cs="Arial" w:eastAsia="Arial" w:hAnsi="Arial"/>
                <w:sz w:val="14"/>
                <w:szCs w:val="14"/>
                <w:color w:val="auto"/>
              </w:rPr>
              <w:t>vested equity awards</w:t>
            </w:r>
          </w:p>
        </w:tc>
        <w:tc>
          <w:tcPr>
            <w:tcW w:w="1240" w:type="dxa"/>
            <w:vAlign w:val="bottom"/>
          </w:tcPr>
          <w:p>
            <w:pPr>
              <w:jc w:val="right"/>
              <w:ind w:right="10"/>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0"/>
              <w:spacing w:after="0"/>
              <w:rPr>
                <w:sz w:val="20"/>
                <w:szCs w:val="20"/>
                <w:color w:val="auto"/>
              </w:rPr>
            </w:pPr>
            <w:r>
              <w:rPr>
                <w:rFonts w:ascii="Arial" w:cs="Arial" w:eastAsia="Arial" w:hAnsi="Arial"/>
                <w:sz w:val="14"/>
                <w:szCs w:val="14"/>
                <w:color w:val="auto"/>
              </w:rPr>
              <w:t>(2,912)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(2,912)</w:t>
            </w:r>
          </w:p>
        </w:tc>
      </w:tr>
      <w:tr>
        <w:trPr>
          <w:trHeight w:val="275"/>
        </w:trPr>
        <w:tc>
          <w:tcPr>
            <w:tcW w:w="4140" w:type="dxa"/>
            <w:vAlign w:val="bottom"/>
          </w:tcPr>
          <w:p>
            <w:pPr>
              <w:ind w:left="140"/>
              <w:spacing w:after="0"/>
              <w:rPr>
                <w:sz w:val="20"/>
                <w:szCs w:val="20"/>
                <w:color w:val="auto"/>
              </w:rPr>
            </w:pPr>
            <w:r>
              <w:rPr>
                <w:rFonts w:ascii="Arial" w:cs="Arial" w:eastAsia="Arial" w:hAnsi="Arial"/>
                <w:sz w:val="14"/>
                <w:szCs w:val="14"/>
                <w:color w:val="auto"/>
                <w:w w:val="97"/>
              </w:rPr>
              <w:t>Common stock issued to acquire non-controlling interest in nTelos</w:t>
            </w:r>
          </w:p>
        </w:tc>
        <w:tc>
          <w:tcPr>
            <w:tcW w:w="1240" w:type="dxa"/>
            <w:vAlign w:val="bottom"/>
          </w:tcPr>
          <w:p>
            <w:pPr>
              <w:jc w:val="right"/>
              <w:ind w:right="50"/>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102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37"/>
        </w:trPr>
        <w:tc>
          <w:tcPr>
            <w:tcW w:w="4140" w:type="dxa"/>
            <w:vAlign w:val="bottom"/>
          </w:tcPr>
          <w:p>
            <w:pPr>
              <w:spacing w:after="0"/>
              <w:rPr>
                <w:sz w:val="20"/>
                <w:szCs w:val="20"/>
                <w:color w:val="auto"/>
              </w:rPr>
            </w:pPr>
            <w:r>
              <w:rPr>
                <w:rFonts w:ascii="Arial" w:cs="Arial" w:eastAsia="Arial" w:hAnsi="Arial"/>
                <w:sz w:val="14"/>
                <w:szCs w:val="14"/>
                <w:b w:val="1"/>
                <w:bCs w:val="1"/>
                <w:color w:val="auto"/>
              </w:rPr>
              <w:t>Balance, June 30, 2019</w:t>
            </w: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49,857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47,138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415,556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1,340</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464,034</w:t>
            </w:r>
          </w:p>
        </w:tc>
      </w:tr>
      <w:tr>
        <w:trPr>
          <w:trHeight w:val="20"/>
        </w:trPr>
        <w:tc>
          <w:tcPr>
            <w:tcW w:w="4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220"/>
          </w:cols>
          <w:pgMar w:left="320" w:top="125" w:right="35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20"/>
          </w:cols>
          <w:pgMar w:left="320" w:top="125" w:right="359" w:bottom="1440" w:gutter="0" w:footer="0" w:header="0"/>
          <w:type w:val="continuous"/>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left="40" w:right="5320"/>
        <w:spacing w:after="0" w:line="346" w:lineRule="auto"/>
        <w:rPr>
          <w:sz w:val="20"/>
          <w:szCs w:val="20"/>
          <w:color w:val="auto"/>
        </w:rPr>
      </w:pPr>
      <w:r>
        <w:rPr>
          <w:rFonts w:ascii="Arial" w:cs="Arial" w:eastAsia="Arial" w:hAnsi="Arial"/>
          <w:sz w:val="16"/>
          <w:szCs w:val="16"/>
          <w:b w:val="1"/>
          <w:bCs w:val="1"/>
          <w:color w:val="auto"/>
        </w:rPr>
        <w:t xml:space="preserve">SHENANDOAH TELECOMMUNICATIONS COMPANY AND SUBSIDIARIES UNAUDITED CONDENSED CONSOLIDATED STATEMENTS OF CASH FLOWS </w:t>
      </w:r>
      <w:r>
        <w:rPr>
          <w:rFonts w:ascii="Arial" w:cs="Arial" w:eastAsia="Arial" w:hAnsi="Arial"/>
          <w:sz w:val="16"/>
          <w:szCs w:val="16"/>
          <w:i w:val="1"/>
          <w:iCs w:val="1"/>
          <w:color w:val="auto"/>
        </w:rPr>
        <w:t>(in thousands)</w:t>
      </w:r>
    </w:p>
    <w:p>
      <w:pPr>
        <w:spacing w:after="0" w:line="1"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Six Months Ended</w:t>
      </w:r>
    </w:p>
    <w:p>
      <w:pPr>
        <w:spacing w:after="0" w:line="26" w:lineRule="exact"/>
        <w:rPr>
          <w:sz w:val="20"/>
          <w:szCs w:val="20"/>
          <w:color w:val="auto"/>
        </w:rPr>
      </w:pPr>
    </w:p>
    <w:p>
      <w:pPr>
        <w:jc w:val="center"/>
        <w:ind w:left="8780"/>
        <w:spacing w:after="0"/>
        <w:rPr>
          <w:sz w:val="20"/>
          <w:szCs w:val="20"/>
          <w:color w:val="auto"/>
        </w:rPr>
      </w:pPr>
      <w:r>
        <w:rPr>
          <w:rFonts w:ascii="Arial" w:cs="Arial" w:eastAsia="Arial" w:hAnsi="Arial"/>
          <w:sz w:val="16"/>
          <w:szCs w:val="16"/>
          <w:b w:val="1"/>
          <w:bCs w:val="1"/>
          <w:color w:val="auto"/>
        </w:rPr>
        <w:t>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33020</wp:posOffset>
            </wp:positionV>
            <wp:extent cx="1568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58" w:lineRule="exact"/>
        <w:rPr>
          <w:sz w:val="20"/>
          <w:szCs w:val="20"/>
          <w:color w:val="auto"/>
        </w:rPr>
      </w:pPr>
    </w:p>
    <w:p>
      <w:pPr>
        <w:jc w:val="both"/>
        <w:ind w:left="9180"/>
        <w:spacing w:after="0"/>
        <w:tabs>
          <w:tab w:leader="none" w:pos="1046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46355</wp:posOffset>
            </wp:positionV>
            <wp:extent cx="15684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ectPr>
          <w:pgSz w:w="11900" w:h="16838" w:orient="portrait"/>
          <w:cols w:equalWidth="0" w:num="1">
            <w:col w:w="11240"/>
          </w:cols>
          <w:pgMar w:left="320" w:top="125" w:right="339" w:bottom="1440" w:gutter="0" w:footer="0" w:header="0"/>
        </w:sectPr>
      </w:pPr>
    </w:p>
    <w:p>
      <w:pPr>
        <w:spacing w:after="0" w:line="10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Depreciation</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intangible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Accretion of asset retirement obligations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Bad debt expense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Stock based compensation expense, net of amount capitalized</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Gain from patronage and investments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Amortization of long-term debt issuance costs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assets and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Inventory, net</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Current income taxes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Operating lease right-of-use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Waived management fee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Accounts payable</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Lease liabilities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Other deferrals and accruals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cash provided by operating activities</w:t>
      </w:r>
    </w:p>
    <w:p>
      <w:pPr>
        <w:spacing w:after="0" w:line="25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used in investing activities: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42,527</w:t>
            </w:r>
          </w:p>
        </w:tc>
        <w:tc>
          <w:tcPr>
            <w:tcW w:w="100" w:type="dxa"/>
            <w:vAlign w:val="bottom"/>
          </w:tcPr>
          <w:p>
            <w:pPr>
              <w:spacing w:after="0"/>
              <w:rPr>
                <w:sz w:val="17"/>
                <w:szCs w:val="17"/>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27,060</w:t>
            </w:r>
          </w:p>
        </w:tc>
      </w:tr>
      <w:tr>
        <w:trPr>
          <w:trHeight w:val="540"/>
        </w:trPr>
        <w:tc>
          <w:tcPr>
            <w:tcW w:w="320" w:type="dxa"/>
            <w:vAlign w:val="bottom"/>
          </w:tcPr>
          <w:p>
            <w:pPr>
              <w:spacing w:after="0"/>
              <w:rPr>
                <w:sz w:val="24"/>
                <w:szCs w:val="24"/>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63,258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72,737</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9,336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10,795</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816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708</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764</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4,520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2,307</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8,714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3,434</w:t>
            </w:r>
          </w:p>
        </w:tc>
      </w:tr>
      <w:tr>
        <w:trPr>
          <w:trHeight w:val="270"/>
        </w:trPr>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(2,081)</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1,343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1,648</w:t>
            </w:r>
          </w:p>
        </w:tc>
      </w:tr>
      <w:tr>
        <w:trPr>
          <w:trHeight w:val="540"/>
        </w:trPr>
        <w:tc>
          <w:tcPr>
            <w:tcW w:w="3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(28,573)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(4,561)</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(1,301)</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5,854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1,138</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21,178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25,389</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19,707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19,320</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(8,679)</w:t>
            </w:r>
          </w:p>
        </w:tc>
      </w:tr>
      <w:tr>
        <w:trPr>
          <w:trHeight w:val="270"/>
        </w:trPr>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(10,331)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6,311</w:t>
            </w:r>
          </w:p>
        </w:tc>
      </w:tr>
      <w:tr>
        <w:trPr>
          <w:trHeight w:val="270"/>
        </w:trPr>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(22,652)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(21,880)</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9,338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(3,477)</w:t>
            </w:r>
          </w:p>
        </w:tc>
      </w:tr>
      <w:tr>
        <w:trPr>
          <w:trHeight w:val="33"/>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128,939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129,632</w:t>
            </w:r>
          </w:p>
        </w:tc>
      </w:tr>
      <w:tr>
        <w:trPr>
          <w:trHeight w:val="33"/>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449" w:lineRule="exact"/>
        <w:rPr>
          <w:sz w:val="20"/>
          <w:szCs w:val="20"/>
          <w:color w:val="auto"/>
        </w:rPr>
      </w:pPr>
    </w:p>
    <w:p>
      <w:pPr>
        <w:sectPr>
          <w:pgSz w:w="11900" w:h="16838" w:orient="portrait"/>
          <w:cols w:equalWidth="0" w:num="2">
            <w:col w:w="8040" w:space="720"/>
            <w:col w:w="2480"/>
          </w:cols>
          <w:pgMar w:left="320" w:top="125" w:right="3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Capital expenditures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disbursed for acquisitions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disbursed for deposit on FCC spectrum leases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sale of assets and other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cash used in investing activities</w:t>
      </w:r>
    </w:p>
    <w:p>
      <w:pPr>
        <w:spacing w:after="0" w:line="2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used in 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19"/>
              <w:spacing w:after="0"/>
              <w:rPr>
                <w:sz w:val="20"/>
                <w:szCs w:val="20"/>
                <w:color w:val="auto"/>
              </w:rPr>
            </w:pPr>
            <w:r>
              <w:rPr>
                <w:rFonts w:ascii="Arial" w:cs="Arial" w:eastAsia="Arial" w:hAnsi="Arial"/>
                <w:sz w:val="16"/>
                <w:szCs w:val="16"/>
                <w:color w:val="auto"/>
              </w:rPr>
              <w:t>(66,626)</w:t>
            </w:r>
          </w:p>
        </w:tc>
        <w:tc>
          <w:tcPr>
            <w:tcW w:w="940" w:type="dxa"/>
            <w:vAlign w:val="bottom"/>
          </w:tcPr>
          <w:p>
            <w:pPr>
              <w:jc w:val="right"/>
              <w:spacing w:after="0"/>
              <w:rPr>
                <w:sz w:val="20"/>
                <w:szCs w:val="20"/>
                <w:color w:val="auto"/>
              </w:rPr>
            </w:pPr>
            <w:r>
              <w:rPr>
                <w:rFonts w:ascii="Arial" w:cs="Arial" w:eastAsia="Arial" w:hAnsi="Arial"/>
                <w:sz w:val="16"/>
                <w:szCs w:val="16"/>
                <w:color w:val="auto"/>
              </w:rPr>
              <w:t>(79,124)</w:t>
            </w:r>
          </w:p>
        </w:tc>
      </w:tr>
    </w:tbl>
    <w:p>
      <w:pPr>
        <w:spacing w:after="0" w:line="6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(10,000)</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(1,200)—</w:t>
      </w: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286</w:t>
      </w: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34925</wp:posOffset>
            </wp:positionV>
            <wp:extent cx="1568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66" w:lineRule="exact"/>
        <w:rPr>
          <w:sz w:val="20"/>
          <w:szCs w:val="20"/>
          <w:color w:val="auto"/>
        </w:rPr>
      </w:pPr>
    </w:p>
    <w:p>
      <w:pPr>
        <w:jc w:val="both"/>
        <w:ind w:left="500"/>
        <w:spacing w:after="0"/>
        <w:tabs>
          <w:tab w:leader="none" w:pos="1820" w:val="left"/>
        </w:tabs>
        <w:rPr>
          <w:sz w:val="20"/>
          <w:szCs w:val="20"/>
          <w:color w:val="auto"/>
        </w:rPr>
      </w:pPr>
      <w:r>
        <w:rPr>
          <w:rFonts w:ascii="Arial" w:cs="Arial" w:eastAsia="Arial" w:hAnsi="Arial"/>
          <w:sz w:val="16"/>
          <w:szCs w:val="16"/>
          <w:color w:val="auto"/>
        </w:rPr>
        <w:t>(67,540)</w:t>
      </w:r>
      <w:r>
        <w:rPr>
          <w:sz w:val="20"/>
          <w:szCs w:val="20"/>
          <w:color w:val="auto"/>
        </w:rPr>
        <w:tab/>
      </w:r>
      <w:r>
        <w:rPr>
          <w:rFonts w:ascii="Arial" w:cs="Arial" w:eastAsia="Arial" w:hAnsi="Arial"/>
          <w:sz w:val="16"/>
          <w:szCs w:val="16"/>
          <w:color w:val="auto"/>
        </w:rPr>
        <w:t>(89,019)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34925</wp:posOffset>
            </wp:positionV>
            <wp:extent cx="1568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491" w:lineRule="exact"/>
        <w:rPr>
          <w:sz w:val="20"/>
          <w:szCs w:val="20"/>
          <w:color w:val="auto"/>
        </w:rPr>
      </w:pPr>
    </w:p>
    <w:p>
      <w:pPr>
        <w:sectPr>
          <w:pgSz w:w="11900" w:h="16838" w:orient="portrait"/>
          <w:cols w:equalWidth="0" w:num="2">
            <w:col w:w="8080" w:space="720"/>
            <w:col w:w="2440"/>
          </w:cols>
          <w:pgMar w:left="320" w:top="125" w:right="339" w:bottom="1440" w:gutter="0" w:footer="0" w:header="0"/>
          <w:type w:val="continuous"/>
        </w:sectPr>
      </w:pPr>
    </w:p>
    <w:p>
      <w:pPr>
        <w:ind w:left="180"/>
        <w:spacing w:after="0"/>
        <w:rPr>
          <w:sz w:val="20"/>
          <w:szCs w:val="20"/>
          <w:color w:val="auto"/>
        </w:rPr>
      </w:pPr>
      <w:r>
        <w:rPr>
          <w:rFonts w:ascii="Arial" w:cs="Arial" w:eastAsia="Arial" w:hAnsi="Arial"/>
          <w:sz w:val="16"/>
          <w:szCs w:val="16"/>
          <w:color w:val="auto"/>
        </w:rPr>
        <w:t>Principal payments on long-term debt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Taxes paid for equity award issuances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cash used in financing activities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increase (decrease) in cash and cash equivalents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 beginning of period</w:t>
      </w:r>
    </w:p>
    <w:p>
      <w:pPr>
        <w:spacing w:after="0" w:line="8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Cash and cash equivalents, end of period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accompanying notes to unaudited condensed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(17,061)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(24,777)</w:t>
            </w:r>
          </w:p>
        </w:tc>
      </w:tr>
      <w:tr>
        <w:trPr>
          <w:trHeight w:val="270"/>
        </w:trPr>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(2,182)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(2,912)</w:t>
            </w:r>
          </w:p>
        </w:tc>
      </w:tr>
      <w:tr>
        <w:trPr>
          <w:trHeight w:val="270"/>
        </w:trPr>
        <w:tc>
          <w:tcPr>
            <w:tcW w:w="3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81</w:t>
            </w:r>
          </w:p>
        </w:tc>
      </w:tr>
      <w:tr>
        <w:trPr>
          <w:trHeight w:val="33"/>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(19,338)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(27,608)</w:t>
            </w:r>
          </w:p>
        </w:tc>
      </w:tr>
      <w:tr>
        <w:trPr>
          <w:trHeight w:val="33"/>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42,061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13,005</w:t>
            </w:r>
          </w:p>
        </w:tc>
      </w:tr>
      <w:tr>
        <w:trPr>
          <w:trHeight w:val="270"/>
        </w:trPr>
        <w:tc>
          <w:tcPr>
            <w:tcW w:w="32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101,651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85,086</w:t>
            </w:r>
          </w:p>
        </w:tc>
      </w:tr>
      <w:tr>
        <w:trPr>
          <w:trHeight w:val="33"/>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143,712</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98,091</w:t>
            </w:r>
          </w:p>
        </w:tc>
      </w:tr>
      <w:tr>
        <w:trPr>
          <w:trHeight w:val="33"/>
        </w:trPr>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51" w:lineRule="exact"/>
        <w:rPr>
          <w:sz w:val="20"/>
          <w:szCs w:val="20"/>
          <w:color w:val="auto"/>
        </w:rPr>
      </w:pPr>
    </w:p>
    <w:p>
      <w:pPr>
        <w:sectPr>
          <w:pgSz w:w="11900" w:h="16838" w:orient="portrait"/>
          <w:cols w:equalWidth="0" w:num="2">
            <w:col w:w="8040" w:space="720"/>
            <w:col w:w="2480"/>
          </w:cols>
          <w:pgMar w:left="320" w:top="125" w:right="339" w:bottom="1440" w:gutter="0" w:footer="0" w:header="0"/>
          <w:type w:val="continuous"/>
        </w:sectPr>
      </w:pPr>
    </w:p>
    <w:p>
      <w:pPr>
        <w:spacing w:after="0" w:line="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SHENANDOAH TELECOMMUNICATIONS COMPANY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Other Information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 xml:space="preserve">The accompanying unaudited consolidated financial statements have been prepared in accordance with the instructions to Form 10-Q and Rule 10-01 of Regulation S-X for interim financial information. All normal recurring adjustments considered necessary for a fair presentation have been included. Certain disclosures normally included in annual consolidated financial statements prepared in accordance with accounting principles generally accepted in the United States (U.S. GAAP) have been omitted. These consolidated financial statements should be read in conjunction with the audited consolidated financial statements and notes contained in our Annual Report on Form 10-K for the </w:t>
      </w:r>
      <w:r>
        <w:rPr>
          <w:rFonts w:ascii="Arial" w:cs="Arial" w:eastAsia="Arial" w:hAnsi="Arial"/>
          <w:sz w:val="17"/>
          <w:szCs w:val="17"/>
          <w:color w:val="000000"/>
        </w:rPr>
        <w:t>year ended December 31, 2019.</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12529"/>
        </w:rPr>
        <w:t>The preparation of the unaudited interim consolidated financial statements requires management of the Company to make estimates and assumptions that affect the reported amounts of assets, liabilities, revenues and expenses and the disclosure of contingencies at the date of the unaudited interim consolidated financial statements. These estimates are inherently subject to judgment and actual results could differ.</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212529"/>
        </w:rPr>
        <w:t>T-Mobile Acquisition of Sprint</w:t>
      </w:r>
    </w:p>
    <w:p>
      <w:pPr>
        <w:spacing w:after="0" w:line="1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529"/>
        </w:rPr>
        <w:t>On April 1, 2020, T-Mobile US, Inc. (“T-Mobile”) announced the completion of its business combination with Sprint Corporation (“Sprint”) and subsequently delivered to the Company a notice of Network Technology Conversion, Brand Conversion and Combination Conversion (a “Conversion Notice”) pursuant to the terms of our affiliate agreement. The 90-day period following receipt of the Conversion Notice for the parties to negotiate mutually agreeable terms and conditions under which the Company would continue as an affiliate of T-Mobile, expired on June 30, 2020. The affiliate agreement further provides that, if T-Mobile and the Company have not negotiated a mutually acceptable agreement within the initial 90-day period, then T-Mobile would have a period of 60 days thereafter to exercise an option to purchase the assets of our Wireless operations for 90% of the "Entire Business Value," (as defined under our affiliate agreement and determined pursuant to the appraisal process under the affiliate agreement); this period will expire on August 31, 2020. If T-Mobile does not exercise its purchase option, the Company would then have a 60-day period to exercise an option to purchase the legacy T-Mobile network and subscribers in our service area. If the Company does not exercise its purchase option, T-Mobile must sell or decommission its legacy network and customers in our service area. The outcome of these proceedings could significantly impact our business operations and financial statements.</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12529"/>
        </w:rPr>
        <w:t>T-Mobile has not exercised its purchase option to date, and Shentel is not committed to a plan to sell our wireless segment that is probable of closing within one year. Accordingly, our wireless segment continues to be presented in continuing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We continue to operate as an affiliate of Sprint Corporation, which is a wholly-owned indirect subsidiary of T-Mobile and thus continue to refer to our relationship with Sprint below.</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12529"/>
        </w:rPr>
        <w:t>Our Sprint affiliate agreement required T-Mobile to comply with certain restrictive operating requirements during the 90 day period following their Conversion Notice which ended on June 30, 2020. T-Mobile publicly announced on July 22, 2020 its intention to begin integration of the brands, rate plans, sales and network on August 2, 2020. Although the impact to Sprint customers in our affiliate area is uncertain at this point in time, the integration plans are likely to adversely affect our Wireless segment operating and financial results in future periods.</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Revision of Prior Period Financial Statements</w:t>
      </w:r>
    </w:p>
    <w:p>
      <w:pPr>
        <w:spacing w:after="0" w:line="1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connection with the preparation of our unaudited condensed consolidated financial statements for the three months ended March 31, 2020, we determined that certain errors existed in our previously issued financial statements. Specifically:</w:t>
      </w:r>
    </w:p>
    <w:p>
      <w:pPr>
        <w:spacing w:after="0" w:line="79" w:lineRule="exact"/>
        <w:rPr>
          <w:sz w:val="20"/>
          <w:szCs w:val="20"/>
          <w:color w:val="auto"/>
        </w:rPr>
      </w:pPr>
    </w:p>
    <w:p>
      <w:pPr>
        <w:jc w:val="both"/>
        <w:ind w:left="660" w:hanging="328"/>
        <w:spacing w:after="0" w:line="287"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Prepaid and other assets, as of December 31, 2019, were understated by $2.7 million, deferred tax liabilities were understated by $0.7 million, and retained earnings were understated by $2.0 million as the result of a failure to properly account for handsets that were utilized as demo phones in certain wireless retail stores within our area of operation. All of the impact to retained earnings is attributable to 2017 and prior years.</w:t>
      </w:r>
    </w:p>
    <w:p>
      <w:pPr>
        <w:spacing w:after="0" w:line="2" w:lineRule="exact"/>
        <w:rPr>
          <w:rFonts w:ascii="Arial" w:cs="Arial" w:eastAsia="Arial" w:hAnsi="Arial"/>
          <w:sz w:val="16"/>
          <w:szCs w:val="16"/>
          <w:color w:val="auto"/>
        </w:rPr>
      </w:pPr>
    </w:p>
    <w:p>
      <w:pPr>
        <w:jc w:val="both"/>
        <w:ind w:left="660" w:hanging="328"/>
        <w:spacing w:after="0" w:line="277"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Property, plant and equipment, net, and deferred income tax liabilities as of December 31, 2019 were understated by $1.4 million and $0.4 million, respectively. Depreciation expense was overstated by $1.4 million for the year and quarter ended December 31, 2019. Income tax expense and net income were understated by $0.4 million and $1.0 million, respectively, for the year and quarter ended December 31, 2019.</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33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evaluated these errors under the U.S. Securities and Exchange Commission's ("SEC's") authoritative guidance on materiality and the quantification of the effect of prior period misstatements on financial statements, and we have determined that the impact of these errors on our prior period consolidated financial statements is immaterial. However, since the correction of these errors in the first quarter of 2020 could have become material to our results of operations for the year ending December 31, 2020, we revised our prior period financial statements to correct these errors herein. For the year and quarter ended December 31, 2019, the correction of these errors resulted in a $0.02 increase in both basic and diluted earnings per share.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Adoption of New Accounting Principles</w:t>
      </w: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developments related to recently issued accounting standards, including the expected dates of adoption and estimated effects on the Company's unaudited condensed consolidated financial statements and note disclosures, from those disclosed in the Company's 2019 Annual Report on Form 10-K, that would be expected to impact the Company except for the following:</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adopted ASU No. 2016-13, </w:t>
      </w:r>
      <w:r>
        <w:rPr>
          <w:rFonts w:ascii="Arial" w:cs="Arial" w:eastAsia="Arial" w:hAnsi="Arial"/>
          <w:sz w:val="16"/>
          <w:szCs w:val="16"/>
          <w:i w:val="1"/>
          <w:iCs w:val="1"/>
          <w:color w:val="auto"/>
        </w:rPr>
        <w:t>Financial Instruments - Credit Losses ("ASC 326"): Measurement of Credit Losses on Financial Instruments</w:t>
      </w:r>
      <w:r>
        <w:rPr>
          <w:rFonts w:ascii="Arial" w:cs="Arial" w:eastAsia="Arial" w:hAnsi="Arial"/>
          <w:sz w:val="16"/>
          <w:szCs w:val="16"/>
          <w:color w:val="auto"/>
        </w:rPr>
        <w:t>, as of January 1, 2020 using the modified retrospective transition method. ASC 326 requires the application of a current expected credit loss (“CECL”) impairment model to financial assets measured at amortized cost including trade accounts receivable, net investments in leases, and certain off-balance-sheet credit exposures. Under the CECL model, lifetime expected credit losses on such financial assets are measured and recognized at each reporting date based on historical, current, and forecasted information. Furthermore, the CECL model requires financial assets with similar risk characteristics to be analyzed on a collective basis. There was no significant impact to condensed consolidated financial statements upon adoption.</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adopted ASU No. 2018-15, </w:t>
      </w:r>
      <w:r>
        <w:rPr>
          <w:rFonts w:ascii="Arial" w:cs="Arial" w:eastAsia="Arial" w:hAnsi="Arial"/>
          <w:sz w:val="16"/>
          <w:szCs w:val="16"/>
          <w:i w:val="1"/>
          <w:iCs w:val="1"/>
          <w:color w:val="auto"/>
        </w:rPr>
        <w:t>Intangibles - Goodwill and Other - Internal-Use Software ("ASC 350"): Customer's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Implementation Costs Incurred in a Cloud Computing Arrangement that is a Service Contract, </w:t>
      </w:r>
      <w:r>
        <w:rPr>
          <w:rFonts w:ascii="Arial" w:cs="Arial" w:eastAsia="Arial" w:hAnsi="Arial"/>
          <w:sz w:val="16"/>
          <w:szCs w:val="16"/>
          <w:color w:val="auto"/>
        </w:rPr>
        <w:t>as of January 1, 2020. ASC 350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 implementation costs incurred to develop or obtain internal-use software. Upon adoption of the standard, implementation costs were capitalized in the period incurred and will be amortized over the term of the hosting arrangement. There was no significant impact to condensed consolidated financial statements upon adoption.</w:t>
      </w:r>
    </w:p>
    <w:p>
      <w:pPr>
        <w:spacing w:after="0" w:line="1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March 2020, the FASB issued ASU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This accounting update provides optional accounting relief to entities with contracts, hedge accounting relationships or other transactions that</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London Interbank Offering Rate (LIBOR) or other interest rate benchmarks for which the referenced rate is expected to be discontinued or replaced. This optional relief generally allows for contract modifications solely related to the replacement of the reference rate to be accounted for as a continuation of the existing contract instead of as an extinguishment of the contract, and therefore would not require reassessment of a previous accounting determination. The Company's Credit Agreement and interest rate swaps have LIBOR as a reference rate. We plan to apply the accounting relief as relevant contract modifications are made to our Credit Agreement and interest rate swap contracts during the course of the reference rate reform transition period. The optional relief can be applied beginning January 1, 2020, and ending December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from Contracts with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13, </w:t>
      </w:r>
      <w:r>
        <w:rPr>
          <w:rFonts w:ascii="Arial" w:cs="Arial" w:eastAsia="Arial" w:hAnsi="Arial"/>
          <w:sz w:val="18"/>
          <w:szCs w:val="18"/>
          <w:i w:val="1"/>
          <w:iCs w:val="1"/>
          <w:color w:val="auto"/>
        </w:rPr>
        <w:t>Segment Reporting</w:t>
      </w:r>
      <w:r>
        <w:rPr>
          <w:rFonts w:ascii="Arial" w:cs="Arial" w:eastAsia="Arial" w:hAnsi="Arial"/>
          <w:sz w:val="18"/>
          <w:szCs w:val="18"/>
          <w:color w:val="auto"/>
        </w:rPr>
        <w:t>, for a summary of our revenue streams, which are discussed further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Segment Revenue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Historically we earned $1.5 million in monthly fees for services that we provided to Sprint customers who pass through our network, ("travel revenue"). On April 30, 2019, the agreed upon pricing for this service expired, and Sprint suspended further payments. At that time, we ceased recognition of travel revenue until an agreement on pricing could be reached, but continued to provide this service to Sprint’s customers. In October 2019, we initiated binding arbitration with Sprint pursuant to the terms of our affiliate agreement. During June 2020, the arbitrators reset the fee to $1.5 million per month pricing through December 31, 2021. As a result, we recognized $21.0 million of travel revenue during the three and six months ended June 30, 2020 for service that we have provided since May 1, 2019. We collected payment of this amount in July of 2020. We recognized $1.5 million and $6.0 million in travel revenue for the three and six month periods ended June 30, 2019,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282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32"/>
        </w:trPr>
        <w:tc>
          <w:tcPr>
            <w:tcW w:w="4500" w:type="dxa"/>
            <w:vAlign w:val="bottom"/>
            <w:gridSpan w:val="5"/>
          </w:tcPr>
          <w:p>
            <w:pPr>
              <w:spacing w:after="0"/>
              <w:rPr>
                <w:sz w:val="20"/>
                <w:szCs w:val="20"/>
                <w:color w:val="auto"/>
              </w:rPr>
            </w:pPr>
            <w:r>
              <w:rPr>
                <w:rFonts w:ascii="Arial" w:cs="Arial" w:eastAsia="Arial" w:hAnsi="Arial"/>
                <w:sz w:val="18"/>
                <w:szCs w:val="18"/>
                <w:color w:val="auto"/>
                <w:w w:val="90"/>
              </w:rPr>
              <w:t>Below is a summary of the Wireless segment's contract asset:</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0"/>
        </w:trPr>
        <w:tc>
          <w:tcPr>
            <w:tcW w:w="2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3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0"/>
                <w:szCs w:val="20"/>
                <w:color w:val="auto"/>
              </w:rPr>
            </w:pPr>
          </w:p>
        </w:tc>
      </w:tr>
      <w:tr>
        <w:trPr>
          <w:trHeight w:val="27"/>
        </w:trPr>
        <w:tc>
          <w:tcPr>
            <w:tcW w:w="2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2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82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86,198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70,371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84,663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65,674</w:t>
            </w:r>
          </w:p>
        </w:tc>
      </w:tr>
      <w:tr>
        <w:trPr>
          <w:trHeight w:val="270"/>
        </w:trPr>
        <w:tc>
          <w:tcPr>
            <w:tcW w:w="2820" w:type="dxa"/>
            <w:vAlign w:val="bottom"/>
          </w:tcPr>
          <w:p>
            <w:pPr>
              <w:ind w:left="40"/>
              <w:spacing w:after="0"/>
              <w:rPr>
                <w:sz w:val="20"/>
                <w:szCs w:val="20"/>
                <w:color w:val="auto"/>
              </w:rPr>
            </w:pPr>
            <w:r>
              <w:rPr>
                <w:rFonts w:ascii="Arial" w:cs="Arial" w:eastAsia="Arial" w:hAnsi="Arial"/>
                <w:sz w:val="18"/>
                <w:szCs w:val="18"/>
                <w:color w:val="auto"/>
              </w:rPr>
              <w:t>Contract payments</w:t>
            </w:r>
          </w:p>
        </w:tc>
        <w:tc>
          <w:tcPr>
            <w:tcW w:w="2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14,937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17,565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33,182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35,716</w:t>
            </w:r>
          </w:p>
        </w:tc>
      </w:tr>
      <w:tr>
        <w:trPr>
          <w:trHeight w:val="256"/>
        </w:trPr>
        <w:tc>
          <w:tcPr>
            <w:tcW w:w="2820" w:type="dxa"/>
            <w:vAlign w:val="bottom"/>
          </w:tcPr>
          <w:p>
            <w:pPr>
              <w:ind w:left="40"/>
              <w:spacing w:after="0"/>
              <w:rPr>
                <w:sz w:val="20"/>
                <w:szCs w:val="20"/>
                <w:color w:val="auto"/>
              </w:rPr>
            </w:pPr>
            <w:r>
              <w:rPr>
                <w:rFonts w:ascii="Arial" w:cs="Arial" w:eastAsia="Arial" w:hAnsi="Arial"/>
                <w:sz w:val="18"/>
                <w:szCs w:val="18"/>
                <w:color w:val="auto"/>
              </w:rPr>
              <w:t>Contract amortization against</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30"/>
        </w:trPr>
        <w:tc>
          <w:tcPr>
            <w:tcW w:w="282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(34,166)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(27,601)</w:t>
            </w:r>
          </w:p>
        </w:tc>
      </w:tr>
      <w:tr>
        <w:trPr>
          <w:trHeight w:val="27"/>
        </w:trPr>
        <w:tc>
          <w:tcPr>
            <w:tcW w:w="2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82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83,679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73,789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83,679</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73,789</w:t>
            </w:r>
          </w:p>
        </w:tc>
      </w:tr>
      <w:tr>
        <w:trPr>
          <w:trHeight w:val="20"/>
        </w:trPr>
        <w:tc>
          <w:tcPr>
            <w:tcW w:w="2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Wireless contract asset is reduced by an estimated obligation to refund amounts that Sprint is later unable to collect from its subscribers. This refund obligation totaled $10.0 million at June 30, 2020 and $7.0 million at December 31, 2019. A change to Sprint’s collection policies extended the timeline to write-off a delinquent subscriber's invoice from four to five months. This had the effect of increasing the cash that we collected from Sprint during the period, but also extended the timeframe under which we can be required to refund those amounts. This drove a $1.8 million increase in the refund obligation, but had no impact on our recognition of revenue. The remaining $1.2 million increase was recognized as contra revenue and was driven by changes in expected credit losses, primarily as a result of COVID-19 and Sprint's participation in the Keep Americans Connected pledge.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Broadband Segment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Broadband segment's capitalized contract acquisition costs: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30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0"/>
                <w:szCs w:val="20"/>
                <w:color w:val="auto"/>
              </w:rPr>
            </w:pPr>
          </w:p>
        </w:tc>
      </w:tr>
      <w:tr>
        <w:trPr>
          <w:trHeight w:val="27"/>
        </w:trPr>
        <w:tc>
          <w:tcPr>
            <w:tcW w:w="2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7"/>
        </w:trPr>
        <w:tc>
          <w:tcPr>
            <w:tcW w:w="2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8"/>
                <w:szCs w:val="18"/>
                <w:color w:val="auto"/>
              </w:rPr>
              <w:t>Beginning Balance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11,663</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10,409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11,005</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10,091</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Contract payments</w:t>
            </w:r>
          </w:p>
        </w:tc>
        <w:tc>
          <w:tcPr>
            <w:tcW w:w="2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3,933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3,156</w:t>
            </w: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Contract amortization</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(2,771)</w:t>
            </w:r>
          </w:p>
        </w:tc>
      </w:tr>
      <w:tr>
        <w:trPr>
          <w:trHeight w:val="27"/>
        </w:trPr>
        <w:tc>
          <w:tcPr>
            <w:tcW w:w="2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780" w:type="dxa"/>
            <w:vAlign w:val="bottom"/>
          </w:tcPr>
          <w:p>
            <w:pPr>
              <w:ind w:left="14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10,476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12,780</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10,476</w:t>
            </w:r>
          </w:p>
        </w:tc>
      </w:tr>
      <w:tr>
        <w:trPr>
          <w:trHeight w:val="20"/>
        </w:trPr>
        <w:tc>
          <w:tcPr>
            <w:tcW w:w="2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performance obligations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June 30, 2020, the Company had approximately $3.1 million allocated to unsatisfied performance obligations that will be satisfied at the rate of approximately $0.8 million per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r>
              <w:rPr>
                <w:rFonts w:ascii="Arial" w:cs="Arial" w:eastAsia="Arial" w:hAnsi="Arial"/>
                <w:sz w:val="18"/>
                <w:szCs w:val="18"/>
                <w:b w:val="1"/>
                <w:bCs w:val="1"/>
                <w:color w:val="auto"/>
              </w:rPr>
              <w:t>Note 3. Investments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40" w:type="dxa"/>
            <w:vAlign w:val="bottom"/>
          </w:tcPr>
          <w:p>
            <w:pPr>
              <w:spacing w:after="0"/>
              <w:rPr>
                <w:sz w:val="20"/>
                <w:szCs w:val="20"/>
                <w:color w:val="auto"/>
              </w:rPr>
            </w:pPr>
            <w:r>
              <w:rPr>
                <w:rFonts w:ascii="Arial" w:cs="Arial" w:eastAsia="Arial" w:hAnsi="Arial"/>
                <w:sz w:val="18"/>
                <w:szCs w:val="18"/>
                <w:color w:val="auto"/>
              </w:rPr>
              <w:t>Investments consist of the following:</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54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440" w:type="dxa"/>
            <w:vAlign w:val="bottom"/>
            <w:vMerge w:val="restart"/>
          </w:tcPr>
          <w:p>
            <w:pPr>
              <w:ind w:left="40"/>
              <w:spacing w:after="0"/>
              <w:rPr>
                <w:sz w:val="20"/>
                <w:szCs w:val="20"/>
                <w:color w:val="auto"/>
              </w:rPr>
            </w:pPr>
            <w:r>
              <w:rPr>
                <w:rFonts w:ascii="Arial" w:cs="Arial" w:eastAsia="Arial" w:hAnsi="Arial"/>
                <w:sz w:val="18"/>
                <w:szCs w:val="18"/>
                <w:color w:val="auto"/>
              </w:rPr>
              <w:t>SERP investments at fair value</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9,497</w:t>
            </w:r>
          </w:p>
        </w:tc>
        <w:tc>
          <w:tcPr>
            <w:tcW w:w="0" w:type="dxa"/>
            <w:vAlign w:val="bottom"/>
          </w:tcPr>
          <w:p>
            <w:pPr>
              <w:spacing w:after="0"/>
              <w:rPr>
                <w:sz w:val="1"/>
                <w:szCs w:val="1"/>
                <w:color w:val="auto"/>
              </w:rPr>
            </w:pPr>
          </w:p>
        </w:tc>
      </w:tr>
      <w:tr>
        <w:trPr>
          <w:trHeight w:val="270"/>
        </w:trPr>
        <w:tc>
          <w:tcPr>
            <w:tcW w:w="5440" w:type="dxa"/>
            <w:vAlign w:val="bottom"/>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7"/>
        </w:trPr>
        <w:tc>
          <w:tcPr>
            <w:tcW w:w="5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12,661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12,388</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SERP Investments at Fair Value: </w:t>
      </w:r>
      <w:r>
        <w:rPr>
          <w:rFonts w:ascii="Arial" w:cs="Arial" w:eastAsia="Arial" w:hAnsi="Arial"/>
          <w:sz w:val="17"/>
          <w:szCs w:val="17"/>
          <w:color w:val="auto"/>
        </w:rPr>
        <w:t>The Supplemental Executive Retirement Plan (“SERP”) is a benefit plan that provides deferred compensation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employees. The Company holds the related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SERP assets under ASC 710 </w:t>
      </w:r>
      <w:r>
        <w:rPr>
          <w:rFonts w:ascii="Arial" w:cs="Arial" w:eastAsia="Arial" w:hAnsi="Arial"/>
          <w:sz w:val="17"/>
          <w:szCs w:val="17"/>
          <w:i w:val="1"/>
          <w:iCs w:val="1"/>
          <w:color w:val="auto"/>
        </w:rPr>
        <w:t>Compensation</w:t>
      </w:r>
      <w:r>
        <w:rPr>
          <w:rFonts w:ascii="Arial" w:cs="Arial" w:eastAsia="Arial" w:hAnsi="Arial"/>
          <w:sz w:val="17"/>
          <w:szCs w:val="17"/>
          <w:color w:val="auto"/>
        </w:rPr>
        <w:t>. Changes to the investments' fair value are presented in Other income (expense), while the reciprocal changes in the liability are presented in selling, general and administrative expense.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Cost Method Investments: </w:t>
      </w:r>
      <w:r>
        <w:rPr>
          <w:rFonts w:ascii="Arial" w:cs="Arial" w:eastAsia="Arial" w:hAnsi="Arial"/>
          <w:sz w:val="18"/>
          <w:szCs w:val="18"/>
          <w:color w:val="auto"/>
        </w:rPr>
        <w:t>Our investment in CoBank’s Class A common stock represented substantially all of our cost method investments with a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of $9.2 million and $8.7 million at June 30, 2020 and December 31, 2019, respectively. We recognized</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approximately $1.0 million and $0.9 million of patronage income in Other income (expense) in the three months ended June 30, 2020 and 2019, respectively, and approximately $2.0 million and $1.8 million in the six months ended June 30, 2020 and 2019, respectively. Historically, approximately 75% of the patronage distributions were in cash and 25% in equity.</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Equity Method Investments: </w:t>
      </w:r>
      <w:r>
        <w:rPr>
          <w:rFonts w:ascii="Arial" w:cs="Arial" w:eastAsia="Arial" w:hAnsi="Arial"/>
          <w:sz w:val="17"/>
          <w:szCs w:val="17"/>
          <w:color w:val="auto"/>
        </w:rPr>
        <w:t>At June 30, 2020, the Company had a 20.0% ownership interest in Valley Network Partnership (“ValleyNet”).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and ValleyNet purchase capacity on one another’s fiber network. We recognized revenue of $0.3 million from providing service to ValleyNet during both of the three months ended June 30, 2020 and 2019, and approximately $0.5 million during both of the six months ended June 30, 2020 and 2019. We recognized cost of service of $0.6 million and $0.8 million for the use of ValleyNet’s network during the three months ended June 30, 2020 and 2019, respectively, and approximately $1.4 million and $1.5 million in the six months ended June 30, 2020 and 2019,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gridSpan w:val="2"/>
          </w:tcPr>
          <w:p>
            <w:pPr>
              <w:ind w:left="28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4"/>
                <w:szCs w:val="24"/>
                <w:color w:val="auto"/>
              </w:rPr>
            </w:pPr>
          </w:p>
        </w:tc>
        <w:tc>
          <w:tcPr>
            <w:tcW w:w="174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474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27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Estimated Useful Lives</w:t>
            </w:r>
          </w:p>
        </w:tc>
        <w:tc>
          <w:tcPr>
            <w:tcW w:w="1620" w:type="dxa"/>
            <w:vAlign w:val="bottom"/>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740" w:type="dxa"/>
            <w:vAlign w:val="bottom"/>
            <w:vMerge w:val="restart"/>
          </w:tcPr>
          <w:p>
            <w:pPr>
              <w:ind w:left="40"/>
              <w:spacing w:after="0"/>
              <w:rPr>
                <w:sz w:val="20"/>
                <w:szCs w:val="20"/>
                <w:color w:val="auto"/>
              </w:rPr>
            </w:pPr>
            <w:r>
              <w:rPr>
                <w:rFonts w:ascii="Arial" w:cs="Arial" w:eastAsia="Arial" w:hAnsi="Arial"/>
                <w:sz w:val="18"/>
                <w:szCs w:val="18"/>
                <w:color w:val="auto"/>
              </w:rPr>
              <w:t>Land</w:t>
            </w:r>
          </w:p>
        </w:tc>
        <w:tc>
          <w:tcPr>
            <w:tcW w:w="5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7,485</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6,976</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Buildings and structures</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years</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239,772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232,730</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Cable and fiber</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years</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354,819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334,260</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Equipment and software</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620" w:type="dxa"/>
            <w:vAlign w:val="bottom"/>
            <w:gridSpan w:val="3"/>
          </w:tcPr>
          <w:p>
            <w:pPr>
              <w:ind w:left="140"/>
              <w:spacing w:after="0"/>
              <w:rPr>
                <w:sz w:val="20"/>
                <w:szCs w:val="20"/>
                <w:color w:val="auto"/>
              </w:rPr>
            </w:pPr>
            <w:r>
              <w:rPr>
                <w:rFonts w:ascii="Arial" w:cs="Arial" w:eastAsia="Arial" w:hAnsi="Arial"/>
                <w:sz w:val="18"/>
                <w:szCs w:val="18"/>
                <w:color w:val="auto"/>
              </w:rPr>
              <w:t>years</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887,584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867,898</w:t>
            </w:r>
          </w:p>
        </w:tc>
        <w:tc>
          <w:tcPr>
            <w:tcW w:w="0" w:type="dxa"/>
            <w:vAlign w:val="bottom"/>
          </w:tcPr>
          <w:p>
            <w:pPr>
              <w:spacing w:after="0"/>
              <w:rPr>
                <w:sz w:val="1"/>
                <w:szCs w:val="1"/>
                <w:color w:val="auto"/>
              </w:rPr>
            </w:pPr>
          </w:p>
        </w:tc>
      </w:tr>
      <w:tr>
        <w:trPr>
          <w:trHeight w:val="27"/>
        </w:trPr>
        <w:tc>
          <w:tcPr>
            <w:tcW w:w="4740" w:type="dxa"/>
            <w:vAlign w:val="bottom"/>
            <w:vMerge w:val="restart"/>
          </w:tcPr>
          <w:p>
            <w:pPr>
              <w:ind w:left="180"/>
              <w:spacing w:after="0"/>
              <w:rPr>
                <w:sz w:val="20"/>
                <w:szCs w:val="20"/>
                <w:color w:val="auto"/>
              </w:rPr>
            </w:pPr>
            <w:r>
              <w:rPr>
                <w:rFonts w:ascii="Arial" w:cs="Arial" w:eastAsia="Arial" w:hAnsi="Arial"/>
                <w:sz w:val="18"/>
                <w:szCs w:val="18"/>
                <w:color w:val="auto"/>
              </w:rPr>
              <w:t>Plant in service</w:t>
            </w: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1,489,660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1,441,864</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Plant under construction</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71,388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56,827</w:t>
            </w:r>
          </w:p>
        </w:tc>
        <w:tc>
          <w:tcPr>
            <w:tcW w:w="0" w:type="dxa"/>
            <w:vAlign w:val="bottom"/>
          </w:tcPr>
          <w:p>
            <w:pPr>
              <w:spacing w:after="0"/>
              <w:rPr>
                <w:sz w:val="1"/>
                <w:szCs w:val="1"/>
                <w:color w:val="auto"/>
              </w:rPr>
            </w:pPr>
          </w:p>
        </w:tc>
      </w:tr>
      <w:tr>
        <w:trPr>
          <w:trHeight w:val="27"/>
        </w:trPr>
        <w:tc>
          <w:tcPr>
            <w:tcW w:w="4740" w:type="dxa"/>
            <w:vAlign w:val="bottom"/>
            <w:vMerge w:val="restart"/>
          </w:tcPr>
          <w:p>
            <w:pPr>
              <w:ind w:left="180"/>
              <w:spacing w:after="0"/>
              <w:rPr>
                <w:sz w:val="20"/>
                <w:szCs w:val="20"/>
                <w:color w:val="auto"/>
              </w:rPr>
            </w:pPr>
            <w:r>
              <w:rPr>
                <w:rFonts w:ascii="Arial" w:cs="Arial" w:eastAsia="Arial" w:hAnsi="Arial"/>
                <w:sz w:val="18"/>
                <w:szCs w:val="18"/>
                <w:color w:val="auto"/>
              </w:rPr>
              <w:t>Total property, plant and equipment</w:t>
            </w: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1,561,048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1,498,691</w:t>
            </w:r>
          </w:p>
        </w:tc>
        <w:tc>
          <w:tcPr>
            <w:tcW w:w="0" w:type="dxa"/>
            <w:vAlign w:val="bottom"/>
          </w:tcPr>
          <w:p>
            <w:pPr>
              <w:spacing w:after="0"/>
              <w:rPr>
                <w:sz w:val="1"/>
                <w:szCs w:val="1"/>
                <w:color w:val="auto"/>
              </w:rPr>
            </w:pPr>
          </w:p>
        </w:tc>
      </w:tr>
      <w:tr>
        <w:trPr>
          <w:trHeight w:val="270"/>
        </w:trPr>
        <w:tc>
          <w:tcPr>
            <w:tcW w:w="4740" w:type="dxa"/>
            <w:vAlign w:val="bottom"/>
          </w:tcPr>
          <w:p>
            <w:pPr>
              <w:ind w:left="40"/>
              <w:spacing w:after="0"/>
              <w:rPr>
                <w:sz w:val="20"/>
                <w:szCs w:val="20"/>
                <w:color w:val="auto"/>
              </w:rPr>
            </w:pPr>
            <w:r>
              <w:rPr>
                <w:rFonts w:ascii="Arial" w:cs="Arial" w:eastAsia="Arial" w:hAnsi="Arial"/>
                <w:sz w:val="18"/>
                <w:szCs w:val="18"/>
                <w:color w:val="auto"/>
              </w:rPr>
              <w:t>Less: accumulated amortization and depreciation</w:t>
            </w:r>
          </w:p>
        </w:tc>
        <w:tc>
          <w:tcPr>
            <w:tcW w:w="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858,036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797,177</w:t>
            </w:r>
          </w:p>
        </w:tc>
        <w:tc>
          <w:tcPr>
            <w:tcW w:w="0" w:type="dxa"/>
            <w:vAlign w:val="bottom"/>
          </w:tcPr>
          <w:p>
            <w:pPr>
              <w:spacing w:after="0"/>
              <w:rPr>
                <w:sz w:val="1"/>
                <w:szCs w:val="1"/>
                <w:color w:val="auto"/>
              </w:rPr>
            </w:pPr>
          </w:p>
        </w:tc>
      </w:tr>
      <w:tr>
        <w:trPr>
          <w:trHeight w:val="27"/>
        </w:trPr>
        <w:tc>
          <w:tcPr>
            <w:tcW w:w="4740" w:type="dxa"/>
            <w:vAlign w:val="bottom"/>
            <w:vMerge w:val="restart"/>
          </w:tcPr>
          <w:p>
            <w:pPr>
              <w:ind w:left="180"/>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703,012</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701,514</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to goodwill during the three and six months ended June 30,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intangible assets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June 30, 2020</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 2019</w:t>
            </w: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Accumulated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Carrying</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Amortization and</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Carrying</w:t>
            </w:r>
          </w:p>
        </w:tc>
        <w:tc>
          <w:tcPr>
            <w:tcW w:w="15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Amortization and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20"/>
                <w:szCs w:val="20"/>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color w:val="auto"/>
              </w:rPr>
              <w:t>Indefinite-lived intangibles:</w:t>
            </w: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rPr>
              <w:t>Cable franchise rights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64,334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64,334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64,334</w:t>
            </w: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rPr>
              <w:t>FCC spectrum licenses</w:t>
            </w: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13,839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13,839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13,839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13,839</w:t>
            </w: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rPr>
              <w:t>Railroad crossing rights</w:t>
            </w: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240"/>
              <w:spacing w:after="0"/>
              <w:rPr>
                <w:sz w:val="20"/>
                <w:szCs w:val="20"/>
                <w:color w:val="auto"/>
              </w:rPr>
            </w:pPr>
            <w:r>
              <w:rPr>
                <w:rFonts w:ascii="Arial" w:cs="Arial" w:eastAsia="Arial" w:hAnsi="Arial"/>
                <w:sz w:val="18"/>
                <w:szCs w:val="18"/>
                <w:color w:val="auto"/>
              </w:rPr>
              <w:t>Total indefinite-lived intangibles</w:t>
            </w: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78,314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78,314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78,314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78,314</w:t>
            </w: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color w:val="auto"/>
              </w:rPr>
              <w:t>Finite-lived intangibles:</w:t>
            </w: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3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140"/>
              <w:spacing w:after="0"/>
              <w:rPr>
                <w:sz w:val="20"/>
                <w:szCs w:val="20"/>
                <w:color w:val="auto"/>
              </w:rPr>
            </w:pPr>
            <w:r>
              <w:rPr>
                <w:rFonts w:ascii="Arial" w:cs="Arial" w:eastAsia="Arial" w:hAnsi="Arial"/>
                <w:sz w:val="18"/>
                <w:szCs w:val="18"/>
                <w:color w:val="auto"/>
              </w:rPr>
              <w:t>Sprint affiliate contract expansion -</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Wireless</w:t>
            </w: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455,305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(255,441)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199,864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455,305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(226,712)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228,593</w:t>
            </w: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rPr>
              <w:t>FCC spectrum licenses</w:t>
            </w: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4,438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4,562</w:t>
            </w: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rPr>
              <w:t>Acquired subscribers - Cable</w:t>
            </w: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28,065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28,065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70"/>
        </w:trPr>
        <w:tc>
          <w:tcPr>
            <w:tcW w:w="3240" w:type="dxa"/>
            <w:vAlign w:val="bottom"/>
          </w:tcPr>
          <w:p>
            <w:pPr>
              <w:ind w:left="140"/>
              <w:spacing w:after="0"/>
              <w:rPr>
                <w:sz w:val="20"/>
                <w:szCs w:val="20"/>
                <w:color w:val="auto"/>
              </w:rPr>
            </w:pPr>
            <w:r>
              <w:rPr>
                <w:rFonts w:ascii="Arial" w:cs="Arial" w:eastAsia="Arial" w:hAnsi="Arial"/>
                <w:sz w:val="18"/>
                <w:szCs w:val="18"/>
                <w:color w:val="auto"/>
              </w:rPr>
              <w:t>Other intangibles</w:t>
            </w:r>
          </w:p>
        </w:tc>
        <w:tc>
          <w:tcPr>
            <w:tcW w:w="1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40" w:type="dxa"/>
            <w:vAlign w:val="bottom"/>
          </w:tcPr>
          <w:p>
            <w:pPr>
              <w:ind w:left="240"/>
              <w:spacing w:after="0"/>
              <w:rPr>
                <w:sz w:val="20"/>
                <w:szCs w:val="20"/>
                <w:color w:val="auto"/>
              </w:rPr>
            </w:pPr>
            <w:r>
              <w:rPr>
                <w:rFonts w:ascii="Arial" w:cs="Arial" w:eastAsia="Arial" w:hAnsi="Arial"/>
                <w:sz w:val="18"/>
                <w:szCs w:val="18"/>
                <w:color w:val="auto"/>
              </w:rPr>
              <w:t>Total finite-lived intangibles</w:t>
            </w:r>
          </w:p>
        </w:tc>
        <w:tc>
          <w:tcPr>
            <w:tcW w:w="1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488,492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(281,725)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206,767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488,492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(252,659)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235,833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34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566,806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(281,725)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285,081</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566,806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(252,659)</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314,147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212529"/>
        </w:rPr>
        <w:t>We acquired Big Sandy Broadband, Inc. (“Big Sandy”) on February 28, 2019. The $10 million acquisition price was allocated as follows within our Broadband segment: $4.6 million of property, plant and equipment; $2.8 million of subscriber relationships; and $2.6 million of goodwill.</w:t>
      </w:r>
    </w:p>
    <w:p>
      <w:pPr>
        <w:spacing w:after="0" w:line="14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212529"/>
        </w:rPr>
        <w:t xml:space="preserve">In 2016, we acquired nTelos Holdings Corp. and immediately transferred certain of the acquired assets to Sprint in an interrelated nonmonetary exchange. In the exchange, we received a corresponding expansion of our Sprint Affiliate Area, future billings associated with Sprint subscribers already in that expanded area, and an increase in the price that Sprint would pay to buy our Wireless asset group in the event that either party chooses not to renew the affiliate agreement. Sprint also agreed to waive up to $4.2 million of our monthly management fee, not to exceed $255.6 million in total, over a multi-year period. We accounted for these collective rights as an affiliate contract expansion (“ACE”) intangible, which is amortized over the expected benefit period and further reduced as management fees are waived by Sprint. The Company realized management fee waivers of </w:t>
      </w:r>
      <w:r>
        <w:rPr>
          <w:rFonts w:ascii="Arial" w:cs="Arial" w:eastAsia="Arial" w:hAnsi="Arial"/>
          <w:sz w:val="17"/>
          <w:szCs w:val="17"/>
          <w:color w:val="000000"/>
        </w:rPr>
        <w:t>$9.9 million</w:t>
      </w:r>
      <w:r>
        <w:rPr>
          <w:rFonts w:ascii="Arial" w:cs="Arial" w:eastAsia="Arial" w:hAnsi="Arial"/>
          <w:sz w:val="17"/>
          <w:szCs w:val="17"/>
          <w:color w:val="212529"/>
        </w:rPr>
        <w:t xml:space="preserve"> and </w:t>
      </w:r>
      <w:r>
        <w:rPr>
          <w:rFonts w:ascii="Arial" w:cs="Arial" w:eastAsia="Arial" w:hAnsi="Arial"/>
          <w:sz w:val="17"/>
          <w:szCs w:val="17"/>
          <w:color w:val="000000"/>
        </w:rPr>
        <w:t>$9.7 million</w:t>
      </w:r>
      <w:r>
        <w:rPr>
          <w:rFonts w:ascii="Arial" w:cs="Arial" w:eastAsia="Arial" w:hAnsi="Arial"/>
          <w:sz w:val="17"/>
          <w:szCs w:val="17"/>
          <w:color w:val="212529"/>
        </w:rPr>
        <w:t xml:space="preserve"> during the </w:t>
      </w:r>
      <w:r>
        <w:rPr>
          <w:rFonts w:ascii="Arial" w:cs="Arial" w:eastAsia="Arial" w:hAnsi="Arial"/>
          <w:sz w:val="17"/>
          <w:szCs w:val="17"/>
          <w:color w:val="000000"/>
        </w:rPr>
        <w:t xml:space="preserve">three months ended June 30, 2020 </w:t>
      </w:r>
      <w:r>
        <w:rPr>
          <w:rFonts w:ascii="Arial" w:cs="Arial" w:eastAsia="Arial" w:hAnsi="Arial"/>
          <w:sz w:val="17"/>
          <w:szCs w:val="17"/>
          <w:color w:val="212529"/>
        </w:rPr>
        <w:t>and</w:t>
      </w:r>
      <w:r>
        <w:rPr>
          <w:rFonts w:ascii="Arial" w:cs="Arial" w:eastAsia="Arial" w:hAnsi="Arial"/>
          <w:sz w:val="17"/>
          <w:szCs w:val="17"/>
          <w:color w:val="000000"/>
        </w:rPr>
        <w:t xml:space="preserve"> 2019</w:t>
      </w:r>
      <w:r>
        <w:rPr>
          <w:rFonts w:ascii="Arial" w:cs="Arial" w:eastAsia="Arial" w:hAnsi="Arial"/>
          <w:sz w:val="17"/>
          <w:szCs w:val="17"/>
          <w:color w:val="212529"/>
        </w:rPr>
        <w:t>, respectively, and</w:t>
      </w:r>
      <w:r>
        <w:rPr>
          <w:rFonts w:ascii="Arial" w:cs="Arial" w:eastAsia="Arial" w:hAnsi="Arial"/>
          <w:sz w:val="17"/>
          <w:szCs w:val="17"/>
          <w:color w:val="000000"/>
        </w:rPr>
        <w:t xml:space="preserve"> $19.7 million </w:t>
      </w:r>
      <w:r>
        <w:rPr>
          <w:rFonts w:ascii="Arial" w:cs="Arial" w:eastAsia="Arial" w:hAnsi="Arial"/>
          <w:sz w:val="17"/>
          <w:szCs w:val="17"/>
          <w:color w:val="212529"/>
        </w:rPr>
        <w:t>and</w:t>
      </w:r>
      <w:r>
        <w:rPr>
          <w:rFonts w:ascii="Arial" w:cs="Arial" w:eastAsia="Arial" w:hAnsi="Arial"/>
          <w:sz w:val="17"/>
          <w:szCs w:val="17"/>
          <w:color w:val="000000"/>
        </w:rPr>
        <w:t xml:space="preserve"> $19.3 million </w:t>
      </w:r>
      <w:r>
        <w:rPr>
          <w:rFonts w:ascii="Arial" w:cs="Arial" w:eastAsia="Arial" w:hAnsi="Arial"/>
          <w:sz w:val="17"/>
          <w:szCs w:val="17"/>
          <w:color w:val="212529"/>
        </w:rPr>
        <w:t>in the</w:t>
      </w:r>
      <w:r>
        <w:rPr>
          <w:rFonts w:ascii="Arial" w:cs="Arial" w:eastAsia="Arial" w:hAnsi="Arial"/>
          <w:sz w:val="17"/>
          <w:szCs w:val="17"/>
          <w:color w:val="000000"/>
        </w:rPr>
        <w:t xml:space="preserve"> six months ended June 30, 2020 </w:t>
      </w:r>
      <w:r>
        <w:rPr>
          <w:rFonts w:ascii="Arial" w:cs="Arial" w:eastAsia="Arial" w:hAnsi="Arial"/>
          <w:sz w:val="17"/>
          <w:szCs w:val="17"/>
          <w:color w:val="212529"/>
        </w:rPr>
        <w:t>and</w:t>
      </w:r>
      <w:r>
        <w:rPr>
          <w:rFonts w:ascii="Arial" w:cs="Arial" w:eastAsia="Arial" w:hAnsi="Arial"/>
          <w:sz w:val="17"/>
          <w:szCs w:val="17"/>
          <w:color w:val="000000"/>
        </w:rPr>
        <w:t xml:space="preserve"> 2019</w:t>
      </w:r>
      <w:r>
        <w:rPr>
          <w:rFonts w:ascii="Arial" w:cs="Arial" w:eastAsia="Arial" w:hAnsi="Arial"/>
          <w:sz w:val="17"/>
          <w:szCs w:val="17"/>
          <w:color w:val="212529"/>
        </w:rPr>
        <w:t>,</w:t>
      </w:r>
      <w:r>
        <w:rPr>
          <w:rFonts w:ascii="Arial" w:cs="Arial" w:eastAsia="Arial" w:hAnsi="Arial"/>
          <w:sz w:val="17"/>
          <w:szCs w:val="17"/>
          <w:color w:val="000000"/>
        </w:rPr>
        <w:t xml:space="preserve"> </w:t>
      </w:r>
      <w:r>
        <w:rPr>
          <w:rFonts w:ascii="Arial" w:cs="Arial" w:eastAsia="Arial" w:hAnsi="Arial"/>
          <w:sz w:val="17"/>
          <w:szCs w:val="17"/>
          <w:color w:val="212529"/>
        </w:rPr>
        <w:t xml:space="preserve">respectively, and </w:t>
      </w:r>
      <w:r>
        <w:rPr>
          <w:rFonts w:ascii="Arial" w:cs="Arial" w:eastAsia="Arial" w:hAnsi="Arial"/>
          <w:sz w:val="17"/>
          <w:szCs w:val="17"/>
          <w:color w:val="000000"/>
        </w:rPr>
        <w:t>$156.9 million</w:t>
      </w:r>
      <w:r>
        <w:rPr>
          <w:rFonts w:ascii="Arial" w:cs="Arial" w:eastAsia="Arial" w:hAnsi="Arial"/>
          <w:sz w:val="17"/>
          <w:szCs w:val="17"/>
          <w:color w:val="212529"/>
        </w:rPr>
        <w:t xml:space="preserve"> since the date of the business combination.</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212529"/>
        </w:rPr>
        <w:t>During 2017 and 2018, we entered into purchase agreements with Sprint to further expand our affiliate territory to include areas around Parkersburg, West Virginia, and Richmond, Virginia, respectively. The relevant portion of these payments were also capitalized as ACE intangible assets.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Amounts paid in connection with the acquisition of a business are presented as amortization expense in our income statement. Amounts paid to Sprint outside of a business combination are accounted for as consideration paid to a customer with amortization presented as a reduction of Service and other revenue in our unaudited condensed consolidated statements of comprehensive income.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 xml:space="preserve">Amortization of intangible assets was </w:t>
      </w:r>
      <w:r>
        <w:rPr>
          <w:rFonts w:ascii="Arial" w:cs="Arial" w:eastAsia="Arial" w:hAnsi="Arial"/>
          <w:sz w:val="18"/>
          <w:szCs w:val="18"/>
          <w:color w:val="000000"/>
        </w:rPr>
        <w:t>$4.4 million</w:t>
      </w:r>
      <w:r>
        <w:rPr>
          <w:rFonts w:ascii="Arial" w:cs="Arial" w:eastAsia="Arial" w:hAnsi="Arial"/>
          <w:sz w:val="18"/>
          <w:szCs w:val="18"/>
          <w:color w:val="212529"/>
        </w:rPr>
        <w:t xml:space="preserve"> and </w:t>
      </w:r>
      <w:r>
        <w:rPr>
          <w:rFonts w:ascii="Arial" w:cs="Arial" w:eastAsia="Arial" w:hAnsi="Arial"/>
          <w:sz w:val="18"/>
          <w:szCs w:val="18"/>
          <w:color w:val="000000"/>
        </w:rPr>
        <w:t>$5.1 million</w:t>
      </w:r>
      <w:r>
        <w:rPr>
          <w:rFonts w:ascii="Arial" w:cs="Arial" w:eastAsia="Arial" w:hAnsi="Arial"/>
          <w:sz w:val="18"/>
          <w:szCs w:val="18"/>
          <w:color w:val="212529"/>
        </w:rPr>
        <w:t xml:space="preserve"> during the </w:t>
      </w:r>
      <w:r>
        <w:rPr>
          <w:rFonts w:ascii="Arial" w:cs="Arial" w:eastAsia="Arial" w:hAnsi="Arial"/>
          <w:sz w:val="18"/>
          <w:szCs w:val="18"/>
          <w:color w:val="000000"/>
        </w:rPr>
        <w:t>three months ended June 30, 2020</w:t>
      </w:r>
      <w:r>
        <w:rPr>
          <w:rFonts w:ascii="Arial" w:cs="Arial" w:eastAsia="Arial" w:hAnsi="Arial"/>
          <w:sz w:val="18"/>
          <w:szCs w:val="18"/>
          <w:color w:val="212529"/>
        </w:rPr>
        <w:t xml:space="preserve"> and </w:t>
      </w:r>
      <w:r>
        <w:rPr>
          <w:rFonts w:ascii="Arial" w:cs="Arial" w:eastAsia="Arial" w:hAnsi="Arial"/>
          <w:sz w:val="18"/>
          <w:szCs w:val="18"/>
          <w:color w:val="000000"/>
        </w:rPr>
        <w:t>2019</w:t>
      </w:r>
      <w:r>
        <w:rPr>
          <w:rFonts w:ascii="Arial" w:cs="Arial" w:eastAsia="Arial" w:hAnsi="Arial"/>
          <w:sz w:val="18"/>
          <w:szCs w:val="18"/>
          <w:color w:val="212529"/>
        </w:rPr>
        <w:t xml:space="preserve">, respectively, and </w:t>
      </w:r>
      <w:r>
        <w:rPr>
          <w:rFonts w:ascii="Arial" w:cs="Arial" w:eastAsia="Arial" w:hAnsi="Arial"/>
          <w:sz w:val="18"/>
          <w:szCs w:val="18"/>
          <w:color w:val="000000"/>
        </w:rPr>
        <w:t>$9.3 million</w:t>
      </w:r>
      <w:r>
        <w:rPr>
          <w:rFonts w:ascii="Arial" w:cs="Arial" w:eastAsia="Arial" w:hAnsi="Arial"/>
          <w:sz w:val="18"/>
          <w:szCs w:val="18"/>
          <w:color w:val="212529"/>
        </w:rPr>
        <w:t xml:space="preserve"> and </w:t>
      </w:r>
      <w:r>
        <w:rPr>
          <w:rFonts w:ascii="Arial" w:cs="Arial" w:eastAsia="Arial" w:hAnsi="Arial"/>
          <w:sz w:val="18"/>
          <w:szCs w:val="18"/>
          <w:color w:val="000000"/>
        </w:rPr>
        <w:t>$10.8 million</w:t>
      </w:r>
      <w:r>
        <w:rPr>
          <w:rFonts w:ascii="Arial" w:cs="Arial" w:eastAsia="Arial" w:hAnsi="Arial"/>
          <w:sz w:val="18"/>
          <w:szCs w:val="18"/>
          <w:color w:val="212529"/>
        </w:rPr>
        <w:t xml:space="preserve"> for the </w:t>
      </w:r>
      <w:r>
        <w:rPr>
          <w:rFonts w:ascii="Arial" w:cs="Arial" w:eastAsia="Arial" w:hAnsi="Arial"/>
          <w:sz w:val="18"/>
          <w:szCs w:val="18"/>
          <w:color w:val="000000"/>
        </w:rPr>
        <w:t>six months ended June 30, 2020</w:t>
      </w:r>
      <w:r>
        <w:rPr>
          <w:rFonts w:ascii="Arial" w:cs="Arial" w:eastAsia="Arial" w:hAnsi="Arial"/>
          <w:sz w:val="18"/>
          <w:szCs w:val="18"/>
          <w:color w:val="212529"/>
        </w:rPr>
        <w:t xml:space="preserve"> and </w:t>
      </w:r>
      <w:r>
        <w:rPr>
          <w:rFonts w:ascii="Arial" w:cs="Arial" w:eastAsia="Arial" w:hAnsi="Arial"/>
          <w:sz w:val="18"/>
          <w:szCs w:val="18"/>
          <w:color w:val="000000"/>
        </w:rPr>
        <w:t>2019</w:t>
      </w:r>
      <w:r>
        <w:rPr>
          <w:rFonts w:ascii="Arial" w:cs="Arial" w:eastAsia="Arial" w:hAnsi="Arial"/>
          <w:sz w:val="18"/>
          <w:szCs w:val="18"/>
          <w:color w:val="212529"/>
        </w:rPr>
        <w:t>,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r>
              <w:rPr>
                <w:rFonts w:ascii="Arial" w:cs="Arial" w:eastAsia="Arial" w:hAnsi="Arial"/>
                <w:sz w:val="18"/>
                <w:szCs w:val="18"/>
                <w:b w:val="1"/>
                <w:bCs w:val="1"/>
                <w:color w:val="auto"/>
              </w:rPr>
              <w:t>Note 6.   Other Assets and Accrued Liabilities</w:t>
            </w: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5860" w:type="dxa"/>
            <w:vAlign w:val="bottom"/>
          </w:tcPr>
          <w:p>
            <w:pPr>
              <w:spacing w:after="0"/>
              <w:rPr>
                <w:sz w:val="20"/>
                <w:szCs w:val="20"/>
                <w:color w:val="auto"/>
              </w:rPr>
            </w:pPr>
            <w:r>
              <w:rPr>
                <w:rFonts w:ascii="Arial" w:cs="Arial" w:eastAsia="Arial" w:hAnsi="Arial"/>
                <w:sz w:val="18"/>
                <w:szCs w:val="18"/>
                <w:color w:val="auto"/>
                <w:w w:val="91"/>
              </w:rPr>
              <w:t>Prepaid expenses and other, classified as current assets, included the following:</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60"/>
        </w:trPr>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8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5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Wireless contract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44,593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44,844</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Broadband contract acquisition and fulfillment costs</w:t>
            </w: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4,898</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Prepaid maintenance expenses</w:t>
            </w: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3,329</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8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1,382</w:t>
            </w: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6,074</w:t>
            </w:r>
          </w:p>
        </w:tc>
      </w:tr>
      <w:tr>
        <w:trPr>
          <w:trHeight w:val="27"/>
        </w:trPr>
        <w:tc>
          <w:tcPr>
            <w:tcW w:w="5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5860" w:type="dxa"/>
            <w:vAlign w:val="bottom"/>
          </w:tcPr>
          <w:p>
            <w:pPr>
              <w:ind w:left="180"/>
              <w:spacing w:after="0"/>
              <w:rPr>
                <w:sz w:val="20"/>
                <w:szCs w:val="20"/>
                <w:color w:val="auto"/>
              </w:rPr>
            </w:pPr>
            <w:r>
              <w:rPr>
                <w:rFonts w:ascii="Arial" w:cs="Arial" w:eastAsia="Arial" w:hAnsi="Arial"/>
                <w:sz w:val="18"/>
                <w:szCs w:val="18"/>
                <w:color w:val="auto"/>
              </w:rPr>
              <w:t>Prepaid expenses and other</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56,392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60,527</w:t>
            </w:r>
          </w:p>
        </w:tc>
      </w:tr>
      <w:tr>
        <w:trPr>
          <w:trHeight w:val="20"/>
        </w:trPr>
        <w:tc>
          <w:tcPr>
            <w:tcW w:w="5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Deferred charges and other assets, classified as long-term assets, included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Wireless contract asset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39,086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39,819</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8"/>
                <w:szCs w:val="18"/>
                <w:color w:val="auto"/>
              </w:rPr>
              <w:t>Broadband contract acquisition and fulfillment costs</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8"/>
                <w:szCs w:val="18"/>
                <w:color w:val="auto"/>
              </w:rPr>
              <w:t>Interest rate swaps</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0"/>
                <w:szCs w:val="20"/>
                <w:color w:val="auto"/>
              </w:rPr>
            </w:pPr>
            <w:r>
              <w:rPr>
                <w:rFonts w:ascii="Arial" w:cs="Arial" w:eastAsia="Arial" w:hAnsi="Arial"/>
                <w:sz w:val="18"/>
                <w:szCs w:val="18"/>
                <w:color w:val="auto"/>
              </w:rPr>
              <w:t>Prepaid expenses and other</w:t>
            </w: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tcPr>
          <w:p>
            <w:pPr>
              <w:ind w:left="140"/>
              <w:spacing w:after="0"/>
              <w:rPr>
                <w:sz w:val="20"/>
                <w:szCs w:val="20"/>
                <w:color w:val="auto"/>
              </w:rPr>
            </w:pPr>
            <w:r>
              <w:rPr>
                <w:rFonts w:ascii="Arial" w:cs="Arial" w:eastAsia="Arial" w:hAnsi="Arial"/>
                <w:sz w:val="18"/>
                <w:szCs w:val="18"/>
                <w:color w:val="auto"/>
              </w:rPr>
              <w:t>Deferred charges and other assets</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54,311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53,352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180" w:type="dxa"/>
            <w:vAlign w:val="bottom"/>
            <w:vMerge w:val="restart"/>
          </w:tcPr>
          <w:p>
            <w:pPr>
              <w:jc w:val="right"/>
              <w:ind w:right="50"/>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64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180" w:type="dxa"/>
            <w:vAlign w:val="bottom"/>
            <w:gridSpan w:val="2"/>
          </w:tcPr>
          <w:p>
            <w:pPr>
              <w:spacing w:after="0"/>
              <w:rPr>
                <w:sz w:val="20"/>
                <w:szCs w:val="20"/>
                <w:color w:val="auto"/>
              </w:rPr>
            </w:pPr>
            <w:r>
              <w:rPr>
                <w:rFonts w:ascii="Arial" w:cs="Arial" w:eastAsia="Arial" w:hAnsi="Arial"/>
                <w:sz w:val="18"/>
                <w:szCs w:val="18"/>
                <w:color w:val="auto"/>
                <w:w w:val="94"/>
              </w:rPr>
              <w:t>Accrued liabilities and other, classified as current liabilities, included the following:</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58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Sales and property taxes payable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5,748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Accrued programming costs</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Financing leases</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FCC spectrum license obligations</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8,328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Pr>
          <w:p>
            <w:pPr>
              <w:ind w:left="180"/>
              <w:spacing w:after="0"/>
              <w:rPr>
                <w:sz w:val="20"/>
                <w:szCs w:val="20"/>
                <w:color w:val="auto"/>
              </w:rPr>
            </w:pPr>
            <w:r>
              <w:rPr>
                <w:rFonts w:ascii="Arial" w:cs="Arial" w:eastAsia="Arial" w:hAnsi="Arial"/>
                <w:sz w:val="18"/>
                <w:szCs w:val="18"/>
                <w:color w:val="auto"/>
              </w:rPr>
              <w:t>Accrued liabilities and other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14,391</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Other liabilities, classified as long-term liabilities, included the following:</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5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58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26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8"/>
                <w:szCs w:val="18"/>
                <w:color w:val="auto"/>
              </w:rPr>
              <w:t>Noncurrent portion of deferred lease 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16,992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12,449</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FCC spectrum license obligations</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Noncurrent portion of financing leases</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860" w:type="dxa"/>
            <w:vAlign w:val="bottom"/>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23,896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Market expectations of the projected LIBOR decreased significantly during 2020, which drove the fair value of our interest rate swaps to a liability. Refer to Note 9,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2020, our operating leases had a weighted average remaining lease term of nine years and a weighted average discount rate of 4.3%. Our finance leases had a weighted average remaining lease term of fifteen years and a weighted average discount rate of 5.1%.</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three and six months ended June 30, 2020, we recognized $17.8 million and $35.6 million of operating lease expense, respectively. Comparatively, during the three and six months ended June 30, 2019, we recognized $16.8 million and $33.7 million of operating lease expense, respectively. We recognized $0.1 million and $0.3 million of interest and depreciation expense on finance leases during the three and six months ended June 30, 2020 and June 30, 2019, respectively. Operating lease expense is presented in cost of service or selling, general and administrative expense based on the use of the relevant facility. Variable lease payments and short-term lease expense were both immaterial. We remitted $16.4 million and $31.8 million of operating lease payments during the three and six months ended June 30, 2020, respectively. We remitted $15.9 million and $30.5 million of operating lease payments during the three and six months ended June 30, 2019, respectively. We also obtained $2.2 million and $5.5 million of leased assets in exchange for new operating lease liabilities during the three and six months ended June 30, 2020, respectively. We obtained $21.2 million and $25.7 million of leased assets in exchange for new operating lease liabilities during the three and six months ended June 30, 2019,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32"/>
        </w:trPr>
        <w:tc>
          <w:tcPr>
            <w:tcW w:w="7080" w:type="dxa"/>
            <w:vAlign w:val="bottom"/>
            <w:gridSpan w:val="4"/>
          </w:tcPr>
          <w:p>
            <w:pPr>
              <w:spacing w:after="0"/>
              <w:rPr>
                <w:sz w:val="20"/>
                <w:szCs w:val="20"/>
                <w:color w:val="auto"/>
              </w:rPr>
            </w:pPr>
            <w:r>
              <w:rPr>
                <w:rFonts w:ascii="Arial" w:cs="Arial" w:eastAsia="Arial" w:hAnsi="Arial"/>
                <w:sz w:val="18"/>
                <w:szCs w:val="18"/>
                <w:color w:val="auto"/>
                <w:w w:val="98"/>
              </w:rPr>
              <w:t>The following table summarizes the expected maturity of lease liabilities at June 30, 2020:</w:t>
            </w: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78"/>
        </w:trPr>
        <w:tc>
          <w:tcPr>
            <w:tcW w:w="49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4"/>
                <w:szCs w:val="24"/>
                <w:color w:val="auto"/>
              </w:rPr>
            </w:pPr>
          </w:p>
        </w:tc>
        <w:tc>
          <w:tcPr>
            <w:tcW w:w="1900" w:type="dxa"/>
            <w:vAlign w:val="bottom"/>
            <w:gridSpan w:val="2"/>
          </w:tcPr>
          <w:p>
            <w:pPr>
              <w:ind w:left="100"/>
              <w:spacing w:after="0"/>
              <w:rPr>
                <w:sz w:val="20"/>
                <w:szCs w:val="20"/>
                <w:color w:val="auto"/>
              </w:rPr>
            </w:pPr>
            <w:r>
              <w:rPr>
                <w:rFonts w:ascii="Arial" w:cs="Arial" w:eastAsia="Arial" w:hAnsi="Arial"/>
                <w:sz w:val="18"/>
                <w:szCs w:val="18"/>
                <w:b w:val="1"/>
                <w:bCs w:val="1"/>
                <w:color w:val="auto"/>
              </w:rPr>
              <w:t>Operating Leases</w:t>
            </w:r>
          </w:p>
        </w:tc>
        <w:tc>
          <w:tcPr>
            <w:tcW w:w="280" w:type="dxa"/>
            <w:vAlign w:val="bottom"/>
          </w:tcPr>
          <w:p>
            <w:pPr>
              <w:spacing w:after="0"/>
              <w:rPr>
                <w:sz w:val="24"/>
                <w:szCs w:val="24"/>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Finance Leases</w:t>
            </w:r>
          </w:p>
        </w:tc>
        <w:tc>
          <w:tcPr>
            <w:tcW w:w="460" w:type="dxa"/>
            <w:vAlign w:val="bottom"/>
          </w:tcPr>
          <w:p>
            <w:pPr>
              <w:spacing w:after="0"/>
              <w:rPr>
                <w:sz w:val="24"/>
                <w:szCs w:val="24"/>
                <w:color w:val="auto"/>
              </w:rPr>
            </w:pPr>
          </w:p>
        </w:tc>
        <w:tc>
          <w:tcPr>
            <w:tcW w:w="1560" w:type="dxa"/>
            <w:vAlign w:val="bottom"/>
          </w:tcPr>
          <w:p>
            <w:pPr>
              <w:jc w:val="right"/>
              <w:ind w:right="730"/>
              <w:spacing w:after="0"/>
              <w:rPr>
                <w:sz w:val="20"/>
                <w:szCs w:val="20"/>
                <w:color w:val="auto"/>
              </w:rPr>
            </w:pPr>
            <w:r>
              <w:rPr>
                <w:rFonts w:ascii="Arial" w:cs="Arial" w:eastAsia="Arial" w:hAnsi="Arial"/>
                <w:sz w:val="18"/>
                <w:szCs w:val="18"/>
                <w:b w:val="1"/>
                <w:bCs w:val="1"/>
                <w:color w:val="auto"/>
              </w:rPr>
              <w:t>Total</w:t>
            </w:r>
          </w:p>
        </w:tc>
      </w:tr>
      <w:tr>
        <w:trPr>
          <w:trHeight w:val="27"/>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28,935</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29,028</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66,338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66,512</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64,493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64,667</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60,994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61,168</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56,329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56,503</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2025 and thereafter</w:t>
            </w:r>
          </w:p>
        </w:tc>
        <w:tc>
          <w:tcPr>
            <w:tcW w:w="24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193,826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1,530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195,356</w:t>
            </w:r>
          </w:p>
        </w:tc>
      </w:tr>
      <w:tr>
        <w:trPr>
          <w:trHeight w:val="27"/>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180"/>
              <w:spacing w:after="0"/>
              <w:rPr>
                <w:sz w:val="20"/>
                <w:szCs w:val="20"/>
                <w:color w:val="auto"/>
              </w:rPr>
            </w:pPr>
            <w:r>
              <w:rPr>
                <w:rFonts w:ascii="Arial" w:cs="Arial" w:eastAsia="Arial" w:hAnsi="Arial"/>
                <w:sz w:val="18"/>
                <w:szCs w:val="18"/>
                <w:color w:val="auto"/>
              </w:rPr>
              <w:t>Total lease payments</w:t>
            </w:r>
          </w:p>
        </w:tc>
        <w:tc>
          <w:tcPr>
            <w:tcW w:w="240" w:type="dxa"/>
            <w:vAlign w:val="bottom"/>
          </w:tcPr>
          <w:p>
            <w:pPr>
              <w:spacing w:after="0"/>
              <w:rPr>
                <w:sz w:val="20"/>
                <w:szCs w:val="20"/>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470,915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2,319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473,234</w:t>
            </w:r>
          </w:p>
        </w:tc>
      </w:tr>
      <w:tr>
        <w:trPr>
          <w:trHeight w:val="270"/>
        </w:trPr>
        <w:tc>
          <w:tcPr>
            <w:tcW w:w="4940" w:type="dxa"/>
            <w:vAlign w:val="bottom"/>
          </w:tcPr>
          <w:p>
            <w:pPr>
              <w:ind w:left="40"/>
              <w:spacing w:after="0"/>
              <w:rPr>
                <w:sz w:val="20"/>
                <w:szCs w:val="20"/>
                <w:color w:val="auto"/>
              </w:rPr>
            </w:pPr>
            <w:r>
              <w:rPr>
                <w:rFonts w:ascii="Arial" w:cs="Arial" w:eastAsia="Arial" w:hAnsi="Arial"/>
                <w:sz w:val="18"/>
                <w:szCs w:val="18"/>
                <w:color w:val="auto"/>
              </w:rPr>
              <w:t>Less: Interest</w:t>
            </w:r>
          </w:p>
        </w:tc>
        <w:tc>
          <w:tcPr>
            <w:tcW w:w="24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93,060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93,736</w:t>
            </w:r>
          </w:p>
        </w:tc>
      </w:tr>
      <w:tr>
        <w:trPr>
          <w:trHeight w:val="27"/>
        </w:trPr>
        <w:tc>
          <w:tcPr>
            <w:tcW w:w="4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940" w:type="dxa"/>
            <w:vAlign w:val="bottom"/>
          </w:tcPr>
          <w:p>
            <w:pPr>
              <w:ind w:left="18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377,855</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379,498</w:t>
            </w: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recognized $2.1 million and $4.2 million of operating lease revenue during the three and six months ended June 30, 2020, respectively, and $2.0 million and $4.0 million during the three and six months ended June 30, 2019, respectively, related to the cell site colocation space and dedicated fiber optic strands that we lease to our customers, which is included in Service and other revenue in the unaudited condensed consolidated statements of comprehensive income. Substantially all of our lease revenue relates to fixed lease 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our minimum rental receipts under the lease agreements in place at June 30, 2020:</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78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Operating Leases</w:t>
            </w:r>
          </w:p>
        </w:tc>
      </w:tr>
      <w:tr>
        <w:trPr>
          <w:trHeight w:val="27"/>
        </w:trPr>
        <w:tc>
          <w:tcPr>
            <w:tcW w:w="5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3,938</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6,007</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4,944</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3,313</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2,117</w:t>
            </w:r>
          </w:p>
        </w:tc>
      </w:tr>
      <w:tr>
        <w:trPr>
          <w:trHeight w:val="270"/>
        </w:trPr>
        <w:tc>
          <w:tcPr>
            <w:tcW w:w="5060" w:type="dxa"/>
            <w:vAlign w:val="bottom"/>
          </w:tcPr>
          <w:p>
            <w:pPr>
              <w:spacing w:after="0"/>
              <w:rPr>
                <w:sz w:val="20"/>
                <w:szCs w:val="20"/>
                <w:color w:val="auto"/>
              </w:rPr>
            </w:pPr>
            <w:r>
              <w:rPr>
                <w:rFonts w:ascii="Arial" w:cs="Arial" w:eastAsia="Arial" w:hAnsi="Arial"/>
                <w:sz w:val="18"/>
                <w:szCs w:val="18"/>
                <w:color w:val="auto"/>
              </w:rPr>
              <w:t>2025 and thereafter</w:t>
            </w:r>
          </w:p>
        </w:tc>
        <w:tc>
          <w:tcPr>
            <w:tcW w:w="22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4,517</w:t>
            </w:r>
          </w:p>
        </w:tc>
      </w:tr>
      <w:tr>
        <w:trPr>
          <w:trHeight w:val="27"/>
        </w:trPr>
        <w:tc>
          <w:tcPr>
            <w:tcW w:w="5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506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24,836</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syndicated Credit Agreement includes a $75 million, five-year undrawn revolving credit facility, as well as the following outstanding term loans: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1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7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spacing w:after="0"/>
              <w:rPr>
                <w:sz w:val="20"/>
                <w:szCs w:val="20"/>
                <w:color w:val="auto"/>
              </w:rPr>
            </w:pPr>
            <w:r>
              <w:rPr>
                <w:rFonts w:ascii="Arial" w:cs="Arial" w:eastAsia="Arial" w:hAnsi="Arial"/>
                <w:sz w:val="18"/>
                <w:szCs w:val="18"/>
                <w:color w:val="auto"/>
              </w:rPr>
              <w:t>Term loan A-1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244,004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258,571</w:t>
            </w:r>
          </w:p>
        </w:tc>
      </w:tr>
      <w:tr>
        <w:trPr>
          <w:trHeight w:val="270"/>
        </w:trPr>
        <w:tc>
          <w:tcPr>
            <w:tcW w:w="7120" w:type="dxa"/>
            <w:vAlign w:val="bottom"/>
          </w:tcPr>
          <w:p>
            <w:pPr>
              <w:spacing w:after="0"/>
              <w:rPr>
                <w:sz w:val="20"/>
                <w:szCs w:val="20"/>
                <w:color w:val="auto"/>
              </w:rPr>
            </w:pPr>
            <w:r>
              <w:rPr>
                <w:rFonts w:ascii="Arial" w:cs="Arial" w:eastAsia="Arial" w:hAnsi="Arial"/>
                <w:sz w:val="18"/>
                <w:szCs w:val="18"/>
                <w:color w:val="auto"/>
              </w:rPr>
              <w:t>Term loan A-2</w:t>
            </w:r>
          </w:p>
        </w:tc>
        <w:tc>
          <w:tcPr>
            <w:tcW w:w="2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470,975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473,469</w:t>
            </w:r>
          </w:p>
        </w:tc>
      </w:tr>
      <w:tr>
        <w:trPr>
          <w:trHeight w:val="27"/>
        </w:trPr>
        <w:tc>
          <w:tcPr>
            <w:tcW w:w="7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714,979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732,040</w:t>
            </w:r>
          </w:p>
        </w:tc>
      </w:tr>
      <w:tr>
        <w:trPr>
          <w:trHeight w:val="270"/>
        </w:trPr>
        <w:tc>
          <w:tcPr>
            <w:tcW w:w="7120" w:type="dxa"/>
            <w:vAlign w:val="bottom"/>
          </w:tcPr>
          <w:p>
            <w:pPr>
              <w:spacing w:after="0"/>
              <w:rPr>
                <w:sz w:val="20"/>
                <w:szCs w:val="20"/>
                <w:color w:val="auto"/>
              </w:rPr>
            </w:pPr>
            <w:r>
              <w:rPr>
                <w:rFonts w:ascii="Arial" w:cs="Arial" w:eastAsia="Arial" w:hAnsi="Arial"/>
                <w:sz w:val="18"/>
                <w:szCs w:val="18"/>
                <w:color w:val="auto"/>
              </w:rPr>
              <w:t>Less: unamortized loan fees</w:t>
            </w:r>
          </w:p>
        </w:tc>
        <w:tc>
          <w:tcPr>
            <w:tcW w:w="2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10,689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11,926</w:t>
            </w:r>
          </w:p>
        </w:tc>
      </w:tr>
      <w:tr>
        <w:trPr>
          <w:trHeight w:val="27"/>
        </w:trPr>
        <w:tc>
          <w:tcPr>
            <w:tcW w:w="7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120" w:type="dxa"/>
            <w:vAlign w:val="bottom"/>
          </w:tcPr>
          <w:p>
            <w:pPr>
              <w:spacing w:after="0"/>
              <w:rPr>
                <w:sz w:val="20"/>
                <w:szCs w:val="20"/>
                <w:color w:val="auto"/>
              </w:rPr>
            </w:pPr>
            <w:r>
              <w:rPr>
                <w:rFonts w:ascii="Arial" w:cs="Arial" w:eastAsia="Arial" w:hAnsi="Arial"/>
                <w:sz w:val="18"/>
                <w:szCs w:val="18"/>
                <w:color w:val="auto"/>
              </w:rPr>
              <w:t>Total debt, net of unamortized loan fees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704,290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720,114</w:t>
            </w:r>
          </w:p>
        </w:tc>
      </w:tr>
      <w:tr>
        <w:trPr>
          <w:trHeight w:val="20"/>
        </w:trPr>
        <w:tc>
          <w:tcPr>
            <w:tcW w:w="7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Term Loan A-1 bears interest at one-month LIBOR plus a margin of 1.50%, while Term Loan A-2 bears interest at one-month LIBOR plus a margin of 1.75%. LIBOR resets monthly. Our cash payments for interest were $10.3 million and $14.5 million during the </w:t>
      </w:r>
      <w:r>
        <w:rPr>
          <w:rFonts w:ascii="Arial" w:cs="Arial" w:eastAsia="Arial" w:hAnsi="Arial"/>
          <w:sz w:val="18"/>
          <w:szCs w:val="18"/>
          <w:color w:val="212529"/>
        </w:rPr>
        <w:t>six months ended June 30, 2020</w:t>
      </w:r>
      <w:r>
        <w:rPr>
          <w:rFonts w:ascii="Arial" w:cs="Arial" w:eastAsia="Arial" w:hAnsi="Arial"/>
          <w:sz w:val="18"/>
          <w:szCs w:val="18"/>
          <w:color w:val="auto"/>
        </w:rPr>
        <w:t xml:space="preserve"> and 2019,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shown below, as of June 30, 2020, the Company was in compliance with the financial covenants in its credit agreements.</w:t>
      </w: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Actual</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Pr>
          <w:p>
            <w:pPr>
              <w:jc w:val="right"/>
              <w:ind w:right="230"/>
              <w:spacing w:after="0"/>
              <w:rPr>
                <w:sz w:val="20"/>
                <w:szCs w:val="20"/>
                <w:color w:val="auto"/>
              </w:rPr>
            </w:pPr>
            <w:r>
              <w:rPr>
                <w:rFonts w:ascii="Arial" w:cs="Arial" w:eastAsia="Arial" w:hAnsi="Arial"/>
                <w:sz w:val="18"/>
                <w:szCs w:val="18"/>
                <w:b w:val="1"/>
                <w:bCs w:val="1"/>
                <w:color w:val="auto"/>
              </w:rPr>
              <w:t>Covenant Requirement</w:t>
            </w:r>
          </w:p>
        </w:tc>
        <w:tc>
          <w:tcPr>
            <w:tcW w:w="0" w:type="dxa"/>
            <w:vAlign w:val="bottom"/>
          </w:tcPr>
          <w:p>
            <w:pPr>
              <w:spacing w:after="0"/>
              <w:rPr>
                <w:sz w:val="1"/>
                <w:szCs w:val="1"/>
                <w:color w:val="auto"/>
              </w:rPr>
            </w:pPr>
          </w:p>
        </w:tc>
      </w:tr>
      <w:tr>
        <w:trPr>
          <w:trHeight w:val="27"/>
        </w:trPr>
        <w:tc>
          <w:tcPr>
            <w:tcW w:w="4000" w:type="dxa"/>
            <w:vAlign w:val="bottom"/>
            <w:vMerge w:val="restart"/>
          </w:tcPr>
          <w:p>
            <w:pPr>
              <w:spacing w:after="0"/>
              <w:rPr>
                <w:sz w:val="20"/>
                <w:szCs w:val="20"/>
                <w:color w:val="auto"/>
              </w:rPr>
            </w:pPr>
            <w:r>
              <w:rPr>
                <w:rFonts w:ascii="Arial" w:cs="Arial" w:eastAsia="Arial" w:hAnsi="Arial"/>
                <w:sz w:val="18"/>
                <w:szCs w:val="18"/>
                <w:color w:val="auto"/>
              </w:rPr>
              <w:t>Total leverage ratio</w:t>
            </w: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0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420" w:type="dxa"/>
            <w:vAlign w:val="bottom"/>
          </w:tcPr>
          <w:p>
            <w:pPr>
              <w:jc w:val="right"/>
              <w:ind w:right="430"/>
              <w:spacing w:after="0"/>
              <w:rPr>
                <w:sz w:val="20"/>
                <w:szCs w:val="20"/>
                <w:color w:val="auto"/>
              </w:rPr>
            </w:pPr>
            <w:r>
              <w:rPr>
                <w:rFonts w:ascii="Arial" w:cs="Arial" w:eastAsia="Arial" w:hAnsi="Arial"/>
                <w:sz w:val="18"/>
                <w:szCs w:val="18"/>
                <w:color w:val="auto"/>
              </w:rPr>
              <w:t>3.25 or Lower</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Debt service coverage ratio</w:t>
            </w:r>
          </w:p>
        </w:tc>
        <w:tc>
          <w:tcPr>
            <w:tcW w:w="10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2.00 or Higher</w:t>
            </w:r>
          </w:p>
        </w:tc>
        <w:tc>
          <w:tcPr>
            <w:tcW w:w="0" w:type="dxa"/>
            <w:vAlign w:val="bottom"/>
          </w:tcPr>
          <w:p>
            <w:pPr>
              <w:spacing w:after="0"/>
              <w:rPr>
                <w:sz w:val="1"/>
                <w:szCs w:val="1"/>
                <w:color w:val="auto"/>
              </w:rPr>
            </w:pPr>
          </w:p>
        </w:tc>
      </w:tr>
      <w:tr>
        <w:trPr>
          <w:trHeight w:val="270"/>
        </w:trPr>
        <w:tc>
          <w:tcPr>
            <w:tcW w:w="4000" w:type="dxa"/>
            <w:vAlign w:val="bottom"/>
          </w:tcPr>
          <w:p>
            <w:pPr>
              <w:spacing w:after="0"/>
              <w:rPr>
                <w:sz w:val="20"/>
                <w:szCs w:val="20"/>
                <w:color w:val="auto"/>
              </w:rPr>
            </w:pPr>
            <w:r>
              <w:rPr>
                <w:rFonts w:ascii="Arial" w:cs="Arial" w:eastAsia="Arial" w:hAnsi="Arial"/>
                <w:sz w:val="18"/>
                <w:szCs w:val="18"/>
                <w:color w:val="auto"/>
              </w:rPr>
              <w:t>Minimum liquidity balance (in millions)</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218.5</w:t>
            </w:r>
          </w:p>
        </w:tc>
        <w:tc>
          <w:tcPr>
            <w:tcW w:w="120" w:type="dxa"/>
            <w:vAlign w:val="bottom"/>
          </w:tcPr>
          <w:p>
            <w:pPr>
              <w:spacing w:after="0"/>
              <w:rPr>
                <w:sz w:val="23"/>
                <w:szCs w:val="23"/>
                <w:color w:val="auto"/>
              </w:rPr>
            </w:pPr>
          </w:p>
        </w:tc>
        <w:tc>
          <w:tcPr>
            <w:tcW w:w="2420" w:type="dxa"/>
            <w:vAlign w:val="bottom"/>
          </w:tcPr>
          <w:p>
            <w:pPr>
              <w:jc w:val="right"/>
              <w:ind w:right="410"/>
              <w:spacing w:after="0"/>
              <w:rPr>
                <w:sz w:val="20"/>
                <w:szCs w:val="20"/>
                <w:color w:val="auto"/>
              </w:rPr>
            </w:pPr>
            <w:r>
              <w:rPr>
                <w:rFonts w:ascii="Arial" w:cs="Arial" w:eastAsia="Arial" w:hAnsi="Arial"/>
                <w:sz w:val="18"/>
                <w:szCs w:val="18"/>
                <w:color w:val="auto"/>
              </w:rPr>
              <w:t>$25.0 or Higher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Rate quotations provided by a group of banks that sustain LIBOR will no longer be required after 2021. As a result, it is uncertain whether LIBOR will continue to be quoted after 2021. Our term loans and interest rate swaps identify LIBOR as a reference rate and mature after 2021. Alternative reference rates that replace LIBOR may not yield the same or similar economic results over the terms of the financial instruments. The transition from LIBOR could result in us paying higher or lower interest rates on our current LIBOR-indexed term loans, affect the fair value of the derivative instruments we hold, or affect our ability to effectively use interest rate swaps to manage interest rate risk. Our Credit Agreement includes provisions that provide for the identification of a LIBOR replacement rate. Due to the uncertainty regarding the transition from LIBOR-indexed financial instruments, including when it will happen, and the manner in which an alternative reference rate will apply, we cannot yet reasonably estimate the expected financial impact of the LIBOR transition.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Derivatives and Hedging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interest rate swaps are pay-fixed (1.16%), receive-variable (one month LIBOR) that hedged approximately 44.4% of outstanding debt with outstanding notional amounts totaling $317.6 million and $339.8 million, as of June 30, 2020 and December 31, 2019, respectively.</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these instruments was estimated using an income approach and observable market inputs. The hedge was determined to be highly effective and therefore all of the change in its fair value was recognized through Other comprehensive income. During the three months ended June 30, 2020, the change in fair market value was immaterial. During the six months ended June 30, 2020 the fair market value decreased $8.1 million due to a decline in the one month LIBOR. They were presented as follows:</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680" w:type="dxa"/>
            <w:vAlign w:val="bottom"/>
          </w:tcPr>
          <w:p>
            <w:pPr>
              <w:spacing w:after="0"/>
              <w:rPr>
                <w:sz w:val="18"/>
                <w:szCs w:val="18"/>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jc w:val="right"/>
              <w:ind w:right="4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6680" w:type="dxa"/>
            <w:vAlign w:val="bottom"/>
            <w:vMerge w:val="restart"/>
          </w:tcPr>
          <w:p>
            <w:pPr>
              <w:spacing w:after="0"/>
              <w:rPr>
                <w:sz w:val="20"/>
                <w:szCs w:val="20"/>
                <w:color w:val="auto"/>
              </w:rPr>
            </w:pPr>
            <w:r>
              <w:rPr>
                <w:rFonts w:ascii="Arial" w:cs="Arial" w:eastAsia="Arial" w:hAnsi="Arial"/>
                <w:sz w:val="18"/>
                <w:szCs w:val="18"/>
                <w:color w:val="auto"/>
              </w:rPr>
              <w:t>Balance sheet location of derivative financial instruments:</w:t>
            </w: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8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680" w:type="dxa"/>
            <w:vAlign w:val="bottom"/>
          </w:tcPr>
          <w:p>
            <w:pPr>
              <w:ind w:left="140"/>
              <w:spacing w:after="0"/>
              <w:rPr>
                <w:sz w:val="20"/>
                <w:szCs w:val="20"/>
                <w:color w:val="auto"/>
              </w:rPr>
            </w:pPr>
            <w:r>
              <w:rPr>
                <w:rFonts w:ascii="Arial" w:cs="Arial" w:eastAsia="Arial" w:hAnsi="Arial"/>
                <w:sz w:val="18"/>
                <w:szCs w:val="18"/>
                <w:color w:val="auto"/>
              </w:rPr>
              <w:t>Prepaid expenses and other</w:t>
            </w: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1,382</w:t>
            </w:r>
          </w:p>
        </w:tc>
        <w:tc>
          <w:tcPr>
            <w:tcW w:w="0" w:type="dxa"/>
            <w:vAlign w:val="bottom"/>
          </w:tcPr>
          <w:p>
            <w:pPr>
              <w:spacing w:after="0"/>
              <w:rPr>
                <w:sz w:val="1"/>
                <w:szCs w:val="1"/>
                <w:color w:val="auto"/>
              </w:rPr>
            </w:pPr>
          </w:p>
        </w:tc>
      </w:tr>
      <w:tr>
        <w:trPr>
          <w:trHeight w:val="270"/>
        </w:trPr>
        <w:tc>
          <w:tcPr>
            <w:tcW w:w="6680" w:type="dxa"/>
            <w:vAlign w:val="bottom"/>
          </w:tcPr>
          <w:p>
            <w:pPr>
              <w:ind w:left="140"/>
              <w:spacing w:after="0"/>
              <w:rPr>
                <w:sz w:val="20"/>
                <w:szCs w:val="20"/>
                <w:color w:val="auto"/>
              </w:rPr>
            </w:pPr>
            <w:r>
              <w:rPr>
                <w:rFonts w:ascii="Arial" w:cs="Arial" w:eastAsia="Arial" w:hAnsi="Arial"/>
                <w:sz w:val="18"/>
                <w:szCs w:val="18"/>
                <w:color w:val="auto"/>
              </w:rPr>
              <w:t>Deferred charges and other assets, net</w:t>
            </w:r>
          </w:p>
        </w:tc>
        <w:tc>
          <w:tcPr>
            <w:tcW w:w="158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70"/>
        </w:trPr>
        <w:tc>
          <w:tcPr>
            <w:tcW w:w="6680" w:type="dxa"/>
            <w:vAlign w:val="bottom"/>
          </w:tcPr>
          <w:p>
            <w:pPr>
              <w:ind w:left="140"/>
              <w:spacing w:after="0"/>
              <w:rPr>
                <w:sz w:val="20"/>
                <w:szCs w:val="20"/>
                <w:color w:val="auto"/>
              </w:rPr>
            </w:pPr>
            <w:r>
              <w:rPr>
                <w:rFonts w:ascii="Arial" w:cs="Arial" w:eastAsia="Arial" w:hAnsi="Arial"/>
                <w:sz w:val="18"/>
                <w:szCs w:val="18"/>
                <w:color w:val="auto"/>
              </w:rPr>
              <w:t>Accrued liabilities and other</w:t>
            </w:r>
          </w:p>
        </w:tc>
        <w:tc>
          <w:tcPr>
            <w:tcW w:w="158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68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158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6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80" w:type="dxa"/>
            <w:vAlign w:val="bottom"/>
          </w:tcPr>
          <w:p>
            <w:pPr>
              <w:ind w:left="240"/>
              <w:spacing w:after="0"/>
              <w:rPr>
                <w:sz w:val="20"/>
                <w:szCs w:val="20"/>
                <w:color w:val="auto"/>
              </w:rPr>
            </w:pPr>
            <w:r>
              <w:rPr>
                <w:rFonts w:ascii="Arial" w:cs="Arial" w:eastAsia="Arial" w:hAnsi="Arial"/>
                <w:sz w:val="18"/>
                <w:szCs w:val="18"/>
                <w:color w:val="auto"/>
              </w:rPr>
              <w:t>Total derivatives designated as hedging instruments</w:t>
            </w:r>
          </w:p>
        </w:tc>
        <w:tc>
          <w:tcPr>
            <w:tcW w:w="158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5,421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changes in accumulated other comprehensive income (loss) by component:</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Accumulated</w:t>
            </w:r>
          </w:p>
        </w:tc>
      </w:tr>
      <w:tr>
        <w:trPr>
          <w:trHeight w:val="216"/>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Gains (Losses) on</w:t>
            </w:r>
          </w:p>
        </w:tc>
        <w:tc>
          <w:tcPr>
            <w:tcW w:w="2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Income Tax</w:t>
            </w:r>
          </w:p>
        </w:tc>
        <w:tc>
          <w:tcPr>
            <w:tcW w:w="160" w:type="dxa"/>
            <w:vAlign w:val="bottom"/>
          </w:tcPr>
          <w:p>
            <w:pPr>
              <w:spacing w:after="0"/>
              <w:rPr>
                <w:sz w:val="18"/>
                <w:szCs w:val="18"/>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Comprehensive</w:t>
            </w:r>
          </w:p>
        </w:tc>
      </w:tr>
      <w:tr>
        <w:trPr>
          <w:trHeight w:val="216"/>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Cash Flow</w:t>
            </w: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(Expense)</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Income (Loss), net</w:t>
            </w:r>
          </w:p>
        </w:tc>
      </w:tr>
      <w:tr>
        <w:trPr>
          <w:trHeight w:val="234"/>
        </w:trPr>
        <w:tc>
          <w:tcPr>
            <w:tcW w:w="62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Hedges</w:t>
            </w:r>
          </w:p>
        </w:tc>
        <w:tc>
          <w:tcPr>
            <w:tcW w:w="220" w:type="dxa"/>
            <w:vAlign w:val="bottom"/>
          </w:tcPr>
          <w:p>
            <w:pPr>
              <w:spacing w:after="0"/>
              <w:rPr>
                <w:sz w:val="20"/>
                <w:szCs w:val="20"/>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Benefit</w:t>
            </w:r>
          </w:p>
        </w:tc>
        <w:tc>
          <w:tcPr>
            <w:tcW w:w="160" w:type="dxa"/>
            <w:vAlign w:val="bottom"/>
          </w:tcPr>
          <w:p>
            <w:pPr>
              <w:spacing w:after="0"/>
              <w:rPr>
                <w:sz w:val="20"/>
                <w:szCs w:val="20"/>
                <w:color w:val="auto"/>
              </w:rPr>
            </w:pPr>
          </w:p>
        </w:tc>
        <w:tc>
          <w:tcPr>
            <w:tcW w:w="142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of taxes</w:t>
            </w:r>
          </w:p>
        </w:tc>
      </w:tr>
      <w:tr>
        <w:trPr>
          <w:trHeight w:val="27"/>
        </w:trPr>
        <w:tc>
          <w:tcPr>
            <w:tcW w:w="6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6240" w:type="dxa"/>
            <w:vAlign w:val="bottom"/>
          </w:tcPr>
          <w:p>
            <w:pPr>
              <w:spacing w:after="0"/>
              <w:rPr>
                <w:sz w:val="20"/>
                <w:szCs w:val="20"/>
                <w:color w:val="auto"/>
              </w:rPr>
            </w:pPr>
            <w:r>
              <w:rPr>
                <w:rFonts w:ascii="Arial" w:cs="Arial" w:eastAsia="Arial" w:hAnsi="Arial"/>
                <w:sz w:val="18"/>
                <w:szCs w:val="18"/>
                <w:color w:val="auto"/>
              </w:rPr>
              <w:t>Balance as of December 31, 2019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2,634</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308</w:t>
            </w:r>
          </w:p>
        </w:tc>
      </w:tr>
      <w:tr>
        <w:trPr>
          <w:trHeight w:val="270"/>
        </w:trPr>
        <w:tc>
          <w:tcPr>
            <w:tcW w:w="6240" w:type="dxa"/>
            <w:vAlign w:val="bottom"/>
          </w:tcPr>
          <w:p>
            <w:pPr>
              <w:spacing w:after="0"/>
              <w:rPr>
                <w:sz w:val="20"/>
                <w:szCs w:val="20"/>
                <w:color w:val="auto"/>
              </w:rPr>
            </w:pPr>
            <w:r>
              <w:rPr>
                <w:rFonts w:ascii="Arial" w:cs="Arial" w:eastAsia="Arial" w:hAnsi="Arial"/>
                <w:sz w:val="18"/>
                <w:szCs w:val="18"/>
                <w:color w:val="auto"/>
              </w:rPr>
              <w:t>Net change in unrealized gain (loss)</w:t>
            </w:r>
          </w:p>
        </w:tc>
        <w:tc>
          <w:tcPr>
            <w:tcW w:w="1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(8,183)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(6,143)</w:t>
            </w:r>
          </w:p>
        </w:tc>
      </w:tr>
      <w:tr>
        <w:trPr>
          <w:trHeight w:val="256"/>
        </w:trPr>
        <w:tc>
          <w:tcPr>
            <w:tcW w:w="6240" w:type="dxa"/>
            <w:vAlign w:val="bottom"/>
          </w:tcPr>
          <w:p>
            <w:pPr>
              <w:spacing w:after="0"/>
              <w:rPr>
                <w:sz w:val="20"/>
                <w:szCs w:val="20"/>
                <w:color w:val="auto"/>
              </w:rPr>
            </w:pPr>
            <w:r>
              <w:rPr>
                <w:rFonts w:ascii="Arial" w:cs="Arial" w:eastAsia="Arial" w:hAnsi="Arial"/>
                <w:sz w:val="18"/>
                <w:szCs w:val="18"/>
                <w:color w:val="auto"/>
                <w:w w:val="91"/>
              </w:rPr>
              <w:t>Amounts reclassified from accumulated other comprehensive income (loss) to interest</w:t>
            </w: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expense</w:t>
            </w:r>
          </w:p>
        </w:tc>
        <w:tc>
          <w:tcPr>
            <w:tcW w:w="120" w:type="dxa"/>
            <w:vAlign w:val="bottom"/>
          </w:tcPr>
          <w:p>
            <w:pPr>
              <w:spacing w:after="0"/>
              <w:rPr>
                <w:sz w:val="20"/>
                <w:szCs w:val="20"/>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96</w:t>
            </w:r>
          </w:p>
        </w:tc>
      </w:tr>
      <w:tr>
        <w:trPr>
          <w:trHeight w:val="27"/>
        </w:trPr>
        <w:tc>
          <w:tcPr>
            <w:tcW w:w="6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6"/>
        </w:trPr>
        <w:tc>
          <w:tcPr>
            <w:tcW w:w="624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(6,047)</w:t>
            </w:r>
          </w:p>
        </w:tc>
      </w:tr>
      <w:tr>
        <w:trPr>
          <w:trHeight w:val="27"/>
        </w:trPr>
        <w:tc>
          <w:tcPr>
            <w:tcW w:w="6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Balance as of June 30,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(5,739)</w:t>
            </w:r>
          </w:p>
        </w:tc>
      </w:tr>
      <w:tr>
        <w:trPr>
          <w:trHeight w:val="20"/>
        </w:trPr>
        <w:tc>
          <w:tcPr>
            <w:tcW w:w="6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files U.S. federal income tax returns and various state income tax returns. The Company is not subject to any state or federal income tax audits as of June 30, 2020. The Company's returns are generally open to examination from 2016 forward and the net operating losses acquired in the acquisition of nTelos are open to examination from 2002 forward.</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effective tax rate for the three months ended June 30, 2020 was approximately 26.0%, as compared with approximately 25.6% for the three months ended June 30, 2019. The Company’s effective tax rate for the six months ended June 30, 2020 was approximately 25.5%, as compared with approximately 24.4% for the six months ended June 30, 2019. The Company had no significant cash payments or refunds for income taxes during the six months ended June 30, 2020. The Company paid cash income taxes of $4.2 million during the six months ended June 30,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Compensation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granted approximately 81 thousand restricted stock units (RSUs) to employees during the six months ended June 30, 2020. Approximately 70 thousand and 11 thousand of these RSUs were granted during the first and second quarter of 2020, respectively, at market prices of $48.47 and $52.70 in those respective quarters. The Company also granted approximately 14 thousand RSUs to members of the board of directors at a market price of $48.47 per award in the first quarter of 2020. Additionally, approximately 40 thousand Relative Total Shareholder Return (“RTSR”) awards were granted to employees at a value of $56.32 per award in the first quarter of 2020. Under the terms of the award agreements, the RSUs granted to employees vest over the anniversary date of the grants through 2024. The RSUs granted to the members of the board of directors vest fully on the first anniversary of the grant date. Pursuant to the terms of the RTSR awards, the Company’s stock performance over a three-year period, ending December 31, 2022, will be compared to a group of peer companies, and the actual number of shares to be issued will be determined based upon the performance of the Company’s stock as compared with that of the peer group. The actual number of shares to be issued ranges from 0 shares (if the Company’s stock performance is in the bottom 25% of the peer group) to 150% of the awards granted (if the Company’s stock performance is in the top 25% of the peer group). The Company's stock-based compensation award vesting is subject to requirements relating to continued employment with the Company through the service or performance periods, and to special vesting provisions in case of a change of control, death, disability or retirement.</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We utilize the treasury stock method to calculate the impact on diluted earnings per share that potentially dilutive stock-based compensation awards have. The following table indicates the computation of basic and diluted earnings per share:</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280" w:type="dxa"/>
            <w:vAlign w:val="bottom"/>
            <w:gridSpan w:val="7"/>
          </w:tcPr>
          <w:p>
            <w:pPr>
              <w:ind w:left="80"/>
              <w:spacing w:after="0"/>
              <w:rPr>
                <w:sz w:val="20"/>
                <w:szCs w:val="20"/>
                <w:color w:val="auto"/>
              </w:rPr>
            </w:pPr>
            <w:r>
              <w:rPr>
                <w:rFonts w:ascii="Arial" w:cs="Arial" w:eastAsia="Arial" w:hAnsi="Arial"/>
                <w:sz w:val="18"/>
                <w:szCs w:val="18"/>
                <w:b w:val="1"/>
                <w:bCs w:val="1"/>
                <w:color w:val="auto"/>
                <w:w w:val="96"/>
              </w:rPr>
              <w:t>Three Months Ended June</w:t>
            </w:r>
          </w:p>
        </w:tc>
        <w:tc>
          <w:tcPr>
            <w:tcW w:w="220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34"/>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5"/>
              </w:rPr>
              <w:t>30,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6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860" w:type="dxa"/>
            <w:vAlign w:val="bottom"/>
            <w:vMerge w:val="restart"/>
          </w:tcPr>
          <w:p>
            <w:pPr>
              <w:spacing w:after="0"/>
              <w:rPr>
                <w:sz w:val="20"/>
                <w:szCs w:val="20"/>
                <w:color w:val="auto"/>
              </w:rPr>
            </w:pPr>
            <w:r>
              <w:rPr>
                <w:rFonts w:ascii="Arial" w:cs="Arial" w:eastAsia="Arial" w:hAnsi="Arial"/>
                <w:sz w:val="18"/>
                <w:szCs w:val="18"/>
                <w:color w:val="auto"/>
              </w:rPr>
              <w:t>Calculation of net income per share:</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29,247</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13,150</w:t>
            </w:r>
          </w:p>
        </w:tc>
        <w:tc>
          <w:tcPr>
            <w:tcW w:w="1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42,527</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27,060</w:t>
            </w:r>
          </w:p>
        </w:tc>
        <w:tc>
          <w:tcPr>
            <w:tcW w:w="0" w:type="dxa"/>
            <w:vAlign w:val="bottom"/>
          </w:tcPr>
          <w:p>
            <w:pPr>
              <w:spacing w:after="0"/>
              <w:rPr>
                <w:sz w:val="1"/>
                <w:szCs w:val="1"/>
                <w:color w:val="auto"/>
              </w:rPr>
            </w:pPr>
          </w:p>
        </w:tc>
      </w:tr>
      <w:tr>
        <w:trPr>
          <w:trHeight w:val="27"/>
        </w:trPr>
        <w:tc>
          <w:tcPr>
            <w:tcW w:w="5860" w:type="dxa"/>
            <w:vAlign w:val="bottom"/>
            <w:vMerge w:val="restart"/>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49,902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49,848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49,812</w:t>
            </w:r>
          </w:p>
        </w:tc>
        <w:tc>
          <w:tcPr>
            <w:tcW w:w="0" w:type="dxa"/>
            <w:vAlign w:val="bottom"/>
          </w:tcPr>
          <w:p>
            <w:pPr>
              <w:spacing w:after="0"/>
              <w:rPr>
                <w:sz w:val="1"/>
                <w:szCs w:val="1"/>
                <w:color w:val="auto"/>
              </w:rPr>
            </w:pPr>
          </w:p>
        </w:tc>
      </w:tr>
      <w:tr>
        <w:trPr>
          <w:trHeight w:val="27"/>
        </w:trPr>
        <w:tc>
          <w:tcPr>
            <w:tcW w:w="5860" w:type="dxa"/>
            <w:vAlign w:val="bottom"/>
            <w:vMerge w:val="restart"/>
          </w:tcPr>
          <w:p>
            <w:pPr>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0.59</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5860" w:type="dxa"/>
            <w:vAlign w:val="bottom"/>
            <w:vMerge w:val="restart"/>
          </w:tcPr>
          <w:p>
            <w:pPr>
              <w:spacing w:after="0"/>
              <w:rPr>
                <w:sz w:val="20"/>
                <w:szCs w:val="20"/>
                <w:color w:val="auto"/>
              </w:rPr>
            </w:pPr>
            <w:r>
              <w:rPr>
                <w:rFonts w:ascii="Arial" w:cs="Arial" w:eastAsia="Arial" w:hAnsi="Arial"/>
                <w:sz w:val="18"/>
                <w:szCs w:val="18"/>
                <w:color w:val="auto"/>
              </w:rPr>
              <w:t>Effect of stock-based compensation awards outstanding:</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8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49,902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49,848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49,878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49,812</w:t>
            </w:r>
          </w:p>
        </w:tc>
        <w:tc>
          <w:tcPr>
            <w:tcW w:w="0" w:type="dxa"/>
            <w:vAlign w:val="bottom"/>
          </w:tcPr>
          <w:p>
            <w:pPr>
              <w:spacing w:after="0"/>
              <w:rPr>
                <w:sz w:val="1"/>
                <w:szCs w:val="1"/>
                <w:color w:val="auto"/>
              </w:rPr>
            </w:pPr>
          </w:p>
        </w:tc>
      </w:tr>
      <w:tr>
        <w:trPr>
          <w:trHeight w:val="270"/>
        </w:trPr>
        <w:tc>
          <w:tcPr>
            <w:tcW w:w="5860" w:type="dxa"/>
            <w:vAlign w:val="bottom"/>
          </w:tcPr>
          <w:p>
            <w:pPr>
              <w:ind w:left="140"/>
              <w:spacing w:after="0"/>
              <w:rPr>
                <w:sz w:val="20"/>
                <w:szCs w:val="20"/>
                <w:color w:val="auto"/>
              </w:rPr>
            </w:pPr>
            <w:r>
              <w:rPr>
                <w:rFonts w:ascii="Arial" w:cs="Arial" w:eastAsia="Arial" w:hAnsi="Arial"/>
                <w:sz w:val="18"/>
                <w:szCs w:val="18"/>
                <w:color w:val="auto"/>
              </w:rPr>
              <w:t>Effect from dilutive shares and options outstanding</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5860" w:type="dxa"/>
            <w:vAlign w:val="bottom"/>
            <w:vMerge w:val="restart"/>
          </w:tcPr>
          <w:p>
            <w:pPr>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50,082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50,142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50,118</w:t>
            </w:r>
          </w:p>
        </w:tc>
        <w:tc>
          <w:tcPr>
            <w:tcW w:w="0" w:type="dxa"/>
            <w:vAlign w:val="bottom"/>
          </w:tcPr>
          <w:p>
            <w:pPr>
              <w:spacing w:after="0"/>
              <w:rPr>
                <w:sz w:val="1"/>
                <w:szCs w:val="1"/>
                <w:color w:val="auto"/>
              </w:rPr>
            </w:pPr>
          </w:p>
        </w:tc>
      </w:tr>
      <w:tr>
        <w:trPr>
          <w:trHeight w:val="27"/>
        </w:trPr>
        <w:tc>
          <w:tcPr>
            <w:tcW w:w="5860" w:type="dxa"/>
            <w:vAlign w:val="bottom"/>
            <w:vMerge w:val="restart"/>
          </w:tcPr>
          <w:p>
            <w:pPr>
              <w:spacing w:after="0"/>
              <w:rPr>
                <w:sz w:val="20"/>
                <w:szCs w:val="20"/>
                <w:color w:val="auto"/>
              </w:rPr>
            </w:pPr>
            <w:r>
              <w:rPr>
                <w:rFonts w:ascii="Arial" w:cs="Arial" w:eastAsia="Arial" w:hAnsi="Arial"/>
                <w:sz w:val="18"/>
                <w:szCs w:val="18"/>
                <w:color w:val="auto"/>
              </w:rPr>
              <w:t>Diluted net income per share</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6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0.58</w:t>
            </w: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There were fewer than 105,000 anti-dilutive awards outstanding during the three and six months ended 2020 and </w:t>
      </w:r>
      <w:r>
        <w:rPr>
          <w:rFonts w:ascii="Arial" w:cs="Arial" w:eastAsia="Arial" w:hAnsi="Arial"/>
          <w:sz w:val="18"/>
          <w:szCs w:val="18"/>
          <w:color w:val="000000"/>
        </w:rPr>
        <w:t>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committed to make payments to satisfy our lease liabilities and long-term debt. The scheduled payments under those obligations are summarized in the respective notes above. We are also committed to make annual payments of approximately $108.0 thousand on our FCC spectrum license obligation through 2039.</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claims and legal actions that may arise in the ordinary course of business. The Company does not believe that any of these pending claims or legal actions are either probable or reasonably possible of a material loss.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Note 13. Segment Reporting</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3360" w:type="dxa"/>
            <w:vAlign w:val="bottom"/>
          </w:tcPr>
          <w:p>
            <w:pPr>
              <w:spacing w:after="0"/>
              <w:rPr>
                <w:sz w:val="20"/>
                <w:szCs w:val="20"/>
                <w:color w:val="auto"/>
              </w:rPr>
            </w:pPr>
            <w:r>
              <w:rPr>
                <w:rFonts w:ascii="Arial" w:cs="Arial" w:eastAsia="Arial" w:hAnsi="Arial"/>
                <w:sz w:val="18"/>
                <w:szCs w:val="18"/>
                <w:b w:val="1"/>
                <w:bCs w:val="1"/>
                <w:color w:val="auto"/>
              </w:rPr>
              <w:t>Three Months Ended June 30, 2020:</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Wireless</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280"/>
              <w:spacing w:after="0"/>
              <w:rPr>
                <w:sz w:val="20"/>
                <w:szCs w:val="20"/>
                <w:color w:val="auto"/>
              </w:rPr>
            </w:pPr>
            <w:r>
              <w:rPr>
                <w:rFonts w:ascii="Arial" w:cs="Arial" w:eastAsia="Arial" w:hAnsi="Arial"/>
                <w:sz w:val="18"/>
                <w:szCs w:val="18"/>
                <w:color w:val="auto"/>
              </w:rPr>
              <w:t>Postpaid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73,269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73,269</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Prepaid</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12,432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Tower lease</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Cable, residential and SMB (1)</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35,829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35,829</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Fiber, enterprise and wholesale</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Rural local exchange carrier</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Travel, installation, and other</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24,438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26,096</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Service revenue and other</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110,139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47,752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159,720</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9,610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9,806</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external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119,749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47,948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169,526</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Revenue from other segments</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119,749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50,133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4,259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169,526</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33,237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20,640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(4,552)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50,640</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9,658</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9,783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9,260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31,394</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23,420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11,245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34,832</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75,877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41,366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7,251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126,524</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43,872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8,767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(11,866)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43,002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17145</wp:posOffset>
            </wp:positionV>
            <wp:extent cx="47745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74565" cy="2540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w:t>
      </w:r>
    </w:p>
    <w:p>
      <w:pPr>
        <w:spacing w:after="0" w:line="40" w:lineRule="exact"/>
        <w:rPr>
          <w:sz w:val="20"/>
          <w:szCs w:val="20"/>
          <w:color w:val="auto"/>
        </w:rPr>
      </w:pPr>
    </w:p>
    <w:p>
      <w:pPr>
        <w:ind w:left="700" w:hanging="368"/>
        <w:spacing w:after="0"/>
        <w:tabs>
          <w:tab w:leader="none" w:pos="700" w:val="left"/>
        </w:tabs>
        <w:numPr>
          <w:ilvl w:val="0"/>
          <w:numId w:val="5"/>
        </w:numPr>
        <w:rPr>
          <w:rFonts w:ascii="Arial" w:cs="Arial" w:eastAsia="Arial" w:hAnsi="Arial"/>
          <w:sz w:val="14"/>
          <w:szCs w:val="14"/>
          <w:color w:val="auto"/>
        </w:rPr>
      </w:pPr>
      <w:r>
        <w:rPr>
          <w:rFonts w:ascii="Arial" w:cs="Arial" w:eastAsia="Arial" w:hAnsi="Arial"/>
          <w:sz w:val="14"/>
          <w:szCs w:val="14"/>
          <w:color w:val="auto"/>
        </w:rPr>
        <w:t>SMB refers to Small and Medium Businesses.</w:t>
      </w:r>
    </w:p>
    <w:p>
      <w:pPr>
        <w:spacing w:after="0" w:line="23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80"/>
          </w:cols>
          <w:pgMar w:left="320" w:top="125" w:right="6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3360" w:type="dxa"/>
            <w:vAlign w:val="bottom"/>
          </w:tcPr>
          <w:p>
            <w:pPr>
              <w:spacing w:after="0"/>
              <w:rPr>
                <w:sz w:val="20"/>
                <w:szCs w:val="20"/>
                <w:color w:val="auto"/>
              </w:rPr>
            </w:pPr>
            <w:r>
              <w:rPr>
                <w:rFonts w:ascii="Arial" w:cs="Arial" w:eastAsia="Arial" w:hAnsi="Arial"/>
                <w:sz w:val="18"/>
                <w:szCs w:val="18"/>
                <w:b w:val="1"/>
                <w:bCs w:val="1"/>
                <w:color w:val="auto"/>
              </w:rPr>
              <w:t>Three Months Ended June 30, 2019:</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Wireless</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280"/>
              <w:spacing w:after="0"/>
              <w:rPr>
                <w:sz w:val="20"/>
                <w:szCs w:val="20"/>
                <w:color w:val="auto"/>
              </w:rPr>
            </w:pPr>
            <w:r>
              <w:rPr>
                <w:rFonts w:ascii="Arial" w:cs="Arial" w:eastAsia="Arial" w:hAnsi="Arial"/>
                <w:sz w:val="18"/>
                <w:szCs w:val="18"/>
                <w:color w:val="auto"/>
              </w:rPr>
              <w:t>Postpaid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75,997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75,997</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Prepaid</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13,603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13,603</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Tower lease</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Cable, residential and SMB</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33,581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33,581</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Fiber, enterprise and wholesale</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4,921</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Rural local exchange carrier</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5,581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5,581</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Travel, installation, and other</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1,654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6,625</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Service revenue and other</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94,571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45,737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142,059</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16,548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16,855</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external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111,119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46,044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158,914</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Revenue from other segments</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111,119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48,551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(3,777)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158,914</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32,668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19,014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49,497</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15,742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15,874</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10,318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7,524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9,054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27,170</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31,463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42,353</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90,191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36,671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6,107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134,894</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20,928</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11,880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(9,884)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24,020</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320" w:top="125"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0880"/>
          </w:cols>
          <w:pgMar w:left="320" w:top="125" w:right="69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Six Months Ended June 30, 2020:</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Wireless</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280"/>
              <w:spacing w:after="0"/>
              <w:rPr>
                <w:sz w:val="20"/>
                <w:szCs w:val="20"/>
                <w:color w:val="auto"/>
              </w:rPr>
            </w:pPr>
            <w:r>
              <w:rPr>
                <w:rFonts w:ascii="Arial" w:cs="Arial" w:eastAsia="Arial" w:hAnsi="Arial"/>
                <w:sz w:val="18"/>
                <w:szCs w:val="18"/>
                <w:color w:val="auto"/>
              </w:rPr>
              <w:t>Postpaid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148,197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148,197</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Prepaid</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25,541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25,541</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Tower lease</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Cable, residential and SMB</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70,772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70,772</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Fiber, enterprise and wholesale</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11,151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11,151</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Rural local exchange carrier</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9,358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9,358</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Travel, installation, and other</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27,789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3,474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31,263</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Service revenue and other</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201,527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94,755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299,908</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22,360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22,806</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external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223,887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95,201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322,714</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Revenue from other segments</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223,887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99,919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7,989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322,714</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66,676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39,883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(8,608)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100,205</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21,965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22,329</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19,211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18,759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23,651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62,385</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48,719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22,116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71,743</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156,571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81,122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256,662</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67,316</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18,797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(24,085)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66,052</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125" w:right="6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b w:val="1"/>
                <w:bCs w:val="1"/>
                <w:color w:val="auto"/>
              </w:rPr>
              <w:t>Six Months Ended June 30, 2019:</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8"/>
                <w:szCs w:val="18"/>
                <w:b w:val="1"/>
                <w:bCs w:val="1"/>
                <w:color w:val="auto"/>
              </w:rPr>
              <w:t>Wireless</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Broadband</w:t>
            </w:r>
          </w:p>
        </w:tc>
        <w:tc>
          <w:tcPr>
            <w:tcW w:w="30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Tower</w:t>
            </w:r>
          </w:p>
        </w:tc>
        <w:tc>
          <w:tcPr>
            <w:tcW w:w="18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External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280"/>
              <w:spacing w:after="0"/>
              <w:rPr>
                <w:sz w:val="20"/>
                <w:szCs w:val="20"/>
                <w:color w:val="auto"/>
              </w:rPr>
            </w:pPr>
            <w:r>
              <w:rPr>
                <w:rFonts w:ascii="Arial" w:cs="Arial" w:eastAsia="Arial" w:hAnsi="Arial"/>
                <w:sz w:val="18"/>
                <w:szCs w:val="18"/>
                <w:color w:val="auto"/>
              </w:rPr>
              <w:t>Postpaid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152,179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152,179</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Prepaid</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26,733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Tower lease</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3,514</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Cable, residential and SMB</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66,007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66,007</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Fiber, enterprise and wholesale</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9,749</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Rural local exchange carrier</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10,819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10,819</w:t>
            </w:r>
          </w:p>
        </w:tc>
        <w:tc>
          <w:tcPr>
            <w:tcW w:w="0" w:type="dxa"/>
            <w:vAlign w:val="bottom"/>
          </w:tcPr>
          <w:p>
            <w:pPr>
              <w:spacing w:after="0"/>
              <w:rPr>
                <w:sz w:val="1"/>
                <w:szCs w:val="1"/>
                <w:color w:val="auto"/>
              </w:rPr>
            </w:pPr>
          </w:p>
        </w:tc>
      </w:tr>
      <w:tr>
        <w:trPr>
          <w:trHeight w:val="270"/>
        </w:trPr>
        <w:tc>
          <w:tcPr>
            <w:tcW w:w="3360" w:type="dxa"/>
            <w:vAlign w:val="bottom"/>
          </w:tcPr>
          <w:p>
            <w:pPr>
              <w:ind w:left="280"/>
              <w:spacing w:after="0"/>
              <w:rPr>
                <w:sz w:val="20"/>
                <w:szCs w:val="20"/>
                <w:color w:val="auto"/>
              </w:rPr>
            </w:pPr>
            <w:r>
              <w:rPr>
                <w:rFonts w:ascii="Arial" w:cs="Arial" w:eastAsia="Arial" w:hAnsi="Arial"/>
                <w:sz w:val="18"/>
                <w:szCs w:val="18"/>
                <w:color w:val="auto"/>
              </w:rPr>
              <w:t>Travel, installation, and other</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12,989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16,289</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180"/>
              <w:spacing w:after="0"/>
              <w:rPr>
                <w:sz w:val="20"/>
                <w:szCs w:val="20"/>
                <w:color w:val="auto"/>
              </w:rPr>
            </w:pPr>
            <w:r>
              <w:rPr>
                <w:rFonts w:ascii="Arial" w:cs="Arial" w:eastAsia="Arial" w:hAnsi="Arial"/>
                <w:sz w:val="18"/>
                <w:szCs w:val="18"/>
                <w:color w:val="auto"/>
              </w:rPr>
              <w:t>Service revenue and other</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191,901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89,875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285,290</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31,839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32,467</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external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223,740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90,503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317,757</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Revenue from other segments</w:t>
            </w:r>
          </w:p>
        </w:tc>
        <w:tc>
          <w:tcPr>
            <w:tcW w:w="26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223,740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95,432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317,757</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36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6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65,200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38,075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99,015</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30,169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30,511</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21,397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15,093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18,845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55,892</w:t>
            </w:r>
          </w:p>
        </w:tc>
        <w:tc>
          <w:tcPr>
            <w:tcW w:w="0" w:type="dxa"/>
            <w:vAlign w:val="bottom"/>
          </w:tcPr>
          <w:p>
            <w:pPr>
              <w:spacing w:after="0"/>
              <w:rPr>
                <w:sz w:val="1"/>
                <w:szCs w:val="1"/>
                <w:color w:val="auto"/>
              </w:rPr>
            </w:pPr>
          </w:p>
        </w:tc>
      </w:tr>
      <w:tr>
        <w:trPr>
          <w:trHeight w:val="270"/>
        </w:trPr>
        <w:tc>
          <w:tcPr>
            <w:tcW w:w="3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61,833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19,993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83,532</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178,599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73,503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13,014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268,950</w:t>
            </w:r>
          </w:p>
        </w:tc>
        <w:tc>
          <w:tcPr>
            <w:tcW w:w="0" w:type="dxa"/>
            <w:vAlign w:val="bottom"/>
          </w:tcPr>
          <w:p>
            <w:pPr>
              <w:spacing w:after="0"/>
              <w:rPr>
                <w:sz w:val="1"/>
                <w:szCs w:val="1"/>
                <w:color w:val="auto"/>
              </w:rPr>
            </w:pPr>
          </w:p>
        </w:tc>
      </w:tr>
      <w:tr>
        <w:trPr>
          <w:trHeight w:val="27"/>
        </w:trPr>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Operating income (loss)</w:t>
            </w: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6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45,141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21,929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(20,483)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48,807</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total of the reportable segments’ operating income to consolidated income before taxes is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2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Arial" w:cs="Arial" w:eastAsia="Arial" w:hAnsi="Arial"/>
                <w:sz w:val="18"/>
                <w:szCs w:val="18"/>
                <w:color w:val="auto"/>
              </w:rPr>
              <w:t>Total consolidated operating income</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43,002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24,020</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66,052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48,807</w:t>
            </w:r>
          </w:p>
        </w:tc>
        <w:tc>
          <w:tcPr>
            <w:tcW w:w="0" w:type="dxa"/>
            <w:vAlign w:val="bottom"/>
          </w:tcPr>
          <w:p>
            <w:pPr>
              <w:spacing w:after="0"/>
              <w:rPr>
                <w:sz w:val="1"/>
                <w:szCs w:val="1"/>
                <w:color w:val="auto"/>
              </w:rPr>
            </w:pPr>
          </w:p>
        </w:tc>
      </w:tr>
      <w:tr>
        <w:trPr>
          <w:trHeight w:val="270"/>
        </w:trPr>
        <w:tc>
          <w:tcPr>
            <w:tcW w:w="592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(15,476)</w:t>
            </w:r>
          </w:p>
        </w:tc>
        <w:tc>
          <w:tcPr>
            <w:tcW w:w="0" w:type="dxa"/>
            <w:vAlign w:val="bottom"/>
          </w:tcPr>
          <w:p>
            <w:pPr>
              <w:spacing w:after="0"/>
              <w:rPr>
                <w:sz w:val="1"/>
                <w:szCs w:val="1"/>
                <w:color w:val="auto"/>
              </w:rPr>
            </w:pPr>
          </w:p>
        </w:tc>
      </w:tr>
      <w:tr>
        <w:trPr>
          <w:trHeight w:val="270"/>
        </w:trPr>
        <w:tc>
          <w:tcPr>
            <w:tcW w:w="592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1,573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7"/>
        </w:trPr>
        <w:tc>
          <w:tcPr>
            <w:tcW w:w="592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vMerge w:val="continue"/>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39,531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17,674</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57,103</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35,794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i w:val="1"/>
          <w:iCs w:val="1"/>
          <w:color w:val="auto"/>
        </w:rPr>
        <w:t>This management’s discussion and analysis includes “forward-looking statements” within the meaning of Section 27A of the Securities Act of 1933 and Section 21E of the Securities Exchange Act of 1934. When used in this report, the words “anticipate,” “believe,” “estimate,” “expect,” “intend,” “plan” and similar expressions as they relate to Shenandoah Telecommunications Company or its management are intended to identify these forward-looking statements. All statements regarding Shenandoah Telecommunications Company’s expected future financial position and operating results, business strategy, financing plans, forecasted trends relating to the markets in which Shenandoah Telecommunications Company operates and similar matters, including information concerning our response to COVID-19, are forward-looking statements. We cannot assure you that the Company’s expectations expressed or implied in these forward-looking statements will turn out to be correct. The Company’s actual results could be materially different from its expectations because of various factors, that may include natural disasters, pandemics and outbreaks of contagious diseases and other adverse public health developments, such as COVID-19, natural disasters, changes in general economic conditions, increases in costs, changes in regulation and other competitive factors. Updates to the Risk Factors described in “Item 1A-Risk Factors” as provided in our Annual Report on Form 10-K for the year ended December 31, 2019, may be found below in Part II, under the heading “Item 1A-Risk Factors.</w:t>
      </w:r>
    </w:p>
    <w:p>
      <w:pPr>
        <w:spacing w:after="0" w:line="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the Company’s Annual Report on Form 10-K for its fiscal year ended December 31, 2019, including the consolidated financial statements and related notes included therein.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Shenandoah Telecommunications Company (“Shentel”, “we”, “our”, “us”, or the “Company”), is a provider of a comprehensive range of wireless, broadband and tower communications products and services in the Mid-Atlantic portion of the United States. Management’s Discussion and Analysis is organized around our reporting segments. Refer to Note 13, Segment Reporting, in our unaudited condensed consolidated financial statements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Developments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Sprint Matters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Travel Dispute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 xml:space="preserve">Our travel revenue dispute with Sprint was resolved through binding arbitration during June 2020. The arbitrators’ ruling reset the fee of </w:t>
      </w:r>
      <w:r>
        <w:rPr>
          <w:rFonts w:ascii="Arial" w:cs="Arial" w:eastAsia="Arial" w:hAnsi="Arial"/>
          <w:sz w:val="18"/>
          <w:szCs w:val="18"/>
          <w:color w:val="000000"/>
        </w:rPr>
        <w:t>$1.5 million</w:t>
      </w:r>
      <w:r>
        <w:rPr>
          <w:rFonts w:ascii="Arial" w:cs="Arial" w:eastAsia="Arial" w:hAnsi="Arial"/>
          <w:sz w:val="18"/>
          <w:szCs w:val="18"/>
          <w:color w:val="212529"/>
        </w:rPr>
        <w:t xml:space="preserve"> per month through December 31, 2021. As a result, we recognized </w:t>
      </w:r>
      <w:r>
        <w:rPr>
          <w:rFonts w:ascii="Arial" w:cs="Arial" w:eastAsia="Arial" w:hAnsi="Arial"/>
          <w:sz w:val="18"/>
          <w:szCs w:val="18"/>
          <w:color w:val="000000"/>
        </w:rPr>
        <w:t>$21.0 million</w:t>
      </w:r>
      <w:r>
        <w:rPr>
          <w:rFonts w:ascii="Arial" w:cs="Arial" w:eastAsia="Arial" w:hAnsi="Arial"/>
          <w:sz w:val="18"/>
          <w:szCs w:val="18"/>
          <w:color w:val="212529"/>
        </w:rPr>
        <w:t xml:space="preserve"> of travel revenue during the second quarter 2020 for service that we have provided since May 1, 2019. We recognized and collected </w:t>
      </w:r>
      <w:r>
        <w:rPr>
          <w:rFonts w:ascii="Arial" w:cs="Arial" w:eastAsia="Arial" w:hAnsi="Arial"/>
          <w:sz w:val="18"/>
          <w:szCs w:val="18"/>
          <w:color w:val="000000"/>
        </w:rPr>
        <w:t>$6.0 million</w:t>
      </w:r>
      <w:r>
        <w:rPr>
          <w:rFonts w:ascii="Arial" w:cs="Arial" w:eastAsia="Arial" w:hAnsi="Arial"/>
          <w:sz w:val="18"/>
          <w:szCs w:val="18"/>
          <w:color w:val="212529"/>
        </w:rPr>
        <w:t xml:space="preserve"> in travel revenue in 2019 prior to Sprint ceasing payments in May 2019. Sprint paid the $21.0 million in July 2020.</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i w:val="1"/>
          <w:iCs w:val="1"/>
          <w:color w:val="212529"/>
        </w:rPr>
        <w:t>T-Mobile business combination with Sprint Developments</w:t>
      </w:r>
    </w:p>
    <w:p>
      <w:pPr>
        <w:spacing w:after="0" w:line="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12529"/>
        </w:rPr>
        <w:t>On April 1, 2020, T-Mobile US, Inc. (“T-Mobile”) announced the completion of its business combination with Sprint Corporation (“Sprint”) and subsequently delivered to the Company a notice of Network Technology Conversion, Brand Conversion and Combination Conversion (a “Conversion Notice”) pursuant to the terms of the Company’s affiliate agreement with Sprint. As described in more detail in the Company’s 2019 Annual Report on Form 10-K, our Wireless segment has been an affiliate of Sprint since 1999.</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12529"/>
        </w:rPr>
        <w:t>The affiliate agreement provided for a 90-day period following receipt of the Conversion Notice for the parties to negotiate mutually agreeable terms and conditions under which the Company would continue as an affiliate of T-Mobile, which expired on June 30, 2020. T-Mobile and the Company have not negotiated a mutually acceptable agreement. As such, T-Mobile has until August 31, 2020 to exercise an option to purchase the assets of our Wireless operations for 90% of the “Entire Business Value” (as defined under our affiliate agreement and determined pursuant to the appraisal process under the affiliate agreement). If T-Mobile does not exercise its purchase option, the Company would then have a 60-day period to exercise an option to purchase the legacy T-Mobile network and subscribers in our service area. If the Company does not exercise its purchase option, T-Mobile must sell or decommission its legacy network and customers in our service area. T-Mobile has not exercised its purchase option to date.</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12529"/>
        </w:rPr>
        <w:t>We continue to operate as an affiliate of Sprint Corporation, which is a wholly-owned indirect subsidiary of T-Mobile. Recent operating developments affecting our wireless segment since the close of their merger include the following: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left="660" w:hanging="328"/>
        <w:spacing w:after="0" w:line="26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212529"/>
        </w:rPr>
        <w:t>Our Sprint affiliate agreement required T-Mobile to comply with certain restrictive operating requirements during the 90 day period following their Conversion Notice which ended on June 30, 2020. T-Mobile publicly announced on July 22, 2020 its intention to begin integration of the brands, rate plans, sales and network on August 2, 2020. Although the impact to Sprint customers in our affiliate area is uncertain at this point in time, the integration plans are likely to adversely affect our Wireless segment operating and financial results in future periods.</w:t>
      </w:r>
    </w:p>
    <w:p>
      <w:pPr>
        <w:spacing w:after="0" w:line="1" w:lineRule="exact"/>
        <w:rPr>
          <w:rFonts w:ascii="Arial" w:cs="Arial" w:eastAsia="Arial" w:hAnsi="Arial"/>
          <w:sz w:val="17"/>
          <w:szCs w:val="17"/>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second quarter 2020, Sprint adopted the T-Mobile credit and collection policies for Sprint branded customers including those in the Shentel service area. Approximately 4,400 involuntary (non-payment) postpaid disconnects were accelerated into our second quarter subscriber results. Excluding this policy change, postpaid net additions for the quarter would have been 3,021.</w:t>
      </w:r>
    </w:p>
    <w:p>
      <w:pPr>
        <w:spacing w:after="0" w:line="1"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When the T-Mobile merger with Sprint was announced, we put in place retention bonuses for certain employees with roles supporting our wireless segment. Payment of these bonuses is subject to various conditions being met, including the successful closing of the merger between Sprint and T-Mobile. On April 1, 2020, T-Mobile closed its acquisition of Sprint, and at that time, our payment of retention bonuses under this pre-existing plan became probable because these amounts will be paid if we either re-affiliate with T-Mobile or sell our wireless segment to T-Mobile. We recognized $1.2 million in expense during the second quarter of 2020 as a result, which was presented within the cost of service and selling, general, and administrative expense captions. Of the amount recognized, $0.4 million was related to Wireless, $0.2 million was related to Broadband, and $0.6 million was related to Corporate. We expect to incur $1.2 million in additional retention expense through the end of the vesting period, which we estimate to be in the fourth quarter 2021.</w:t>
      </w:r>
    </w:p>
    <w:p>
      <w:pPr>
        <w:spacing w:after="0" w:line="3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COVID-19 Update</w:t>
      </w:r>
      <w:r>
        <w:rPr>
          <w:rFonts w:ascii="Arial" w:cs="Arial" w:eastAsia="Arial" w:hAnsi="Arial"/>
          <w:sz w:val="17"/>
          <w:szCs w:val="17"/>
          <w:color w:val="auto"/>
        </w:rPr>
        <w: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u w:val="single" w:color="auto"/>
          <w:color w:val="212529"/>
        </w:rPr>
        <w:t>Broadband</w:t>
      </w:r>
    </w:p>
    <w:p>
      <w:pPr>
        <w:spacing w:after="0" w:line="7" w:lineRule="exact"/>
        <w:rPr>
          <w:sz w:val="20"/>
          <w:szCs w:val="20"/>
          <w:color w:val="auto"/>
        </w:rPr>
      </w:pPr>
    </w:p>
    <w:p>
      <w:pPr>
        <w:ind w:left="660" w:right="2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212529"/>
        </w:rPr>
        <w:t>The stay-at-home directives by our governments spurred strong demand for broadband services during the second quarter 2020 resulting in record data net additions of 6,000 and the first quarter of positive video net additions since 2014.</w:t>
      </w:r>
    </w:p>
    <w:p>
      <w:pPr>
        <w:spacing w:after="0" w:line="18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Approximately 700 COVID-19 related non-payment service disconnections were deferred during the quarter ending June 30, 2020. We resumed normal collection practices on July 1, 2020 and expect this will have minimal impact on bad debt expense in future periods.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212529"/>
        </w:rPr>
        <w:t>Wireless</w:t>
      </w:r>
    </w:p>
    <w:p>
      <w:pPr>
        <w:spacing w:after="0" w:line="23" w:lineRule="exact"/>
        <w:rPr>
          <w:sz w:val="20"/>
          <w:szCs w:val="20"/>
          <w:color w:val="auto"/>
        </w:rPr>
      </w:pPr>
    </w:p>
    <w:p>
      <w:pPr>
        <w:jc w:val="both"/>
        <w:ind w:left="660" w:hanging="328"/>
        <w:spacing w:after="0" w:line="253"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212529"/>
        </w:rPr>
        <w:t>Our markets continued to be affected by the stay-at-home directives and the phased re-opening of local economies. We re-opened all the Sprint branded retail stores by the end of June that were temporarily closed in mid-March. Wireless p</w:t>
      </w:r>
      <w:r>
        <w:rPr>
          <w:rFonts w:ascii="Arial" w:cs="Arial" w:eastAsia="Arial" w:hAnsi="Arial"/>
          <w:sz w:val="18"/>
          <w:szCs w:val="18"/>
          <w:color w:val="000000"/>
        </w:rPr>
        <w:t>ostpaid gross additions and voluntary churn</w:t>
      </w:r>
      <w:r>
        <w:rPr>
          <w:rFonts w:ascii="Arial" w:cs="Arial" w:eastAsia="Arial" w:hAnsi="Arial"/>
          <w:sz w:val="18"/>
          <w:szCs w:val="18"/>
          <w:color w:val="212529"/>
        </w:rPr>
        <w:t xml:space="preserve"> </w:t>
      </w:r>
      <w:r>
        <w:rPr>
          <w:rFonts w:ascii="Arial" w:cs="Arial" w:eastAsia="Arial" w:hAnsi="Arial"/>
          <w:sz w:val="18"/>
          <w:szCs w:val="18"/>
          <w:color w:val="000000"/>
        </w:rPr>
        <w:t>declined year over year approximately 28% and 23%, respectively, for the three months ended June 30, 2020 due to the store closures and lower store traffic from the stay-at-home directives.</w:t>
      </w:r>
    </w:p>
    <w:p>
      <w:pPr>
        <w:spacing w:after="0" w:line="192" w:lineRule="exact"/>
        <w:rPr>
          <w:rFonts w:ascii="Arial" w:cs="Arial" w:eastAsia="Arial" w:hAnsi="Arial"/>
          <w:sz w:val="18"/>
          <w:szCs w:val="18"/>
          <w:color w:val="auto"/>
        </w:rPr>
      </w:pPr>
    </w:p>
    <w:p>
      <w:pPr>
        <w:jc w:val="both"/>
        <w:ind w:left="660" w:right="2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a Sprint affiliate, our wireless segment participated in the Keep Americans Connected pledge and deferred an estimated 2,300 COVID-19 related non-payment service disconnections during the quarter ended June 30, 2020. While the majority of these subscribers have agreed to payment plans with Sprint, we recognized contra-revenue of $1.2 million during the second quarter of 2020, which effectively represents the pass-through of Sprint’s bad debt expense for these customers. Sprint resumed normal collection practices on July 1, 2020.</w:t>
      </w:r>
    </w:p>
    <w:p>
      <w:pPr>
        <w:spacing w:after="0" w:line="17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second quarter of 2020, Sprint issued $1.4 million of credits to prepaid customers in our service territory to alleviate the impacts of COVID-19 and keep these customers connected. Issuance of these credits ceased on June 1, 2020.</w:t>
      </w:r>
    </w:p>
    <w:p>
      <w:pPr>
        <w:spacing w:after="0" w:line="170"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Expense for payroll paid to idled employees and as a premium for certain employees interfacing with the general public, totaled $1.1 million for the three months ended June 30, 2020 and was presented within the cost of service and selling, general, and administrative expense captions.</w:t>
      </w:r>
    </w:p>
    <w:p>
      <w:pPr>
        <w:spacing w:after="0" w:line="123"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 the stay-at-home directives continuing through the second quarter, we also reduced our wireless advertising spend for the three month period ended June 30, 2020 by $2.8 million from the comparable prior year period.</w:t>
      </w:r>
    </w:p>
    <w:p>
      <w:pPr>
        <w:spacing w:after="0" w:line="170"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do not expect COVID-19 to affect our long-term growth prospects. However, the impact of the pandemic is expected to temporarily disrupt our Wireless sales momentum, until the economies in the markets that we serve more fully re-open. As we do our part to stop COVID-19 from spreading, we will continue to evaluate the impact of COVID-19 on our business and operations, including the effect of related state, local and federal government guidelines. The virus and related macroeconomic factors may impact the demand for our products and services, the ways in which our customers use our products and services and our suppliers’ and vendors’ ability to provide products and services to us. Some of these factors could increase the demand for our products and services, while others could decrease demand or make it more difficult for us to serve our customers. Due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to the uncertainty surrounding the magnitude and duration of COVID-19, we are unable at this time to predict the future impact of COVID-19 on our financial condition, results of operations or cash flow.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with the Three Months Ended June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4"/>
              </w:rPr>
              <w:t>Three Months Ended June 30,</w:t>
            </w:r>
          </w:p>
        </w:tc>
        <w:tc>
          <w:tcPr>
            <w:tcW w:w="120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 of Revenue</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4"/>
              </w:rPr>
              <w:t>% of Revenue</w:t>
            </w:r>
          </w:p>
        </w:tc>
      </w:tr>
      <w:tr>
        <w:trPr>
          <w:trHeight w:val="27"/>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1"/>
        </w:trPr>
        <w:tc>
          <w:tcPr>
            <w:tcW w:w="3460" w:type="dxa"/>
            <w:vAlign w:val="bottom"/>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169,526</w:t>
            </w:r>
          </w:p>
        </w:tc>
        <w:tc>
          <w:tcPr>
            <w:tcW w:w="1220" w:type="dxa"/>
            <w:vAlign w:val="bottom"/>
          </w:tcPr>
          <w:p>
            <w:pPr>
              <w:jc w:val="right"/>
              <w:ind w:right="44"/>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158,914</w:t>
            </w:r>
          </w:p>
        </w:tc>
        <w:tc>
          <w:tcPr>
            <w:tcW w:w="1200" w:type="dxa"/>
            <w:vAlign w:val="bottom"/>
          </w:tcPr>
          <w:p>
            <w:pPr>
              <w:jc w:val="right"/>
              <w:ind w:right="26"/>
              <w:spacing w:after="0"/>
              <w:rPr>
                <w:sz w:val="20"/>
                <w:szCs w:val="20"/>
                <w:color w:val="auto"/>
              </w:rPr>
            </w:pPr>
            <w:r>
              <w:rPr>
                <w:rFonts w:ascii="Arial" w:cs="Arial" w:eastAsia="Arial" w:hAnsi="Arial"/>
                <w:sz w:val="14"/>
                <w:szCs w:val="14"/>
                <w:color w:val="auto"/>
              </w:rPr>
              <w:t>100.0</w:t>
            </w:r>
          </w:p>
        </w:tc>
      </w:tr>
      <w:tr>
        <w:trPr>
          <w:trHeight w:val="276"/>
        </w:trPr>
        <w:tc>
          <w:tcPr>
            <w:tcW w:w="346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126,524</w:t>
            </w:r>
          </w:p>
        </w:tc>
        <w:tc>
          <w:tcPr>
            <w:tcW w:w="12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74.6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134,894</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84.9</w:t>
            </w:r>
          </w:p>
        </w:tc>
      </w:tr>
      <w:tr>
        <w:trPr>
          <w:trHeight w:val="258"/>
        </w:trPr>
        <w:tc>
          <w:tcPr>
            <w:tcW w:w="346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43,002</w:t>
            </w:r>
          </w:p>
        </w:tc>
        <w:tc>
          <w:tcPr>
            <w:tcW w:w="1220" w:type="dxa"/>
            <w:vAlign w:val="bottom"/>
          </w:tcPr>
          <w:p>
            <w:pPr>
              <w:jc w:val="right"/>
              <w:ind w:right="44"/>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24,020</w:t>
            </w:r>
          </w:p>
        </w:tc>
        <w:tc>
          <w:tcPr>
            <w:tcW w:w="1200" w:type="dxa"/>
            <w:vAlign w:val="bottom"/>
          </w:tcPr>
          <w:p>
            <w:pPr>
              <w:jc w:val="right"/>
              <w:ind w:right="26"/>
              <w:spacing w:after="0"/>
              <w:rPr>
                <w:sz w:val="20"/>
                <w:szCs w:val="20"/>
                <w:color w:val="auto"/>
              </w:rPr>
            </w:pPr>
            <w:r>
              <w:rPr>
                <w:rFonts w:ascii="Arial" w:cs="Arial" w:eastAsia="Arial" w:hAnsi="Arial"/>
                <w:sz w:val="14"/>
                <w:szCs w:val="14"/>
                <w:color w:val="auto"/>
              </w:rPr>
              <w:t>15.1</w:t>
            </w:r>
          </w:p>
        </w:tc>
      </w:tr>
      <w:tr>
        <w:trPr>
          <w:trHeight w:val="594"/>
        </w:trPr>
        <w:tc>
          <w:tcPr>
            <w:tcW w:w="34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(5,044)</w:t>
            </w:r>
          </w:p>
        </w:tc>
        <w:tc>
          <w:tcPr>
            <w:tcW w:w="12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(7,522)</w:t>
            </w:r>
          </w:p>
        </w:tc>
        <w:tc>
          <w:tcPr>
            <w:tcW w:w="12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276"/>
        </w:trPr>
        <w:tc>
          <w:tcPr>
            <w:tcW w:w="346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1,573</w:t>
            </w:r>
          </w:p>
        </w:tc>
        <w:tc>
          <w:tcPr>
            <w:tcW w:w="12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1,176</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0.7</w:t>
            </w:r>
          </w:p>
        </w:tc>
      </w:tr>
      <w:tr>
        <w:trPr>
          <w:trHeight w:val="258"/>
        </w:trPr>
        <w:tc>
          <w:tcPr>
            <w:tcW w:w="3460" w:type="dxa"/>
            <w:vAlign w:val="bottom"/>
          </w:tcPr>
          <w:p>
            <w:pPr>
              <w:spacing w:after="0"/>
              <w:rPr>
                <w:sz w:val="20"/>
                <w:szCs w:val="20"/>
                <w:color w:val="auto"/>
              </w:rPr>
            </w:pPr>
            <w:r>
              <w:rPr>
                <w:rFonts w:ascii="Arial" w:cs="Arial" w:eastAsia="Arial" w:hAnsi="Arial"/>
                <w:sz w:val="18"/>
                <w:szCs w:val="18"/>
                <w:color w:val="auto"/>
              </w:rPr>
              <w:t>Income before taxes</w:t>
            </w:r>
          </w:p>
        </w:tc>
        <w:tc>
          <w:tcPr>
            <w:tcW w:w="28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39,531</w:t>
            </w:r>
          </w:p>
        </w:tc>
        <w:tc>
          <w:tcPr>
            <w:tcW w:w="1220" w:type="dxa"/>
            <w:vAlign w:val="bottom"/>
          </w:tcPr>
          <w:p>
            <w:pPr>
              <w:jc w:val="right"/>
              <w:ind w:right="44"/>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17,674</w:t>
            </w:r>
          </w:p>
        </w:tc>
        <w:tc>
          <w:tcPr>
            <w:tcW w:w="1200" w:type="dxa"/>
            <w:vAlign w:val="bottom"/>
          </w:tcPr>
          <w:p>
            <w:pPr>
              <w:jc w:val="right"/>
              <w:ind w:right="26"/>
              <w:spacing w:after="0"/>
              <w:rPr>
                <w:sz w:val="20"/>
                <w:szCs w:val="20"/>
                <w:color w:val="auto"/>
              </w:rPr>
            </w:pPr>
            <w:r>
              <w:rPr>
                <w:rFonts w:ascii="Arial" w:cs="Arial" w:eastAsia="Arial" w:hAnsi="Arial"/>
                <w:sz w:val="14"/>
                <w:szCs w:val="14"/>
                <w:color w:val="auto"/>
              </w:rPr>
              <w:t>11.1</w:t>
            </w:r>
          </w:p>
        </w:tc>
      </w:tr>
      <w:tr>
        <w:trPr>
          <w:trHeight w:val="276"/>
        </w:trPr>
        <w:tc>
          <w:tcPr>
            <w:tcW w:w="346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10,284</w:t>
            </w:r>
          </w:p>
        </w:tc>
        <w:tc>
          <w:tcPr>
            <w:tcW w:w="12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4,524</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2.8</w:t>
            </w:r>
          </w:p>
        </w:tc>
      </w:tr>
      <w:tr>
        <w:trPr>
          <w:trHeight w:val="263"/>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29,247</w:t>
            </w:r>
          </w:p>
        </w:tc>
        <w:tc>
          <w:tcPr>
            <w:tcW w:w="12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13,150</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8.3</w:t>
            </w: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58"/>
        <w:spacing w:after="0"/>
        <w:rPr>
          <w:sz w:val="20"/>
          <w:szCs w:val="20"/>
          <w:color w:val="auto"/>
        </w:rPr>
      </w:pPr>
      <w:r>
        <w:rPr>
          <w:rFonts w:ascii="Arial" w:cs="Arial" w:eastAsia="Arial" w:hAnsi="Arial"/>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34290</wp:posOffset>
            </wp:positionV>
            <wp:extent cx="16116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57" w:lineRule="exact"/>
        <w:rPr>
          <w:sz w:val="20"/>
          <w:szCs w:val="20"/>
          <w:color w:val="auto"/>
        </w:rPr>
      </w:pPr>
    </w:p>
    <w:p>
      <w:pPr>
        <w:ind w:left="1282" w:hanging="1282"/>
        <w:spacing w:after="0"/>
        <w:tabs>
          <w:tab w:leader="none" w:pos="128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34290</wp:posOffset>
            </wp:positionV>
            <wp:extent cx="16116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79" w:lineRule="exact"/>
        <w:rPr>
          <w:sz w:val="20"/>
          <w:szCs w:val="20"/>
          <w:color w:val="auto"/>
        </w:rPr>
      </w:pPr>
    </w:p>
    <w:tbl>
      <w:tblPr>
        <w:tblLayout w:type="fixed"/>
        <w:tblInd w:w="102" w:type="dxa"/>
        <w:tblCellMar>
          <w:top w:w="0" w:type="dxa"/>
          <w:left w:w="0" w:type="dxa"/>
          <w:bottom w:w="0" w:type="dxa"/>
          <w:right w:w="0" w:type="dxa"/>
        </w:tblCellMar>
      </w:tblPr>
      <w:tr>
        <w:trPr>
          <w:trHeight w:val="206"/>
        </w:trPr>
        <w:tc>
          <w:tcPr>
            <w:tcW w:w="940" w:type="dxa"/>
            <w:vAlign w:val="bottom"/>
          </w:tcPr>
          <w:p>
            <w:pPr>
              <w:jc w:val="right"/>
              <w:ind w:right="419"/>
              <w:spacing w:after="0"/>
              <w:rPr>
                <w:sz w:val="20"/>
                <w:szCs w:val="20"/>
                <w:color w:val="auto"/>
              </w:rPr>
            </w:pPr>
            <w:r>
              <w:rPr>
                <w:rFonts w:ascii="Arial" w:cs="Arial" w:eastAsia="Arial" w:hAnsi="Arial"/>
                <w:sz w:val="16"/>
                <w:szCs w:val="16"/>
                <w:color w:val="auto"/>
                <w:w w:val="85"/>
              </w:rPr>
              <w:t>10,612</w:t>
            </w:r>
          </w:p>
        </w:tc>
        <w:tc>
          <w:tcPr>
            <w:tcW w:w="8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70"/>
        </w:trPr>
        <w:tc>
          <w:tcPr>
            <w:tcW w:w="940" w:type="dxa"/>
            <w:vAlign w:val="bottom"/>
          </w:tcPr>
          <w:p>
            <w:pPr>
              <w:jc w:val="right"/>
              <w:ind w:right="359"/>
              <w:spacing w:after="0"/>
              <w:rPr>
                <w:sz w:val="20"/>
                <w:szCs w:val="20"/>
                <w:color w:val="auto"/>
              </w:rPr>
            </w:pPr>
            <w:r>
              <w:rPr>
                <w:rFonts w:ascii="Arial" w:cs="Arial" w:eastAsia="Arial" w:hAnsi="Arial"/>
                <w:sz w:val="16"/>
                <w:szCs w:val="16"/>
                <w:color w:val="auto"/>
                <w:w w:val="94"/>
              </w:rPr>
              <w:t>(8,370)</w:t>
            </w:r>
          </w:p>
        </w:tc>
        <w:tc>
          <w:tcPr>
            <w:tcW w:w="88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83"/>
        </w:trPr>
        <w:tc>
          <w:tcPr>
            <w:tcW w:w="940" w:type="dxa"/>
            <w:vAlign w:val="bottom"/>
          </w:tcPr>
          <w:p>
            <w:pPr>
              <w:jc w:val="right"/>
              <w:ind w:right="419"/>
              <w:spacing w:after="0"/>
              <w:rPr>
                <w:sz w:val="20"/>
                <w:szCs w:val="20"/>
                <w:color w:val="auto"/>
              </w:rPr>
            </w:pPr>
            <w:r>
              <w:rPr>
                <w:rFonts w:ascii="Arial" w:cs="Arial" w:eastAsia="Arial" w:hAnsi="Arial"/>
                <w:sz w:val="16"/>
                <w:szCs w:val="16"/>
                <w:color w:val="auto"/>
                <w:w w:val="85"/>
              </w:rPr>
              <w:t>18,982</w:t>
            </w:r>
          </w:p>
        </w:tc>
        <w:tc>
          <w:tcPr>
            <w:tcW w:w="880" w:type="dxa"/>
            <w:vAlign w:val="bottom"/>
          </w:tcPr>
          <w:p>
            <w:pPr>
              <w:jc w:val="right"/>
              <w:spacing w:after="0"/>
              <w:rPr>
                <w:sz w:val="20"/>
                <w:szCs w:val="20"/>
                <w:color w:val="auto"/>
              </w:rPr>
            </w:pPr>
            <w:r>
              <w:rPr>
                <w:rFonts w:ascii="Arial" w:cs="Arial" w:eastAsia="Arial" w:hAnsi="Arial"/>
                <w:sz w:val="16"/>
                <w:szCs w:val="16"/>
                <w:color w:val="auto"/>
              </w:rPr>
              <w:t>79.0</w:t>
            </w:r>
          </w:p>
        </w:tc>
      </w:tr>
      <w:tr>
        <w:trPr>
          <w:trHeight w:val="594"/>
        </w:trPr>
        <w:tc>
          <w:tcPr>
            <w:tcW w:w="940" w:type="dxa"/>
            <w:vAlign w:val="bottom"/>
          </w:tcPr>
          <w:p>
            <w:pPr>
              <w:jc w:val="right"/>
              <w:ind w:right="359"/>
              <w:spacing w:after="0"/>
              <w:rPr>
                <w:sz w:val="20"/>
                <w:szCs w:val="20"/>
                <w:color w:val="auto"/>
              </w:rPr>
            </w:pPr>
            <w:r>
              <w:rPr>
                <w:rFonts w:ascii="Arial" w:cs="Arial" w:eastAsia="Arial" w:hAnsi="Arial"/>
                <w:sz w:val="16"/>
                <w:szCs w:val="16"/>
                <w:color w:val="auto"/>
                <w:w w:val="94"/>
              </w:rPr>
              <w:t>(2,478)</w:t>
            </w:r>
          </w:p>
        </w:tc>
        <w:tc>
          <w:tcPr>
            <w:tcW w:w="88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70"/>
        </w:trPr>
        <w:tc>
          <w:tcPr>
            <w:tcW w:w="940" w:type="dxa"/>
            <w:vAlign w:val="bottom"/>
          </w:tcPr>
          <w:p>
            <w:pPr>
              <w:jc w:val="right"/>
              <w:ind w:right="419"/>
              <w:spacing w:after="0"/>
              <w:rPr>
                <w:sz w:val="20"/>
                <w:szCs w:val="20"/>
                <w:color w:val="auto"/>
              </w:rPr>
            </w:pPr>
            <w:r>
              <w:rPr>
                <w:rFonts w:ascii="Arial" w:cs="Arial" w:eastAsia="Arial" w:hAnsi="Arial"/>
                <w:sz w:val="16"/>
                <w:szCs w:val="16"/>
                <w:color w:val="auto"/>
              </w:rPr>
              <w:t>397</w:t>
            </w:r>
          </w:p>
        </w:tc>
        <w:tc>
          <w:tcPr>
            <w:tcW w:w="880" w:type="dxa"/>
            <w:vAlign w:val="bottom"/>
          </w:tcPr>
          <w:p>
            <w:pPr>
              <w:jc w:val="right"/>
              <w:spacing w:after="0"/>
              <w:rPr>
                <w:sz w:val="20"/>
                <w:szCs w:val="20"/>
                <w:color w:val="auto"/>
              </w:rPr>
            </w:pPr>
            <w:r>
              <w:rPr>
                <w:rFonts w:ascii="Arial" w:cs="Arial" w:eastAsia="Arial" w:hAnsi="Arial"/>
                <w:sz w:val="16"/>
                <w:szCs w:val="16"/>
                <w:color w:val="auto"/>
              </w:rPr>
              <w:t>33.8</w:t>
            </w:r>
          </w:p>
        </w:tc>
      </w:tr>
      <w:tr>
        <w:trPr>
          <w:trHeight w:val="284"/>
        </w:trPr>
        <w:tc>
          <w:tcPr>
            <w:tcW w:w="940" w:type="dxa"/>
            <w:vAlign w:val="bottom"/>
          </w:tcPr>
          <w:p>
            <w:pPr>
              <w:jc w:val="right"/>
              <w:ind w:right="419"/>
              <w:spacing w:after="0"/>
              <w:rPr>
                <w:sz w:val="20"/>
                <w:szCs w:val="20"/>
                <w:color w:val="auto"/>
              </w:rPr>
            </w:pPr>
            <w:r>
              <w:rPr>
                <w:rFonts w:ascii="Arial" w:cs="Arial" w:eastAsia="Arial" w:hAnsi="Arial"/>
                <w:sz w:val="16"/>
                <w:szCs w:val="16"/>
                <w:color w:val="auto"/>
                <w:w w:val="85"/>
              </w:rPr>
              <w:t>21,857</w:t>
            </w:r>
          </w:p>
        </w:tc>
        <w:tc>
          <w:tcPr>
            <w:tcW w:w="880" w:type="dxa"/>
            <w:vAlign w:val="bottom"/>
          </w:tcPr>
          <w:p>
            <w:pPr>
              <w:jc w:val="right"/>
              <w:spacing w:after="0"/>
              <w:rPr>
                <w:sz w:val="20"/>
                <w:szCs w:val="20"/>
                <w:color w:val="auto"/>
              </w:rPr>
            </w:pPr>
            <w:r>
              <w:rPr>
                <w:rFonts w:ascii="Arial" w:cs="Arial" w:eastAsia="Arial" w:hAnsi="Arial"/>
                <w:sz w:val="16"/>
                <w:szCs w:val="16"/>
                <w:color w:val="auto"/>
              </w:rPr>
              <w:t>123.7</w:t>
            </w:r>
          </w:p>
        </w:tc>
      </w:tr>
      <w:tr>
        <w:trPr>
          <w:trHeight w:val="270"/>
        </w:trPr>
        <w:tc>
          <w:tcPr>
            <w:tcW w:w="940" w:type="dxa"/>
            <w:vAlign w:val="bottom"/>
          </w:tcPr>
          <w:p>
            <w:pPr>
              <w:jc w:val="right"/>
              <w:ind w:right="419"/>
              <w:spacing w:after="0"/>
              <w:rPr>
                <w:sz w:val="20"/>
                <w:szCs w:val="20"/>
                <w:color w:val="auto"/>
              </w:rPr>
            </w:pPr>
            <w:r>
              <w:rPr>
                <w:rFonts w:ascii="Arial" w:cs="Arial" w:eastAsia="Arial" w:hAnsi="Arial"/>
                <w:sz w:val="16"/>
                <w:szCs w:val="16"/>
                <w:color w:val="auto"/>
              </w:rPr>
              <w:t>5,760</w:t>
            </w:r>
          </w:p>
        </w:tc>
        <w:tc>
          <w:tcPr>
            <w:tcW w:w="880" w:type="dxa"/>
            <w:vAlign w:val="bottom"/>
          </w:tcPr>
          <w:p>
            <w:pPr>
              <w:jc w:val="right"/>
              <w:spacing w:after="0"/>
              <w:rPr>
                <w:sz w:val="20"/>
                <w:szCs w:val="20"/>
                <w:color w:val="auto"/>
              </w:rPr>
            </w:pPr>
            <w:r>
              <w:rPr>
                <w:rFonts w:ascii="Arial" w:cs="Arial" w:eastAsia="Arial" w:hAnsi="Arial"/>
                <w:sz w:val="16"/>
                <w:szCs w:val="16"/>
                <w:color w:val="auto"/>
              </w:rPr>
              <w:t>127.3</w:t>
            </w:r>
          </w:p>
        </w:tc>
      </w:tr>
      <w:tr>
        <w:trPr>
          <w:trHeight w:val="297"/>
        </w:trPr>
        <w:tc>
          <w:tcPr>
            <w:tcW w:w="940" w:type="dxa"/>
            <w:vAlign w:val="bottom"/>
          </w:tcPr>
          <w:p>
            <w:pPr>
              <w:jc w:val="right"/>
              <w:ind w:right="419"/>
              <w:spacing w:after="0"/>
              <w:rPr>
                <w:sz w:val="20"/>
                <w:szCs w:val="20"/>
                <w:color w:val="auto"/>
              </w:rPr>
            </w:pPr>
            <w:r>
              <w:rPr>
                <w:rFonts w:ascii="Arial" w:cs="Arial" w:eastAsia="Arial" w:hAnsi="Arial"/>
                <w:sz w:val="16"/>
                <w:szCs w:val="16"/>
                <w:color w:val="auto"/>
                <w:w w:val="85"/>
              </w:rPr>
              <w:t>16,097</w:t>
            </w:r>
          </w:p>
        </w:tc>
        <w:tc>
          <w:tcPr>
            <w:tcW w:w="880" w:type="dxa"/>
            <w:vAlign w:val="bottom"/>
          </w:tcPr>
          <w:p>
            <w:pPr>
              <w:jc w:val="right"/>
              <w:spacing w:after="0"/>
              <w:rPr>
                <w:sz w:val="20"/>
                <w:szCs w:val="20"/>
                <w:color w:val="auto"/>
              </w:rPr>
            </w:pPr>
            <w:r>
              <w:rPr>
                <w:rFonts w:ascii="Arial" w:cs="Arial" w:eastAsia="Arial" w:hAnsi="Arial"/>
                <w:sz w:val="16"/>
                <w:szCs w:val="16"/>
                <w:color w:val="auto"/>
              </w:rPr>
              <w:t>122.4</w:t>
            </w:r>
          </w:p>
        </w:tc>
      </w:tr>
    </w:tbl>
    <w:p>
      <w:pPr>
        <w:spacing w:after="0" w:line="260" w:lineRule="exact"/>
        <w:rPr>
          <w:sz w:val="20"/>
          <w:szCs w:val="20"/>
          <w:color w:val="auto"/>
        </w:rPr>
      </w:pPr>
    </w:p>
    <w:p>
      <w:pPr>
        <w:sectPr>
          <w:pgSz w:w="11900" w:h="16838" w:orient="portrait"/>
          <w:cols w:equalWidth="0" w:num="2">
            <w:col w:w="8560" w:space="678"/>
            <w:col w:w="2002"/>
          </w:cols>
          <w:pgMar w:left="320" w:top="125"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 in the second quarter of 2020 was $169.5 million compared with $158.9 million in the second quarter of 2019, due to growth of $8.6 million, $1.9 million and $0.1 million, in the Wireless, Broadband and Tower segments, respectively. The Wireless growth was driven by the resolution of the travel dispute with Sprint.</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discussion of the results of operations for the Wireless, Broadband and Tower segments, included within this quarterly report,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decreased approximately $8.4 million, or 6.2%, during the three months ended June 30, 2020 compared with the three months ended June 30, 2019. The decrease was primarily due to a decline in Wireless operating expenses driven by depreciation and amortization expense as certain assets acquired from nTelos became fully depreciated and lower cost of goods sold and selling, general and administrative expenses related to temporary retail store closures. This decrease was partially offset by an increase in Broadband operating expenses incurred to support the launch of our new fiber-to-the-home service, Glo Fiber, and new fixed wireless broadband service, Beam.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decreased approximately $2.5 million, or 32.9%, during the three months ended June 30, 2020 compared with the three months ended June 30, 2019. The decrease in interest expense was primarily attributable to the significant decline in LIBOR, which reduces interest expense on the 55.6% of our debt that is not subject to our cash flow hedge. Also contributing to the decline was a reduction of the applicable base interest rate by 25 basis points and principal repayments on our Credit Facility term loans.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increased approximately $0.4 million, or 33.8%, during the three months ended June 30, 2020 compared with the three months ended June 30, 2019. The increase was primarily due to changes in the fair value of our investments that are used to fund our obligation under the supplemental executive retirement plan.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with the Six Months Ended June 30,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results from operations are summarized as follows: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58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8"/>
              </w:rPr>
              <w:t>Six Months Ended June 30,</w:t>
            </w:r>
          </w:p>
        </w:tc>
        <w:tc>
          <w:tcPr>
            <w:tcW w:w="1200" w:type="dxa"/>
            <w:vAlign w:val="bottom"/>
          </w:tcPr>
          <w:p>
            <w:pPr>
              <w:spacing w:after="0"/>
              <w:rPr>
                <w:sz w:val="20"/>
                <w:szCs w:val="20"/>
                <w:color w:val="auto"/>
              </w:rPr>
            </w:pPr>
          </w:p>
        </w:tc>
      </w:tr>
      <w:tr>
        <w:trPr>
          <w:trHeight w:val="27"/>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34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340" w:type="dxa"/>
            <w:vAlign w:val="bottom"/>
            <w:gridSpan w:val="2"/>
          </w:tcPr>
          <w:p>
            <w:pPr>
              <w:ind w:left="80"/>
              <w:spacing w:after="0"/>
              <w:rPr>
                <w:sz w:val="20"/>
                <w:szCs w:val="20"/>
                <w:color w:val="auto"/>
              </w:rPr>
            </w:pPr>
            <w:r>
              <w:rPr>
                <w:rFonts w:ascii="Arial" w:cs="Arial" w:eastAsia="Arial" w:hAnsi="Arial"/>
                <w:sz w:val="18"/>
                <w:szCs w:val="18"/>
                <w:b w:val="1"/>
                <w:bCs w:val="1"/>
                <w:color w:val="auto"/>
              </w:rPr>
              <w:t>% of Revenue</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w w:val="94"/>
              </w:rPr>
              <w:t>% of Revenue</w:t>
            </w:r>
          </w:p>
        </w:tc>
      </w:tr>
      <w:tr>
        <w:trPr>
          <w:trHeight w:val="27"/>
        </w:trPr>
        <w:tc>
          <w:tcPr>
            <w:tcW w:w="34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1"/>
        </w:trPr>
        <w:tc>
          <w:tcPr>
            <w:tcW w:w="3460" w:type="dxa"/>
            <w:vAlign w:val="bottom"/>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322,714</w:t>
            </w:r>
          </w:p>
        </w:tc>
        <w:tc>
          <w:tcPr>
            <w:tcW w:w="1220" w:type="dxa"/>
            <w:vAlign w:val="bottom"/>
          </w:tcPr>
          <w:p>
            <w:pPr>
              <w:jc w:val="right"/>
              <w:ind w:right="24"/>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317,757</w:t>
            </w:r>
          </w:p>
        </w:tc>
        <w:tc>
          <w:tcPr>
            <w:tcW w:w="1200" w:type="dxa"/>
            <w:vAlign w:val="bottom"/>
          </w:tcPr>
          <w:p>
            <w:pPr>
              <w:jc w:val="right"/>
              <w:ind w:right="26"/>
              <w:spacing w:after="0"/>
              <w:rPr>
                <w:sz w:val="20"/>
                <w:szCs w:val="20"/>
                <w:color w:val="auto"/>
              </w:rPr>
            </w:pPr>
            <w:r>
              <w:rPr>
                <w:rFonts w:ascii="Arial" w:cs="Arial" w:eastAsia="Arial" w:hAnsi="Arial"/>
                <w:sz w:val="14"/>
                <w:szCs w:val="14"/>
                <w:color w:val="auto"/>
              </w:rPr>
              <w:t>100.0</w:t>
            </w:r>
          </w:p>
        </w:tc>
      </w:tr>
      <w:tr>
        <w:trPr>
          <w:trHeight w:val="276"/>
        </w:trPr>
        <w:tc>
          <w:tcPr>
            <w:tcW w:w="3460" w:type="dxa"/>
            <w:vAlign w:val="bottom"/>
          </w:tcPr>
          <w:p>
            <w:pPr>
              <w:ind w:left="1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256,662</w:t>
            </w: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79.5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268,950</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84.6</w:t>
            </w: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66,052</w:t>
            </w:r>
          </w:p>
        </w:tc>
        <w:tc>
          <w:tcPr>
            <w:tcW w:w="1220" w:type="dxa"/>
            <w:vAlign w:val="bottom"/>
          </w:tcPr>
          <w:p>
            <w:pPr>
              <w:jc w:val="right"/>
              <w:ind w:right="24"/>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48,807</w:t>
            </w:r>
          </w:p>
        </w:tc>
        <w:tc>
          <w:tcPr>
            <w:tcW w:w="1200" w:type="dxa"/>
            <w:vAlign w:val="bottom"/>
          </w:tcPr>
          <w:p>
            <w:pPr>
              <w:jc w:val="right"/>
              <w:ind w:right="26"/>
              <w:spacing w:after="0"/>
              <w:rPr>
                <w:sz w:val="20"/>
                <w:szCs w:val="20"/>
                <w:color w:val="auto"/>
              </w:rPr>
            </w:pPr>
            <w:r>
              <w:rPr>
                <w:rFonts w:ascii="Arial" w:cs="Arial" w:eastAsia="Arial" w:hAnsi="Arial"/>
                <w:sz w:val="14"/>
                <w:szCs w:val="14"/>
                <w:color w:val="auto"/>
              </w:rPr>
              <w:t>15.4</w:t>
            </w:r>
          </w:p>
        </w:tc>
      </w:tr>
      <w:tr>
        <w:trPr>
          <w:trHeight w:val="594"/>
        </w:trPr>
        <w:tc>
          <w:tcPr>
            <w:tcW w:w="34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(11,255)</w:t>
            </w:r>
          </w:p>
        </w:tc>
        <w:tc>
          <w:tcPr>
            <w:tcW w:w="12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(15,476)</w:t>
            </w:r>
          </w:p>
        </w:tc>
        <w:tc>
          <w:tcPr>
            <w:tcW w:w="12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76"/>
        </w:trPr>
        <w:tc>
          <w:tcPr>
            <w:tcW w:w="346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2,306</w:t>
            </w: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2,463</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0.8</w:t>
            </w: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Income before taxes</w:t>
            </w:r>
          </w:p>
        </w:tc>
        <w:tc>
          <w:tcPr>
            <w:tcW w:w="280" w:type="dxa"/>
            <w:vAlign w:val="bottom"/>
          </w:tcPr>
          <w:p>
            <w:pPr>
              <w:spacing w:after="0"/>
              <w:rPr>
                <w:sz w:val="22"/>
                <w:szCs w:val="22"/>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57,103</w:t>
            </w:r>
          </w:p>
        </w:tc>
        <w:tc>
          <w:tcPr>
            <w:tcW w:w="1220" w:type="dxa"/>
            <w:vAlign w:val="bottom"/>
          </w:tcPr>
          <w:p>
            <w:pPr>
              <w:jc w:val="right"/>
              <w:ind w:right="24"/>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35,794</w:t>
            </w:r>
          </w:p>
        </w:tc>
        <w:tc>
          <w:tcPr>
            <w:tcW w:w="1200" w:type="dxa"/>
            <w:vAlign w:val="bottom"/>
          </w:tcPr>
          <w:p>
            <w:pPr>
              <w:jc w:val="right"/>
              <w:ind w:right="26"/>
              <w:spacing w:after="0"/>
              <w:rPr>
                <w:sz w:val="20"/>
                <w:szCs w:val="20"/>
                <w:color w:val="auto"/>
              </w:rPr>
            </w:pPr>
            <w:r>
              <w:rPr>
                <w:rFonts w:ascii="Arial" w:cs="Arial" w:eastAsia="Arial" w:hAnsi="Arial"/>
                <w:sz w:val="14"/>
                <w:szCs w:val="14"/>
                <w:color w:val="auto"/>
              </w:rPr>
              <w:t>11.3</w:t>
            </w:r>
          </w:p>
        </w:tc>
      </w:tr>
      <w:tr>
        <w:trPr>
          <w:trHeight w:val="276"/>
        </w:trPr>
        <w:tc>
          <w:tcPr>
            <w:tcW w:w="3460" w:type="dxa"/>
            <w:vAlign w:val="bottom"/>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14,576</w:t>
            </w: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8,734</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2.7</w:t>
            </w:r>
          </w:p>
        </w:tc>
      </w:tr>
      <w:tr>
        <w:trPr>
          <w:trHeight w:val="264"/>
        </w:trPr>
        <w:tc>
          <w:tcPr>
            <w:tcW w:w="3460" w:type="dxa"/>
            <w:vAlign w:val="bottom"/>
          </w:tcPr>
          <w:p>
            <w:pPr>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42,527</w:t>
            </w:r>
          </w:p>
        </w:tc>
        <w:tc>
          <w:tcPr>
            <w:tcW w:w="12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27,060</w:t>
            </w:r>
          </w:p>
        </w:tc>
        <w:tc>
          <w:tcPr>
            <w:tcW w:w="120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8.5</w:t>
            </w:r>
          </w:p>
        </w:tc>
      </w:tr>
      <w:tr>
        <w:trPr>
          <w:trHeight w:val="20"/>
        </w:trPr>
        <w:tc>
          <w:tcPr>
            <w:tcW w:w="3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71"/>
        <w:spacing w:after="0"/>
        <w:rPr>
          <w:sz w:val="20"/>
          <w:szCs w:val="20"/>
          <w:color w:val="auto"/>
        </w:rPr>
      </w:pPr>
      <w:r>
        <w:rPr>
          <w:rFonts w:ascii="Arial" w:cs="Arial" w:eastAsia="Arial" w:hAnsi="Arial"/>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34290</wp:posOffset>
            </wp:positionV>
            <wp:extent cx="1611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57" w:lineRule="exact"/>
        <w:rPr>
          <w:sz w:val="20"/>
          <w:szCs w:val="20"/>
          <w:color w:val="auto"/>
        </w:rPr>
      </w:pPr>
    </w:p>
    <w:p>
      <w:pPr>
        <w:ind w:left="1269" w:hanging="1269"/>
        <w:spacing w:after="0"/>
        <w:tabs>
          <w:tab w:leader="none" w:pos="126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34290</wp:posOffset>
            </wp:positionV>
            <wp:extent cx="16116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79" w:lineRule="exact"/>
        <w:rPr>
          <w:sz w:val="20"/>
          <w:szCs w:val="20"/>
          <w:color w:val="auto"/>
        </w:rPr>
      </w:pPr>
    </w:p>
    <w:tbl>
      <w:tblPr>
        <w:tblLayout w:type="fixed"/>
        <w:tblInd w:w="49" w:type="dxa"/>
        <w:tblCellMar>
          <w:top w:w="0" w:type="dxa"/>
          <w:left w:w="0" w:type="dxa"/>
          <w:bottom w:w="0" w:type="dxa"/>
          <w:right w:w="0" w:type="dxa"/>
        </w:tblCellMar>
      </w:tblPr>
      <w:tr>
        <w:trPr>
          <w:trHeight w:val="206"/>
        </w:trPr>
        <w:tc>
          <w:tcPr>
            <w:tcW w:w="1040" w:type="dxa"/>
            <w:vAlign w:val="bottom"/>
          </w:tcPr>
          <w:p>
            <w:pPr>
              <w:jc w:val="right"/>
              <w:ind w:right="459"/>
              <w:spacing w:after="0"/>
              <w:rPr>
                <w:sz w:val="20"/>
                <w:szCs w:val="20"/>
                <w:color w:val="auto"/>
              </w:rPr>
            </w:pPr>
            <w:r>
              <w:rPr>
                <w:rFonts w:ascii="Arial" w:cs="Arial" w:eastAsia="Arial" w:hAnsi="Arial"/>
                <w:sz w:val="16"/>
                <w:szCs w:val="16"/>
                <w:color w:val="auto"/>
              </w:rPr>
              <w:t>4,957</w:t>
            </w:r>
          </w:p>
        </w:tc>
        <w:tc>
          <w:tcPr>
            <w:tcW w:w="8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0"/>
        </w:trPr>
        <w:tc>
          <w:tcPr>
            <w:tcW w:w="1040" w:type="dxa"/>
            <w:vAlign w:val="bottom"/>
          </w:tcPr>
          <w:p>
            <w:pPr>
              <w:jc w:val="right"/>
              <w:ind w:right="419"/>
              <w:spacing w:after="0"/>
              <w:rPr>
                <w:sz w:val="20"/>
                <w:szCs w:val="20"/>
                <w:color w:val="auto"/>
              </w:rPr>
            </w:pPr>
            <w:r>
              <w:rPr>
                <w:rFonts w:ascii="Arial" w:cs="Arial" w:eastAsia="Arial" w:hAnsi="Arial"/>
                <w:sz w:val="16"/>
                <w:szCs w:val="16"/>
                <w:color w:val="auto"/>
                <w:w w:val="87"/>
              </w:rPr>
              <w:t>(12,288)</w:t>
            </w: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83"/>
        </w:trPr>
        <w:tc>
          <w:tcPr>
            <w:tcW w:w="1040" w:type="dxa"/>
            <w:vAlign w:val="bottom"/>
          </w:tcPr>
          <w:p>
            <w:pPr>
              <w:jc w:val="right"/>
              <w:ind w:right="459"/>
              <w:spacing w:after="0"/>
              <w:rPr>
                <w:sz w:val="20"/>
                <w:szCs w:val="20"/>
                <w:color w:val="auto"/>
              </w:rPr>
            </w:pPr>
            <w:r>
              <w:rPr>
                <w:rFonts w:ascii="Arial" w:cs="Arial" w:eastAsia="Arial" w:hAnsi="Arial"/>
                <w:sz w:val="16"/>
                <w:szCs w:val="16"/>
                <w:color w:val="auto"/>
                <w:w w:val="98"/>
              </w:rPr>
              <w:t>17,245</w:t>
            </w:r>
          </w:p>
        </w:tc>
        <w:tc>
          <w:tcPr>
            <w:tcW w:w="840" w:type="dxa"/>
            <w:vAlign w:val="bottom"/>
          </w:tcPr>
          <w:p>
            <w:pPr>
              <w:jc w:val="right"/>
              <w:spacing w:after="0"/>
              <w:rPr>
                <w:sz w:val="20"/>
                <w:szCs w:val="20"/>
                <w:color w:val="auto"/>
              </w:rPr>
            </w:pPr>
            <w:r>
              <w:rPr>
                <w:rFonts w:ascii="Arial" w:cs="Arial" w:eastAsia="Arial" w:hAnsi="Arial"/>
                <w:sz w:val="16"/>
                <w:szCs w:val="16"/>
                <w:color w:val="auto"/>
              </w:rPr>
              <w:t>35.3</w:t>
            </w:r>
          </w:p>
        </w:tc>
      </w:tr>
    </w:tbl>
    <w:p>
      <w:pPr>
        <w:spacing w:after="0" w:line="388" w:lineRule="exact"/>
        <w:rPr>
          <w:sz w:val="20"/>
          <w:szCs w:val="20"/>
          <w:color w:val="auto"/>
        </w:rPr>
      </w:pPr>
    </w:p>
    <w:p>
      <w:pPr>
        <w:ind w:left="129"/>
        <w:spacing w:after="0"/>
        <w:tabs>
          <w:tab w:leader="none" w:pos="1509" w:val="left"/>
        </w:tabs>
        <w:rPr>
          <w:sz w:val="20"/>
          <w:szCs w:val="20"/>
          <w:color w:val="auto"/>
        </w:rPr>
      </w:pPr>
      <w:r>
        <w:rPr>
          <w:rFonts w:ascii="Arial" w:cs="Arial" w:eastAsia="Arial" w:hAnsi="Arial"/>
          <w:sz w:val="15"/>
          <w:szCs w:val="15"/>
          <w:color w:val="auto"/>
        </w:rPr>
        <w:t>(4,221)</w:t>
      </w:r>
      <w:r>
        <w:rPr>
          <w:sz w:val="20"/>
          <w:szCs w:val="20"/>
          <w:color w:val="auto"/>
        </w:rPr>
        <w:tab/>
      </w:r>
      <w:r>
        <w:rPr>
          <w:rFonts w:ascii="Arial" w:cs="Arial" w:eastAsia="Arial" w:hAnsi="Arial"/>
          <w:sz w:val="15"/>
          <w:szCs w:val="15"/>
          <w:color w:val="auto"/>
        </w:rPr>
        <w:t>(27.3)</w:t>
      </w:r>
    </w:p>
    <w:p>
      <w:pPr>
        <w:spacing w:after="0" w:line="98" w:lineRule="exact"/>
        <w:rPr>
          <w:sz w:val="20"/>
          <w:szCs w:val="20"/>
          <w:color w:val="auto"/>
        </w:rPr>
      </w:pPr>
    </w:p>
    <w:p>
      <w:pPr>
        <w:ind w:left="1609" w:hanging="1362"/>
        <w:spacing w:after="0"/>
        <w:tabs>
          <w:tab w:leader="none" w:pos="1609" w:val="left"/>
        </w:tabs>
        <w:numPr>
          <w:ilvl w:val="0"/>
          <w:numId w:val="11"/>
        </w:numPr>
        <w:rPr>
          <w:rFonts w:ascii="Arial" w:cs="Arial" w:eastAsia="Arial" w:hAnsi="Arial"/>
          <w:sz w:val="15"/>
          <w:szCs w:val="15"/>
          <w:color w:val="auto"/>
        </w:rPr>
      </w:pPr>
      <w:r>
        <w:rPr>
          <w:rFonts w:ascii="Arial" w:cs="Arial" w:eastAsia="Arial" w:hAnsi="Arial"/>
          <w:sz w:val="15"/>
          <w:szCs w:val="15"/>
          <w:color w:val="auto"/>
        </w:rPr>
        <w:t>(6.4)</w:t>
      </w:r>
    </w:p>
    <w:p>
      <w:pPr>
        <w:spacing w:after="0" w:line="111" w:lineRule="exact"/>
        <w:rPr>
          <w:sz w:val="20"/>
          <w:szCs w:val="20"/>
          <w:color w:val="auto"/>
        </w:rPr>
      </w:pPr>
    </w:p>
    <w:tbl>
      <w:tblPr>
        <w:tblLayout w:type="fixed"/>
        <w:tblInd w:w="89" w:type="dxa"/>
        <w:tblCellMar>
          <w:top w:w="0" w:type="dxa"/>
          <w:left w:w="0" w:type="dxa"/>
          <w:bottom w:w="0" w:type="dxa"/>
          <w:right w:w="0" w:type="dxa"/>
        </w:tblCellMar>
      </w:tblPr>
      <w:tr>
        <w:trPr>
          <w:trHeight w:val="206"/>
        </w:trPr>
        <w:tc>
          <w:tcPr>
            <w:tcW w:w="980" w:type="dxa"/>
            <w:vAlign w:val="bottom"/>
          </w:tcPr>
          <w:p>
            <w:pPr>
              <w:jc w:val="right"/>
              <w:ind w:right="439"/>
              <w:spacing w:after="0"/>
              <w:rPr>
                <w:sz w:val="20"/>
                <w:szCs w:val="20"/>
                <w:color w:val="auto"/>
              </w:rPr>
            </w:pPr>
            <w:r>
              <w:rPr>
                <w:rFonts w:ascii="Arial" w:cs="Arial" w:eastAsia="Arial" w:hAnsi="Arial"/>
                <w:sz w:val="16"/>
                <w:szCs w:val="16"/>
                <w:color w:val="auto"/>
                <w:w w:val="89"/>
              </w:rPr>
              <w:t>21,309</w:t>
            </w:r>
          </w:p>
        </w:tc>
        <w:tc>
          <w:tcPr>
            <w:tcW w:w="800" w:type="dxa"/>
            <w:vAlign w:val="bottom"/>
          </w:tcPr>
          <w:p>
            <w:pPr>
              <w:jc w:val="right"/>
              <w:spacing w:after="0"/>
              <w:rPr>
                <w:sz w:val="20"/>
                <w:szCs w:val="20"/>
                <w:color w:val="auto"/>
              </w:rPr>
            </w:pPr>
            <w:r>
              <w:rPr>
                <w:rFonts w:ascii="Arial" w:cs="Arial" w:eastAsia="Arial" w:hAnsi="Arial"/>
                <w:sz w:val="16"/>
                <w:szCs w:val="16"/>
                <w:color w:val="auto"/>
              </w:rPr>
              <w:t>59.5</w:t>
            </w:r>
          </w:p>
        </w:tc>
      </w:tr>
      <w:tr>
        <w:trPr>
          <w:trHeight w:val="270"/>
        </w:trPr>
        <w:tc>
          <w:tcPr>
            <w:tcW w:w="980" w:type="dxa"/>
            <w:vAlign w:val="bottom"/>
          </w:tcPr>
          <w:p>
            <w:pPr>
              <w:jc w:val="right"/>
              <w:ind w:right="439"/>
              <w:spacing w:after="0"/>
              <w:rPr>
                <w:sz w:val="20"/>
                <w:szCs w:val="20"/>
                <w:color w:val="auto"/>
              </w:rPr>
            </w:pPr>
            <w:r>
              <w:rPr>
                <w:rFonts w:ascii="Arial" w:cs="Arial" w:eastAsia="Arial" w:hAnsi="Arial"/>
                <w:sz w:val="16"/>
                <w:szCs w:val="16"/>
                <w:color w:val="auto"/>
              </w:rPr>
              <w:t>5,842</w:t>
            </w:r>
          </w:p>
        </w:tc>
        <w:tc>
          <w:tcPr>
            <w:tcW w:w="80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97"/>
        </w:trPr>
        <w:tc>
          <w:tcPr>
            <w:tcW w:w="980" w:type="dxa"/>
            <w:vAlign w:val="bottom"/>
          </w:tcPr>
          <w:p>
            <w:pPr>
              <w:jc w:val="right"/>
              <w:ind w:right="439"/>
              <w:spacing w:after="0"/>
              <w:rPr>
                <w:sz w:val="20"/>
                <w:szCs w:val="20"/>
                <w:color w:val="auto"/>
              </w:rPr>
            </w:pPr>
            <w:r>
              <w:rPr>
                <w:rFonts w:ascii="Arial" w:cs="Arial" w:eastAsia="Arial" w:hAnsi="Arial"/>
                <w:sz w:val="16"/>
                <w:szCs w:val="16"/>
                <w:color w:val="auto"/>
                <w:w w:val="89"/>
              </w:rPr>
              <w:t>15,467</w:t>
            </w:r>
          </w:p>
        </w:tc>
        <w:tc>
          <w:tcPr>
            <w:tcW w:w="800" w:type="dxa"/>
            <w:vAlign w:val="bottom"/>
          </w:tcPr>
          <w:p>
            <w:pPr>
              <w:jc w:val="right"/>
              <w:spacing w:after="0"/>
              <w:rPr>
                <w:sz w:val="20"/>
                <w:szCs w:val="20"/>
                <w:color w:val="auto"/>
              </w:rPr>
            </w:pPr>
            <w:r>
              <w:rPr>
                <w:rFonts w:ascii="Arial" w:cs="Arial" w:eastAsia="Arial" w:hAnsi="Arial"/>
                <w:sz w:val="16"/>
                <w:szCs w:val="16"/>
                <w:color w:val="auto"/>
              </w:rPr>
              <w:t>57.2</w:t>
            </w:r>
          </w:p>
        </w:tc>
      </w:tr>
    </w:tbl>
    <w:p>
      <w:pPr>
        <w:spacing w:after="0" w:line="260" w:lineRule="exact"/>
        <w:rPr>
          <w:sz w:val="20"/>
          <w:szCs w:val="20"/>
          <w:color w:val="auto"/>
        </w:rPr>
      </w:pPr>
    </w:p>
    <w:p>
      <w:pPr>
        <w:sectPr>
          <w:pgSz w:w="11900" w:h="16838" w:orient="portrait"/>
          <w:cols w:equalWidth="0" w:num="2">
            <w:col w:w="8540" w:space="671"/>
            <w:col w:w="2029"/>
          </w:cols>
          <w:pgMar w:left="320" w:top="12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Revenue increased $5.0 million or 1.6%, during the six months ended June 30, 2020 compared with the six months ended June 30, 2019, due to growth of $4.7 million, $0.1 million, and $0.1 million, in the Broadband, Wireless and Tower segments, respectively.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the discussion of the results of operations for the Wireless, Broadband and Tower segments, included within this quarterly report,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expenses decreased approximately $12.3 million, or 4.6%, during the six months ended June 30, 2020 compared with the six months ended June 30, 2019. The decrease was primarily due to a decline in Wireless operating expenses driven by depreciation and amortization expense as certain assets acquired from nTelos became fully depreciated and lower cost of goods sold and selling, general and administrative expenses related to temporary retail store closures. This decrease was partially offset by an increase in Broadband operating expenses incurred to support the launch of our new fiber-to-the-home service, Glo Fiber, and fixed wireless broadband solution, Beam.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Interest expense decreased approximately $4.2 million, or 27.3%, during the six months ended June 30, 2020 compared with the six months ended June 30, 2019. The decrease in interest expense was primarily attributable to the significant decline in LIBOR, which reduces interest expense on the 55.6% of our debt that is not subject to our cash flow hedge. Also contributing to the decline was a reduction of the applicable base interest rate by 25 basis points and principal repayments on our Credit Facility term loans.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decreased approximately $0.2 million, or 6.4%, during the six months ended June 30, 2020 compared with the six months ended June 30, 2019. The decrease was primarily due to changes in the fair value of our investments that are used to fund our obligation under the supplemental executive retirement plan.</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Wireless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Wireless earns postpaid, prepaid and wholesale revenues from Sprint for their subscribers that use our Wireless network service in our Wireless network coverage area. The Company's wireless revenue is variable based on billed revenues to Sprint's subscribers in our Affiliate Area less applicable fees retained by Sprint. Sprint retains an 8% Management Fee and an 8.6% Net Service Fee on postpaid revenues and a 6% Management Fee on prepaid wireless revenues. For postpaid, the Company is also charged for the costs of subsidized handsets sold through Sprint's national channels as well as commissions paid by Sprint to third-party dealers in our Sprint Affiliate Area. Sprint also charges the Company separately to acquire and support prepaid customers. These charges are calculated based on Sprint's national averages for its prepaid programs, and are billed per user or per gross additional customer, as appropriate.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indicate selected operating statistics of Wireless, including Sprint subscribers: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500"/>
              <w:spacing w:after="0"/>
              <w:rPr>
                <w:sz w:val="20"/>
                <w:szCs w:val="20"/>
                <w:color w:val="auto"/>
              </w:rPr>
            </w:pPr>
            <w:r>
              <w:rPr>
                <w:rFonts w:ascii="Arial" w:cs="Arial" w:eastAsia="Arial" w:hAnsi="Arial"/>
                <w:sz w:val="16"/>
                <w:szCs w:val="16"/>
                <w:b w:val="1"/>
                <w:bCs w:val="1"/>
                <w:color w:val="auto"/>
                <w:w w:val="93"/>
              </w:rPr>
              <w:t>June 30,</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6"/>
          </w:tcPr>
          <w:p>
            <w:pPr>
              <w:ind w:left="500"/>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7"/>
                <w:szCs w:val="17"/>
                <w:color w:val="auto"/>
              </w:rPr>
            </w:pPr>
          </w:p>
        </w:tc>
      </w:tr>
      <w:tr>
        <w:trPr>
          <w:trHeight w:val="210"/>
        </w:trPr>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570"/>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Retail PCS total subscribers - postpaid</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846,428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811,719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4440" w:type="dxa"/>
            <w:vAlign w:val="bottom"/>
            <w:gridSpan w:val="2"/>
          </w:tcPr>
          <w:p>
            <w:pPr>
              <w:ind w:left="280"/>
              <w:spacing w:after="0"/>
              <w:rPr>
                <w:sz w:val="20"/>
                <w:szCs w:val="20"/>
                <w:color w:val="auto"/>
              </w:rPr>
            </w:pPr>
            <w:r>
              <w:rPr>
                <w:rFonts w:ascii="Arial" w:cs="Arial" w:eastAsia="Arial" w:hAnsi="Arial"/>
                <w:sz w:val="18"/>
                <w:szCs w:val="18"/>
                <w:color w:val="auto"/>
              </w:rPr>
              <w:t>Retail PCS phone subscribers</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735,028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726,899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440" w:type="dxa"/>
            <w:vAlign w:val="bottom"/>
            <w:gridSpan w:val="2"/>
          </w:tcPr>
          <w:p>
            <w:pPr>
              <w:ind w:left="280"/>
              <w:spacing w:after="0"/>
              <w:rPr>
                <w:sz w:val="20"/>
                <w:szCs w:val="20"/>
                <w:color w:val="auto"/>
              </w:rPr>
            </w:pPr>
            <w:r>
              <w:rPr>
                <w:rFonts w:ascii="Arial" w:cs="Arial" w:eastAsia="Arial" w:hAnsi="Arial"/>
                <w:sz w:val="18"/>
                <w:szCs w:val="18"/>
                <w:color w:val="auto"/>
              </w:rPr>
              <w:t>Retail PCS connected device subscribers</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111,400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84,820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Retail PCS subscribers - prepaid</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289,449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269,039</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PCS market POPS (000) (1)</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7,227</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7,227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PCS covered POP (000) (1)</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6,379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6,285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440" w:type="dxa"/>
            <w:vAlign w:val="bottom"/>
            <w:gridSpan w:val="2"/>
          </w:tcPr>
          <w:p>
            <w:pPr>
              <w:ind w:left="40"/>
              <w:spacing w:after="0"/>
              <w:rPr>
                <w:sz w:val="20"/>
                <w:szCs w:val="20"/>
                <w:color w:val="auto"/>
              </w:rPr>
            </w:pPr>
            <w:r>
              <w:rPr>
                <w:rFonts w:ascii="Arial" w:cs="Arial" w:eastAsia="Arial" w:hAnsi="Arial"/>
                <w:sz w:val="18"/>
                <w:szCs w:val="18"/>
                <w:color w:val="auto"/>
              </w:rPr>
              <w:t>Macro base stations (cell sites)</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1,968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1,910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603"/>
        </w:trPr>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3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5"/>
          </w:tcPr>
          <w:p>
            <w:pPr>
              <w:jc w:val="right"/>
              <w:ind w:right="779"/>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0"/>
                <w:szCs w:val="20"/>
                <w:color w:val="auto"/>
              </w:rPr>
            </w:pPr>
          </w:p>
        </w:tc>
        <w:tc>
          <w:tcPr>
            <w:tcW w:w="1560" w:type="dxa"/>
            <w:vAlign w:val="bottom"/>
            <w:gridSpan w:val="4"/>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0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40" w:type="dxa"/>
            <w:vAlign w:val="bottom"/>
            <w:gridSpan w:val="2"/>
          </w:tcPr>
          <w:p>
            <w:pPr>
              <w:ind w:left="40"/>
              <w:spacing w:after="0"/>
              <w:rPr>
                <w:sz w:val="20"/>
                <w:szCs w:val="20"/>
                <w:color w:val="auto"/>
              </w:rPr>
            </w:pPr>
            <w:r>
              <w:rPr>
                <w:rFonts w:ascii="Arial" w:cs="Arial" w:eastAsia="Arial" w:hAnsi="Arial"/>
                <w:sz w:val="18"/>
                <w:szCs w:val="18"/>
                <w:b w:val="1"/>
                <w:bCs w:val="1"/>
                <w:color w:val="auto"/>
              </w:rPr>
              <w:t>Postpaid:</w:t>
            </w:r>
          </w:p>
        </w:tc>
        <w:tc>
          <w:tcPr>
            <w:tcW w:w="1020" w:type="dxa"/>
            <w:vAlign w:val="bottom"/>
          </w:tcPr>
          <w:p>
            <w:pPr>
              <w:ind w:left="28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140" w:type="dxa"/>
            <w:vAlign w:val="bottom"/>
            <w:gridSpan w:val="3"/>
          </w:tcPr>
          <w:p>
            <w:pPr>
              <w:jc w:val="right"/>
              <w:ind w:right="299"/>
              <w:spacing w:after="0"/>
              <w:rPr>
                <w:sz w:val="20"/>
                <w:szCs w:val="20"/>
                <w:color w:val="auto"/>
              </w:rPr>
            </w:pPr>
            <w:r>
              <w:rPr>
                <w:rFonts w:ascii="Arial" w:cs="Arial" w:eastAsia="Arial" w:hAnsi="Arial"/>
                <w:sz w:val="18"/>
                <w:szCs w:val="18"/>
                <w:b w:val="1"/>
                <w:bCs w:val="1"/>
                <w:color w:val="auto"/>
              </w:rPr>
              <w:t>2019</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4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Gross PCS total subscriber additions</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37,832</w:t>
            </w:r>
          </w:p>
        </w:tc>
        <w:tc>
          <w:tcPr>
            <w:tcW w:w="100" w:type="dxa"/>
            <w:vAlign w:val="bottom"/>
          </w:tcPr>
          <w:p>
            <w:pPr>
              <w:spacing w:after="0"/>
              <w:rPr>
                <w:sz w:val="20"/>
                <w:szCs w:val="20"/>
                <w:color w:val="auto"/>
              </w:rPr>
            </w:pPr>
          </w:p>
        </w:tc>
        <w:tc>
          <w:tcPr>
            <w:tcW w:w="1140" w:type="dxa"/>
            <w:vAlign w:val="bottom"/>
            <w:gridSpan w:val="3"/>
          </w:tcPr>
          <w:p>
            <w:pPr>
              <w:jc w:val="right"/>
              <w:ind w:right="99"/>
              <w:spacing w:after="0"/>
              <w:rPr>
                <w:sz w:val="20"/>
                <w:szCs w:val="20"/>
                <w:color w:val="auto"/>
              </w:rPr>
            </w:pPr>
            <w:r>
              <w:rPr>
                <w:rFonts w:ascii="Arial" w:cs="Arial" w:eastAsia="Arial" w:hAnsi="Arial"/>
                <w:sz w:val="18"/>
                <w:szCs w:val="18"/>
                <w:color w:val="auto"/>
              </w:rPr>
              <w:t>52,799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89,823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w w:val="92"/>
              </w:rPr>
              <w:t>103,646</w:t>
            </w:r>
          </w:p>
        </w:tc>
      </w:tr>
      <w:tr>
        <w:trPr>
          <w:trHeight w:val="270"/>
        </w:trPr>
        <w:tc>
          <w:tcPr>
            <w:tcW w:w="4440" w:type="dxa"/>
            <w:vAlign w:val="bottom"/>
            <w:gridSpan w:val="2"/>
          </w:tcPr>
          <w:p>
            <w:pPr>
              <w:ind w:left="380"/>
              <w:spacing w:after="0"/>
              <w:rPr>
                <w:sz w:val="20"/>
                <w:szCs w:val="20"/>
                <w:color w:val="auto"/>
              </w:rPr>
            </w:pPr>
            <w:r>
              <w:rPr>
                <w:rFonts w:ascii="Arial" w:cs="Arial" w:eastAsia="Arial" w:hAnsi="Arial"/>
                <w:sz w:val="18"/>
                <w:szCs w:val="18"/>
                <w:color w:val="auto"/>
              </w:rPr>
              <w:t>Gross PCS phone additions</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26,567</w:t>
            </w:r>
          </w:p>
        </w:tc>
        <w:tc>
          <w:tcPr>
            <w:tcW w:w="100" w:type="dxa"/>
            <w:vAlign w:val="bottom"/>
          </w:tcPr>
          <w:p>
            <w:pPr>
              <w:spacing w:after="0"/>
              <w:rPr>
                <w:sz w:val="23"/>
                <w:szCs w:val="23"/>
                <w:color w:val="auto"/>
              </w:rPr>
            </w:pPr>
          </w:p>
        </w:tc>
        <w:tc>
          <w:tcPr>
            <w:tcW w:w="1140" w:type="dxa"/>
            <w:vAlign w:val="bottom"/>
            <w:gridSpan w:val="3"/>
          </w:tcPr>
          <w:p>
            <w:pPr>
              <w:jc w:val="right"/>
              <w:ind w:right="99"/>
              <w:spacing w:after="0"/>
              <w:rPr>
                <w:sz w:val="20"/>
                <w:szCs w:val="20"/>
                <w:color w:val="auto"/>
              </w:rPr>
            </w:pPr>
            <w:r>
              <w:rPr>
                <w:rFonts w:ascii="Arial" w:cs="Arial" w:eastAsia="Arial" w:hAnsi="Arial"/>
                <w:sz w:val="18"/>
                <w:szCs w:val="18"/>
                <w:color w:val="auto"/>
              </w:rPr>
              <w:t>39,948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63,301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77,734</w:t>
            </w:r>
          </w:p>
        </w:tc>
      </w:tr>
      <w:tr>
        <w:trPr>
          <w:trHeight w:val="270"/>
        </w:trPr>
        <w:tc>
          <w:tcPr>
            <w:tcW w:w="4440" w:type="dxa"/>
            <w:vAlign w:val="bottom"/>
            <w:gridSpan w:val="2"/>
          </w:tcPr>
          <w:p>
            <w:pPr>
              <w:ind w:left="380"/>
              <w:spacing w:after="0"/>
              <w:rPr>
                <w:sz w:val="20"/>
                <w:szCs w:val="20"/>
                <w:color w:val="auto"/>
              </w:rPr>
            </w:pPr>
            <w:r>
              <w:rPr>
                <w:rFonts w:ascii="Arial" w:cs="Arial" w:eastAsia="Arial" w:hAnsi="Arial"/>
                <w:sz w:val="18"/>
                <w:szCs w:val="18"/>
                <w:color w:val="auto"/>
              </w:rPr>
              <w:t>Gross PCS connected device additions</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11,265</w:t>
            </w:r>
          </w:p>
        </w:tc>
        <w:tc>
          <w:tcPr>
            <w:tcW w:w="100" w:type="dxa"/>
            <w:vAlign w:val="bottom"/>
          </w:tcPr>
          <w:p>
            <w:pPr>
              <w:spacing w:after="0"/>
              <w:rPr>
                <w:sz w:val="23"/>
                <w:szCs w:val="23"/>
                <w:color w:val="auto"/>
              </w:rPr>
            </w:pPr>
          </w:p>
        </w:tc>
        <w:tc>
          <w:tcPr>
            <w:tcW w:w="1140" w:type="dxa"/>
            <w:vAlign w:val="bottom"/>
            <w:gridSpan w:val="3"/>
          </w:tcPr>
          <w:p>
            <w:pPr>
              <w:jc w:val="right"/>
              <w:ind w:right="99"/>
              <w:spacing w:after="0"/>
              <w:rPr>
                <w:sz w:val="20"/>
                <w:szCs w:val="20"/>
                <w:color w:val="auto"/>
              </w:rPr>
            </w:pPr>
            <w:r>
              <w:rPr>
                <w:rFonts w:ascii="Arial" w:cs="Arial" w:eastAsia="Arial" w:hAnsi="Arial"/>
                <w:sz w:val="18"/>
                <w:szCs w:val="18"/>
                <w:color w:val="auto"/>
              </w:rPr>
              <w:t>12,851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26,522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25,912</w:t>
            </w: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Net PCS total subscriber (losses) additions (2)</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3"/>
                <w:szCs w:val="23"/>
                <w:color w:val="auto"/>
              </w:rPr>
            </w:pPr>
          </w:p>
        </w:tc>
        <w:tc>
          <w:tcPr>
            <w:tcW w:w="1140" w:type="dxa"/>
            <w:vAlign w:val="bottom"/>
            <w:gridSpan w:val="3"/>
          </w:tcPr>
          <w:p>
            <w:pPr>
              <w:jc w:val="right"/>
              <w:ind w:right="99"/>
              <w:spacing w:after="0"/>
              <w:rPr>
                <w:sz w:val="20"/>
                <w:szCs w:val="20"/>
                <w:color w:val="auto"/>
              </w:rPr>
            </w:pPr>
            <w:r>
              <w:rPr>
                <w:rFonts w:ascii="Arial" w:cs="Arial" w:eastAsia="Arial" w:hAnsi="Arial"/>
                <w:sz w:val="18"/>
                <w:szCs w:val="18"/>
                <w:color w:val="auto"/>
              </w:rPr>
              <w:t>10,767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2,234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16,543</w:t>
            </w:r>
          </w:p>
        </w:tc>
      </w:tr>
      <w:tr>
        <w:trPr>
          <w:trHeight w:val="270"/>
        </w:trPr>
        <w:tc>
          <w:tcPr>
            <w:tcW w:w="4440" w:type="dxa"/>
            <w:vAlign w:val="bottom"/>
            <w:gridSpan w:val="2"/>
          </w:tcPr>
          <w:p>
            <w:pPr>
              <w:ind w:left="380"/>
              <w:spacing w:after="0"/>
              <w:rPr>
                <w:sz w:val="20"/>
                <w:szCs w:val="20"/>
                <w:color w:val="auto"/>
              </w:rPr>
            </w:pPr>
            <w:r>
              <w:rPr>
                <w:rFonts w:ascii="Arial" w:cs="Arial" w:eastAsia="Arial" w:hAnsi="Arial"/>
                <w:sz w:val="18"/>
                <w:szCs w:val="18"/>
                <w:color w:val="auto"/>
              </w:rPr>
              <w:t>Net PCS phone (losses) additions</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23"/>
                <w:szCs w:val="23"/>
                <w:color w:val="auto"/>
              </w:rPr>
            </w:pPr>
          </w:p>
        </w:tc>
        <w:tc>
          <w:tcPr>
            <w:tcW w:w="1140" w:type="dxa"/>
            <w:vAlign w:val="bottom"/>
            <w:gridSpan w:val="3"/>
          </w:tcPr>
          <w:p>
            <w:pPr>
              <w:jc w:val="right"/>
              <w:ind w:right="99"/>
              <w:spacing w:after="0"/>
              <w:rPr>
                <w:sz w:val="20"/>
                <w:szCs w:val="20"/>
                <w:color w:val="auto"/>
              </w:rPr>
            </w:pPr>
            <w:r>
              <w:rPr>
                <w:rFonts w:ascii="Arial" w:cs="Arial" w:eastAsia="Arial" w:hAnsi="Arial"/>
                <w:sz w:val="18"/>
                <w:szCs w:val="18"/>
                <w:color w:val="auto"/>
              </w:rPr>
              <w:t>4,069</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(6,278)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3,444</w:t>
            </w:r>
          </w:p>
        </w:tc>
      </w:tr>
      <w:tr>
        <w:trPr>
          <w:trHeight w:val="270"/>
        </w:trPr>
        <w:tc>
          <w:tcPr>
            <w:tcW w:w="4440" w:type="dxa"/>
            <w:vAlign w:val="bottom"/>
            <w:gridSpan w:val="2"/>
          </w:tcPr>
          <w:p>
            <w:pPr>
              <w:ind w:left="380"/>
              <w:spacing w:after="0"/>
              <w:rPr>
                <w:sz w:val="20"/>
                <w:szCs w:val="20"/>
                <w:color w:val="auto"/>
              </w:rPr>
            </w:pPr>
            <w:r>
              <w:rPr>
                <w:rFonts w:ascii="Arial" w:cs="Arial" w:eastAsia="Arial" w:hAnsi="Arial"/>
                <w:sz w:val="18"/>
                <w:szCs w:val="18"/>
                <w:color w:val="auto"/>
              </w:rPr>
              <w:t>Net PCS connected device additions</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23"/>
                <w:szCs w:val="23"/>
                <w:color w:val="auto"/>
              </w:rPr>
            </w:pPr>
          </w:p>
        </w:tc>
        <w:tc>
          <w:tcPr>
            <w:tcW w:w="1140" w:type="dxa"/>
            <w:vAlign w:val="bottom"/>
            <w:gridSpan w:val="3"/>
          </w:tcPr>
          <w:p>
            <w:pPr>
              <w:jc w:val="right"/>
              <w:ind w:right="99"/>
              <w:spacing w:after="0"/>
              <w:rPr>
                <w:sz w:val="20"/>
                <w:szCs w:val="20"/>
                <w:color w:val="auto"/>
              </w:rPr>
            </w:pPr>
            <w:r>
              <w:rPr>
                <w:rFonts w:ascii="Arial" w:cs="Arial" w:eastAsia="Arial" w:hAnsi="Arial"/>
                <w:sz w:val="18"/>
                <w:szCs w:val="18"/>
                <w:color w:val="auto"/>
              </w:rPr>
              <w:t>6,698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8,512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13,099</w:t>
            </w: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PCS monthly retail total churn % (2)</w:t>
            </w: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1.74%</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0"/>
        </w:trPr>
        <w:tc>
          <w:tcPr>
            <w:tcW w:w="4440" w:type="dxa"/>
            <w:vAlign w:val="bottom"/>
            <w:gridSpan w:val="2"/>
          </w:tcPr>
          <w:p>
            <w:pPr>
              <w:ind w:left="380"/>
              <w:spacing w:after="0"/>
              <w:rPr>
                <w:sz w:val="20"/>
                <w:szCs w:val="20"/>
                <w:color w:val="auto"/>
              </w:rPr>
            </w:pPr>
            <w:r>
              <w:rPr>
                <w:rFonts w:ascii="Arial" w:cs="Arial" w:eastAsia="Arial" w:hAnsi="Arial"/>
                <w:sz w:val="18"/>
                <w:szCs w:val="18"/>
                <w:color w:val="auto"/>
              </w:rPr>
              <w:t>PCS monthly phone churn %</w:t>
            </w:r>
          </w:p>
        </w:tc>
        <w:tc>
          <w:tcPr>
            <w:tcW w:w="10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1.62%</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0"/>
        </w:trPr>
        <w:tc>
          <w:tcPr>
            <w:tcW w:w="4440" w:type="dxa"/>
            <w:vAlign w:val="bottom"/>
            <w:gridSpan w:val="2"/>
          </w:tcPr>
          <w:p>
            <w:pPr>
              <w:ind w:left="380"/>
              <w:spacing w:after="0"/>
              <w:rPr>
                <w:sz w:val="20"/>
                <w:szCs w:val="20"/>
                <w:color w:val="auto"/>
              </w:rPr>
            </w:pPr>
            <w:r>
              <w:rPr>
                <w:rFonts w:ascii="Arial" w:cs="Arial" w:eastAsia="Arial" w:hAnsi="Arial"/>
                <w:sz w:val="18"/>
                <w:szCs w:val="18"/>
                <w:color w:val="auto"/>
              </w:rPr>
              <w:t>PCS monthly connected device churn %</w:t>
            </w:r>
          </w:p>
        </w:tc>
        <w:tc>
          <w:tcPr>
            <w:tcW w:w="10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2.88%</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8"/>
                <w:szCs w:val="18"/>
                <w:b w:val="1"/>
                <w:bCs w:val="1"/>
                <w:color w:val="auto"/>
              </w:rPr>
              <w:t>Prepaid:</w:t>
            </w: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Gross PCS subscriber additions</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39,083</w:t>
            </w:r>
          </w:p>
        </w:tc>
        <w:tc>
          <w:tcPr>
            <w:tcW w:w="100" w:type="dxa"/>
            <w:vAlign w:val="bottom"/>
          </w:tcPr>
          <w:p>
            <w:pPr>
              <w:spacing w:after="0"/>
              <w:rPr>
                <w:sz w:val="23"/>
                <w:szCs w:val="23"/>
                <w:color w:val="auto"/>
              </w:rPr>
            </w:pPr>
          </w:p>
        </w:tc>
        <w:tc>
          <w:tcPr>
            <w:tcW w:w="1140" w:type="dxa"/>
            <w:vAlign w:val="bottom"/>
            <w:gridSpan w:val="3"/>
          </w:tcPr>
          <w:p>
            <w:pPr>
              <w:jc w:val="right"/>
              <w:ind w:right="99"/>
              <w:spacing w:after="0"/>
              <w:rPr>
                <w:sz w:val="20"/>
                <w:szCs w:val="20"/>
                <w:color w:val="auto"/>
              </w:rPr>
            </w:pPr>
            <w:r>
              <w:rPr>
                <w:rFonts w:ascii="Arial" w:cs="Arial" w:eastAsia="Arial" w:hAnsi="Arial"/>
                <w:sz w:val="18"/>
                <w:szCs w:val="18"/>
                <w:color w:val="auto"/>
              </w:rPr>
              <w:t>33,753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78,157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74,732</w:t>
            </w: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Net PCS subscriber additions</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10,353</w:t>
            </w:r>
          </w:p>
        </w:tc>
        <w:tc>
          <w:tcPr>
            <w:tcW w:w="100" w:type="dxa"/>
            <w:vAlign w:val="bottom"/>
          </w:tcPr>
          <w:p>
            <w:pPr>
              <w:spacing w:after="0"/>
              <w:rPr>
                <w:sz w:val="23"/>
                <w:szCs w:val="23"/>
                <w:color w:val="auto"/>
              </w:rPr>
            </w:pPr>
          </w:p>
        </w:tc>
        <w:tc>
          <w:tcPr>
            <w:tcW w:w="1140" w:type="dxa"/>
            <w:vAlign w:val="bottom"/>
            <w:gridSpan w:val="3"/>
          </w:tcPr>
          <w:p>
            <w:pPr>
              <w:jc w:val="right"/>
              <w:ind w:right="99"/>
              <w:spacing w:after="0"/>
              <w:rPr>
                <w:sz w:val="20"/>
                <w:szCs w:val="20"/>
                <w:color w:val="auto"/>
              </w:rPr>
            </w:pPr>
            <w:r>
              <w:rPr>
                <w:rFonts w:ascii="Arial" w:cs="Arial" w:eastAsia="Arial" w:hAnsi="Arial"/>
                <w:sz w:val="18"/>
                <w:szCs w:val="18"/>
                <w:color w:val="auto"/>
              </w:rPr>
              <w:t>1,819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15,437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10,335</w:t>
            </w: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8"/>
                <w:szCs w:val="18"/>
                <w:color w:val="auto"/>
              </w:rPr>
              <w:t>PCS monthly retail churn %</w:t>
            </w:r>
          </w:p>
        </w:tc>
        <w:tc>
          <w:tcPr>
            <w:tcW w:w="102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3"/>
                <w:szCs w:val="23"/>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3.97%</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167"/>
        </w:trPr>
        <w:tc>
          <w:tcPr>
            <w:tcW w:w="432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3" w:lineRule="exact"/>
        <w:rPr>
          <w:sz w:val="20"/>
          <w:szCs w:val="20"/>
          <w:color w:val="auto"/>
        </w:rPr>
      </w:pPr>
    </w:p>
    <w:p>
      <w:pPr>
        <w:ind w:left="660" w:hanging="328"/>
        <w:spacing w:after="0" w:line="250"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"POPS" refers to the estimated population of a given geographic area. Market POPS are those within a market area which we are authorized to serve under our Sprint PCS affiliate agreements, and Covered POPS are those covered by our network. The data source for POPS is U.S. census data.</w:t>
      </w:r>
    </w:p>
    <w:p>
      <w:pPr>
        <w:jc w:val="both"/>
        <w:ind w:left="660" w:right="280" w:hanging="328"/>
        <w:spacing w:after="0" w:line="248"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an estimated 4,364 involuntary (nonpayment) postpaid disconnects were accelerated into our second quarter subscriber results due to a change in Sprint collection policy. Excluding this policy change, postpaid net additions for the three and six months ending June 30, 2020 would have been 3,021 and 6,598, respectively, and churn would have been 1.37% and 1.64%, respectively.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with the Three Months Ended June 30,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w w:val="99"/>
              </w:rPr>
              <w:t>Wireless results from operations are summarized as follows: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4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jc w:val="right"/>
              <w:ind w:right="246"/>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34"/>
        </w:trPr>
        <w:tc>
          <w:tcPr>
            <w:tcW w:w="4780" w:type="dxa"/>
            <w:vAlign w:val="bottom"/>
          </w:tcPr>
          <w:p>
            <w:pPr>
              <w:ind w:left="6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jc w:val="right"/>
              <w:ind w:right="106"/>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60"/>
              <w:spacing w:after="0"/>
              <w:rPr>
                <w:sz w:val="20"/>
                <w:szCs w:val="20"/>
                <w:color w:val="auto"/>
              </w:rPr>
            </w:pPr>
            <w:r>
              <w:rPr>
                <w:rFonts w:ascii="Arial" w:cs="Arial" w:eastAsia="Arial" w:hAnsi="Arial"/>
                <w:sz w:val="18"/>
                <w:szCs w:val="18"/>
                <w:color w:val="auto"/>
              </w:rPr>
              <w:t>Wireless revenue:</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780" w:type="dxa"/>
            <w:vAlign w:val="bottom"/>
          </w:tcPr>
          <w:p>
            <w:pPr>
              <w:ind w:left="300"/>
              <w:spacing w:after="0"/>
              <w:rPr>
                <w:sz w:val="20"/>
                <w:szCs w:val="20"/>
                <w:color w:val="auto"/>
              </w:rPr>
            </w:pPr>
            <w:r>
              <w:rPr>
                <w:rFonts w:ascii="Arial" w:cs="Arial" w:eastAsia="Arial" w:hAnsi="Arial"/>
                <w:sz w:val="18"/>
                <w:szCs w:val="18"/>
                <w:color w:val="auto"/>
              </w:rPr>
              <w:t>Gross postpaid billings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102,879</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102,053</w:t>
            </w:r>
          </w:p>
        </w:tc>
        <w:tc>
          <w:tcPr>
            <w:tcW w:w="860" w:type="dxa"/>
            <w:vAlign w:val="bottom"/>
          </w:tcPr>
          <w:p>
            <w:pPr>
              <w:jc w:val="right"/>
              <w:ind w:right="46"/>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270"/>
        </w:trPr>
        <w:tc>
          <w:tcPr>
            <w:tcW w:w="4780" w:type="dxa"/>
            <w:vAlign w:val="bottom"/>
          </w:tcPr>
          <w:p>
            <w:pPr>
              <w:ind w:left="300"/>
              <w:spacing w:after="0"/>
              <w:rPr>
                <w:sz w:val="20"/>
                <w:szCs w:val="20"/>
                <w:color w:val="auto"/>
              </w:rPr>
            </w:pPr>
            <w:r>
              <w:rPr>
                <w:rFonts w:ascii="Arial" w:cs="Arial" w:eastAsia="Arial" w:hAnsi="Arial"/>
                <w:sz w:val="18"/>
                <w:szCs w:val="18"/>
                <w:color w:val="auto"/>
              </w:rPr>
              <w:t>Allocated bad debt</w:t>
            </w:r>
          </w:p>
        </w:tc>
        <w:tc>
          <w:tcPr>
            <w:tcW w:w="2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(6,061)</w:t>
            </w:r>
          </w:p>
        </w:tc>
        <w:tc>
          <w:tcPr>
            <w:tcW w:w="94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(4,274)</w:t>
            </w:r>
          </w:p>
        </w:tc>
        <w:tc>
          <w:tcPr>
            <w:tcW w:w="86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0"/>
        </w:trPr>
        <w:tc>
          <w:tcPr>
            <w:tcW w:w="4780" w:type="dxa"/>
            <w:vAlign w:val="bottom"/>
          </w:tcPr>
          <w:p>
            <w:pPr>
              <w:ind w:left="300"/>
              <w:spacing w:after="0"/>
              <w:rPr>
                <w:sz w:val="20"/>
                <w:szCs w:val="20"/>
                <w:color w:val="auto"/>
              </w:rPr>
            </w:pPr>
            <w:r>
              <w:rPr>
                <w:rFonts w:ascii="Arial" w:cs="Arial" w:eastAsia="Arial" w:hAnsi="Arial"/>
                <w:sz w:val="18"/>
                <w:szCs w:val="18"/>
                <w:color w:val="auto"/>
              </w:rPr>
              <w:t>Amortization of contract asset and other</w:t>
            </w:r>
          </w:p>
        </w:tc>
        <w:tc>
          <w:tcPr>
            <w:tcW w:w="2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(7,001)</w:t>
            </w: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(5,636)</w:t>
            </w:r>
          </w:p>
        </w:tc>
        <w:tc>
          <w:tcPr>
            <w:tcW w:w="860" w:type="dxa"/>
            <w:vAlign w:val="bottom"/>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76"/>
        </w:trPr>
        <w:tc>
          <w:tcPr>
            <w:tcW w:w="4780" w:type="dxa"/>
            <w:vAlign w:val="bottom"/>
          </w:tcPr>
          <w:p>
            <w:pPr>
              <w:ind w:left="300"/>
              <w:spacing w:after="0"/>
              <w:rPr>
                <w:sz w:val="20"/>
                <w:szCs w:val="20"/>
                <w:color w:val="auto"/>
              </w:rPr>
            </w:pPr>
            <w:r>
              <w:rPr>
                <w:rFonts w:ascii="Arial" w:cs="Arial" w:eastAsia="Arial" w:hAnsi="Arial"/>
                <w:sz w:val="18"/>
                <w:szCs w:val="18"/>
                <w:color w:val="auto"/>
              </w:rPr>
              <w:t>Sprint management fee and net service fee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(16,548)</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(16,146)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64"/>
        </w:trPr>
        <w:tc>
          <w:tcPr>
            <w:tcW w:w="4780" w:type="dxa"/>
            <w:vAlign w:val="bottom"/>
          </w:tcPr>
          <w:p>
            <w:pPr>
              <w:ind w:left="60"/>
              <w:spacing w:after="0"/>
              <w:rPr>
                <w:sz w:val="20"/>
                <w:szCs w:val="20"/>
                <w:color w:val="auto"/>
              </w:rPr>
            </w:pPr>
            <w:r>
              <w:rPr>
                <w:rFonts w:ascii="Arial" w:cs="Arial" w:eastAsia="Arial" w:hAnsi="Arial"/>
                <w:sz w:val="18"/>
                <w:szCs w:val="18"/>
                <w:color w:val="auto"/>
              </w:rPr>
              <w:t>Total postpaid service revenue</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73,269</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75,997</w:t>
            </w: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258"/>
        </w:trPr>
        <w:tc>
          <w:tcPr>
            <w:tcW w:w="4780" w:type="dxa"/>
            <w:vAlign w:val="bottom"/>
          </w:tcPr>
          <w:p>
            <w:pPr>
              <w:ind w:left="300"/>
              <w:spacing w:after="0"/>
              <w:rPr>
                <w:sz w:val="20"/>
                <w:szCs w:val="20"/>
                <w:color w:val="auto"/>
              </w:rPr>
            </w:pPr>
            <w:r>
              <w:rPr>
                <w:rFonts w:ascii="Arial" w:cs="Arial" w:eastAsia="Arial" w:hAnsi="Arial"/>
                <w:sz w:val="18"/>
                <w:szCs w:val="18"/>
                <w:color w:val="auto"/>
              </w:rPr>
              <w:t>Gross prepaid billings</w:t>
            </w:r>
          </w:p>
        </w:tc>
        <w:tc>
          <w:tcPr>
            <w:tcW w:w="22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30,966</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30,328</w:t>
            </w:r>
          </w:p>
        </w:tc>
        <w:tc>
          <w:tcPr>
            <w:tcW w:w="860" w:type="dxa"/>
            <w:vAlign w:val="bottom"/>
          </w:tcPr>
          <w:p>
            <w:pPr>
              <w:jc w:val="right"/>
              <w:ind w:right="46"/>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270"/>
        </w:trPr>
        <w:tc>
          <w:tcPr>
            <w:tcW w:w="4780" w:type="dxa"/>
            <w:vAlign w:val="bottom"/>
          </w:tcPr>
          <w:p>
            <w:pPr>
              <w:ind w:left="300"/>
              <w:spacing w:after="0"/>
              <w:rPr>
                <w:sz w:val="20"/>
                <w:szCs w:val="20"/>
                <w:color w:val="auto"/>
              </w:rPr>
            </w:pPr>
            <w:r>
              <w:rPr>
                <w:rFonts w:ascii="Arial" w:cs="Arial" w:eastAsia="Arial" w:hAnsi="Arial"/>
                <w:sz w:val="18"/>
                <w:szCs w:val="18"/>
                <w:color w:val="auto"/>
              </w:rPr>
              <w:t>Amortization of contract asset and other</w:t>
            </w:r>
          </w:p>
        </w:tc>
        <w:tc>
          <w:tcPr>
            <w:tcW w:w="2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(16,601)</w:t>
            </w:r>
          </w:p>
        </w:tc>
        <w:tc>
          <w:tcPr>
            <w:tcW w:w="940" w:type="dxa"/>
            <w:vAlign w:val="bottom"/>
          </w:tcPr>
          <w:p>
            <w:pPr>
              <w:jc w:val="right"/>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(14,814)</w:t>
            </w:r>
          </w:p>
        </w:tc>
        <w:tc>
          <w:tcPr>
            <w:tcW w:w="86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76"/>
        </w:trPr>
        <w:tc>
          <w:tcPr>
            <w:tcW w:w="4780" w:type="dxa"/>
            <w:vAlign w:val="bottom"/>
          </w:tcPr>
          <w:p>
            <w:pPr>
              <w:ind w:left="300"/>
              <w:spacing w:after="0"/>
              <w:rPr>
                <w:sz w:val="20"/>
                <w:szCs w:val="20"/>
                <w:color w:val="auto"/>
              </w:rPr>
            </w:pPr>
            <w:r>
              <w:rPr>
                <w:rFonts w:ascii="Arial" w:cs="Arial" w:eastAsia="Arial" w:hAnsi="Arial"/>
                <w:sz w:val="18"/>
                <w:szCs w:val="18"/>
                <w:color w:val="auto"/>
              </w:rPr>
              <w:t>Sprint management fee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(1,933)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(1,911)</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3"/>
        </w:trPr>
        <w:tc>
          <w:tcPr>
            <w:tcW w:w="4780" w:type="dxa"/>
            <w:vAlign w:val="bottom"/>
          </w:tcPr>
          <w:p>
            <w:pPr>
              <w:ind w:left="60"/>
              <w:spacing w:after="0"/>
              <w:rPr>
                <w:sz w:val="20"/>
                <w:szCs w:val="20"/>
                <w:color w:val="auto"/>
              </w:rPr>
            </w:pPr>
            <w:r>
              <w:rPr>
                <w:rFonts w:ascii="Arial" w:cs="Arial" w:eastAsia="Arial" w:hAnsi="Arial"/>
                <w:sz w:val="18"/>
                <w:szCs w:val="18"/>
                <w:color w:val="auto"/>
              </w:rPr>
              <w:t>Total prepaid service revenue</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12,432</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13,603</w:t>
            </w: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64"/>
        </w:trPr>
        <w:tc>
          <w:tcPr>
            <w:tcW w:w="4780" w:type="dxa"/>
            <w:vAlign w:val="bottom"/>
          </w:tcPr>
          <w:p>
            <w:pPr>
              <w:ind w:left="300"/>
              <w:spacing w:after="0"/>
              <w:rPr>
                <w:sz w:val="20"/>
                <w:szCs w:val="20"/>
                <w:color w:val="auto"/>
              </w:rPr>
            </w:pPr>
            <w:r>
              <w:rPr>
                <w:rFonts w:ascii="Arial" w:cs="Arial" w:eastAsia="Arial" w:hAnsi="Arial"/>
                <w:sz w:val="18"/>
                <w:szCs w:val="18"/>
                <w:color w:val="auto"/>
              </w:rPr>
              <w:t>Travel and other</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24,438</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4,971</w:t>
            </w: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57"/>
        </w:trPr>
        <w:tc>
          <w:tcPr>
            <w:tcW w:w="4780" w:type="dxa"/>
            <w:vAlign w:val="bottom"/>
          </w:tcPr>
          <w:p>
            <w:pPr>
              <w:ind w:left="420"/>
              <w:spacing w:after="0"/>
              <w:rPr>
                <w:sz w:val="20"/>
                <w:szCs w:val="20"/>
                <w:color w:val="auto"/>
              </w:rPr>
            </w:pPr>
            <w:r>
              <w:rPr>
                <w:rFonts w:ascii="Arial" w:cs="Arial" w:eastAsia="Arial" w:hAnsi="Arial"/>
                <w:sz w:val="18"/>
                <w:szCs w:val="18"/>
                <w:color w:val="auto"/>
              </w:rPr>
              <w:t>Wireless service revenue and other</w:t>
            </w:r>
          </w:p>
        </w:tc>
        <w:tc>
          <w:tcPr>
            <w:tcW w:w="22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110,139</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94,571</w:t>
            </w:r>
          </w:p>
        </w:tc>
        <w:tc>
          <w:tcPr>
            <w:tcW w:w="860" w:type="dxa"/>
            <w:vAlign w:val="bottom"/>
          </w:tcPr>
          <w:p>
            <w:pPr>
              <w:jc w:val="right"/>
              <w:ind w:right="46"/>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276"/>
        </w:trPr>
        <w:tc>
          <w:tcPr>
            <w:tcW w:w="4780" w:type="dxa"/>
            <w:vAlign w:val="bottom"/>
          </w:tcPr>
          <w:p>
            <w:pPr>
              <w:ind w:left="300"/>
              <w:spacing w:after="0"/>
              <w:rPr>
                <w:sz w:val="20"/>
                <w:szCs w:val="20"/>
                <w:color w:val="auto"/>
              </w:rPr>
            </w:pPr>
            <w:r>
              <w:rPr>
                <w:rFonts w:ascii="Arial" w:cs="Arial" w:eastAsia="Arial" w:hAnsi="Arial"/>
                <w:sz w:val="18"/>
                <w:szCs w:val="18"/>
                <w:color w:val="auto"/>
              </w:rPr>
              <w:t>Equipment revenue</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9,610</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16,548</w:t>
            </w: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58"/>
        </w:trPr>
        <w:tc>
          <w:tcPr>
            <w:tcW w:w="4780" w:type="dxa"/>
            <w:vAlign w:val="bottom"/>
          </w:tcPr>
          <w:p>
            <w:pPr>
              <w:ind w:left="60"/>
              <w:spacing w:after="0"/>
              <w:rPr>
                <w:sz w:val="20"/>
                <w:szCs w:val="20"/>
                <w:color w:val="auto"/>
              </w:rPr>
            </w:pPr>
            <w:r>
              <w:rPr>
                <w:rFonts w:ascii="Arial" w:cs="Arial" w:eastAsia="Arial" w:hAnsi="Arial"/>
                <w:sz w:val="18"/>
                <w:szCs w:val="18"/>
                <w:color w:val="auto"/>
              </w:rPr>
              <w:t>Total wireless revenue</w:t>
            </w:r>
          </w:p>
        </w:tc>
        <w:tc>
          <w:tcPr>
            <w:tcW w:w="220" w:type="dxa"/>
            <w:vAlign w:val="bottom"/>
          </w:tcPr>
          <w:p>
            <w:pPr>
              <w:spacing w:after="0"/>
              <w:rPr>
                <w:sz w:val="22"/>
                <w:szCs w:val="22"/>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119,749</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111,119</w:t>
            </w:r>
          </w:p>
        </w:tc>
        <w:tc>
          <w:tcPr>
            <w:tcW w:w="860" w:type="dxa"/>
            <w:vAlign w:val="bottom"/>
          </w:tcPr>
          <w:p>
            <w:pPr>
              <w:jc w:val="right"/>
              <w:ind w:right="46"/>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55"/>
        </w:trPr>
        <w:tc>
          <w:tcPr>
            <w:tcW w:w="4780" w:type="dxa"/>
            <w:vAlign w:val="bottom"/>
          </w:tcPr>
          <w:p>
            <w:pPr>
              <w:ind w:left="60"/>
              <w:spacing w:after="0"/>
              <w:rPr>
                <w:sz w:val="20"/>
                <w:szCs w:val="20"/>
                <w:color w:val="auto"/>
              </w:rPr>
            </w:pPr>
            <w:r>
              <w:rPr>
                <w:rFonts w:ascii="Arial" w:cs="Arial" w:eastAsia="Arial" w:hAnsi="Arial"/>
                <w:sz w:val="18"/>
                <w:szCs w:val="18"/>
                <w:color w:val="auto"/>
              </w:rPr>
              <w:t>Wireless operating expenses:</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780" w:type="dxa"/>
            <w:vAlign w:val="bottom"/>
          </w:tcPr>
          <w:p>
            <w:pPr>
              <w:ind w:left="20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33,237</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32,668</w:t>
            </w:r>
          </w:p>
        </w:tc>
        <w:tc>
          <w:tcPr>
            <w:tcW w:w="860" w:type="dxa"/>
            <w:vAlign w:val="bottom"/>
          </w:tcPr>
          <w:p>
            <w:pPr>
              <w:jc w:val="right"/>
              <w:ind w:right="46"/>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270"/>
        </w:trPr>
        <w:tc>
          <w:tcPr>
            <w:tcW w:w="478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9,437</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15,742</w:t>
            </w:r>
          </w:p>
        </w:tc>
        <w:tc>
          <w:tcPr>
            <w:tcW w:w="860" w:type="dxa"/>
            <w:vAlign w:val="bottom"/>
          </w:tcPr>
          <w:p>
            <w:pPr>
              <w:jc w:val="right"/>
              <w:ind w:right="46"/>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0"/>
        </w:trPr>
        <w:tc>
          <w:tcPr>
            <w:tcW w:w="47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9,783</w:t>
            </w:r>
          </w:p>
        </w:tc>
        <w:tc>
          <w:tcPr>
            <w:tcW w:w="940" w:type="dxa"/>
            <w:vAlign w:val="bottom"/>
          </w:tcPr>
          <w:p>
            <w:pPr>
              <w:jc w:val="right"/>
              <w:ind w:right="26"/>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10,318</w:t>
            </w:r>
          </w:p>
        </w:tc>
        <w:tc>
          <w:tcPr>
            <w:tcW w:w="860" w:type="dxa"/>
            <w:vAlign w:val="bottom"/>
          </w:tcPr>
          <w:p>
            <w:pPr>
              <w:jc w:val="right"/>
              <w:ind w:right="46"/>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6"/>
        </w:trPr>
        <w:tc>
          <w:tcPr>
            <w:tcW w:w="4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23,420</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31,463</w:t>
            </w: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63"/>
        </w:trPr>
        <w:tc>
          <w:tcPr>
            <w:tcW w:w="4780" w:type="dxa"/>
            <w:vAlign w:val="bottom"/>
          </w:tcPr>
          <w:p>
            <w:pPr>
              <w:ind w:left="60"/>
              <w:spacing w:after="0"/>
              <w:rPr>
                <w:sz w:val="20"/>
                <w:szCs w:val="20"/>
                <w:color w:val="auto"/>
              </w:rPr>
            </w:pPr>
            <w:r>
              <w:rPr>
                <w:rFonts w:ascii="Arial" w:cs="Arial" w:eastAsia="Arial" w:hAnsi="Arial"/>
                <w:sz w:val="18"/>
                <w:szCs w:val="18"/>
                <w:color w:val="auto"/>
              </w:rPr>
              <w:t>Total wireless operating expenses</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75,877</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63.4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90,191</w:t>
            </w: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81.2</w:t>
            </w:r>
          </w:p>
        </w:tc>
        <w:tc>
          <w:tcPr>
            <w:tcW w:w="0" w:type="dxa"/>
            <w:vAlign w:val="bottom"/>
          </w:tcPr>
          <w:p>
            <w:pPr>
              <w:spacing w:after="0"/>
              <w:rPr>
                <w:sz w:val="1"/>
                <w:szCs w:val="1"/>
                <w:color w:val="auto"/>
              </w:rPr>
            </w:pPr>
          </w:p>
        </w:tc>
      </w:tr>
      <w:tr>
        <w:trPr>
          <w:trHeight w:val="263"/>
        </w:trPr>
        <w:tc>
          <w:tcPr>
            <w:tcW w:w="4780" w:type="dxa"/>
            <w:vAlign w:val="bottom"/>
          </w:tcPr>
          <w:p>
            <w:pPr>
              <w:ind w:left="60"/>
              <w:spacing w:after="0"/>
              <w:rPr>
                <w:sz w:val="20"/>
                <w:szCs w:val="20"/>
                <w:color w:val="auto"/>
              </w:rPr>
            </w:pPr>
            <w:r>
              <w:rPr>
                <w:rFonts w:ascii="Arial" w:cs="Arial" w:eastAsia="Arial" w:hAnsi="Arial"/>
                <w:sz w:val="18"/>
                <w:szCs w:val="18"/>
                <w:color w:val="auto"/>
              </w:rPr>
              <w:t>Wireless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43,872</w:t>
            </w: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20,928</w:t>
            </w:r>
          </w:p>
        </w:tc>
        <w:tc>
          <w:tcPr>
            <w:tcW w:w="86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34290</wp:posOffset>
            </wp:positionV>
            <wp:extent cx="1405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73" w:lineRule="exact"/>
        <w:rPr>
          <w:sz w:val="20"/>
          <w:szCs w:val="20"/>
          <w:color w:val="auto"/>
        </w:rPr>
      </w:pPr>
    </w:p>
    <w:p>
      <w:pPr>
        <w:ind w:left="1160" w:hanging="1106"/>
        <w:spacing w:after="0"/>
        <w:tabs>
          <w:tab w:leader="none" w:pos="11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34290</wp:posOffset>
            </wp:positionV>
            <wp:extent cx="1405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49"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840" w:type="dxa"/>
            <w:vAlign w:val="bottom"/>
          </w:tcPr>
          <w:p>
            <w:pPr>
              <w:jc w:val="right"/>
              <w:ind w:right="339"/>
              <w:spacing w:after="0"/>
              <w:rPr>
                <w:sz w:val="20"/>
                <w:szCs w:val="20"/>
                <w:color w:val="auto"/>
              </w:rPr>
            </w:pPr>
            <w:r>
              <w:rPr>
                <w:rFonts w:ascii="Arial" w:cs="Arial" w:eastAsia="Arial" w:hAnsi="Arial"/>
                <w:sz w:val="16"/>
                <w:szCs w:val="16"/>
                <w:color w:val="auto"/>
              </w:rPr>
              <w:t>826</w:t>
            </w:r>
          </w:p>
        </w:tc>
        <w:tc>
          <w:tcPr>
            <w:tcW w:w="86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70"/>
        </w:trPr>
        <w:tc>
          <w:tcPr>
            <w:tcW w:w="840" w:type="dxa"/>
            <w:vAlign w:val="bottom"/>
          </w:tcPr>
          <w:p>
            <w:pPr>
              <w:jc w:val="right"/>
              <w:ind w:right="339"/>
              <w:spacing w:after="0"/>
              <w:rPr>
                <w:sz w:val="20"/>
                <w:szCs w:val="20"/>
                <w:color w:val="auto"/>
              </w:rPr>
            </w:pPr>
            <w:r>
              <w:rPr>
                <w:rFonts w:ascii="Arial" w:cs="Arial" w:eastAsia="Arial" w:hAnsi="Arial"/>
                <w:sz w:val="16"/>
                <w:szCs w:val="16"/>
                <w:color w:val="auto"/>
                <w:w w:val="99"/>
              </w:rPr>
              <w:t>1,787</w:t>
            </w:r>
          </w:p>
        </w:tc>
        <w:tc>
          <w:tcPr>
            <w:tcW w:w="860" w:type="dxa"/>
            <w:vAlign w:val="bottom"/>
          </w:tcPr>
          <w:p>
            <w:pPr>
              <w:jc w:val="right"/>
              <w:spacing w:after="0"/>
              <w:rPr>
                <w:sz w:val="20"/>
                <w:szCs w:val="20"/>
                <w:color w:val="auto"/>
              </w:rPr>
            </w:pPr>
            <w:r>
              <w:rPr>
                <w:rFonts w:ascii="Arial" w:cs="Arial" w:eastAsia="Arial" w:hAnsi="Arial"/>
                <w:sz w:val="16"/>
                <w:szCs w:val="16"/>
                <w:color w:val="auto"/>
              </w:rPr>
              <w:t>41.8 %</w:t>
            </w:r>
          </w:p>
        </w:tc>
      </w:tr>
      <w:tr>
        <w:trPr>
          <w:trHeight w:val="270"/>
        </w:trPr>
        <w:tc>
          <w:tcPr>
            <w:tcW w:w="840" w:type="dxa"/>
            <w:vAlign w:val="bottom"/>
          </w:tcPr>
          <w:p>
            <w:pPr>
              <w:jc w:val="right"/>
              <w:ind w:right="339"/>
              <w:spacing w:after="0"/>
              <w:rPr>
                <w:sz w:val="20"/>
                <w:szCs w:val="20"/>
                <w:color w:val="auto"/>
              </w:rPr>
            </w:pPr>
            <w:r>
              <w:rPr>
                <w:rFonts w:ascii="Arial" w:cs="Arial" w:eastAsia="Arial" w:hAnsi="Arial"/>
                <w:sz w:val="16"/>
                <w:szCs w:val="16"/>
                <w:color w:val="auto"/>
                <w:w w:val="99"/>
              </w:rPr>
              <w:t>1,365</w:t>
            </w:r>
          </w:p>
        </w:tc>
        <w:tc>
          <w:tcPr>
            <w:tcW w:w="860" w:type="dxa"/>
            <w:vAlign w:val="bottom"/>
          </w:tcPr>
          <w:p>
            <w:pPr>
              <w:jc w:val="right"/>
              <w:spacing w:after="0"/>
              <w:rPr>
                <w:sz w:val="20"/>
                <w:szCs w:val="20"/>
                <w:color w:val="auto"/>
              </w:rPr>
            </w:pPr>
            <w:r>
              <w:rPr>
                <w:rFonts w:ascii="Arial" w:cs="Arial" w:eastAsia="Arial" w:hAnsi="Arial"/>
                <w:sz w:val="16"/>
                <w:szCs w:val="16"/>
                <w:color w:val="auto"/>
              </w:rPr>
              <w:t>24.2 %</w:t>
            </w:r>
          </w:p>
        </w:tc>
      </w:tr>
      <w:tr>
        <w:trPr>
          <w:trHeight w:val="270"/>
        </w:trPr>
        <w:tc>
          <w:tcPr>
            <w:tcW w:w="840" w:type="dxa"/>
            <w:vAlign w:val="bottom"/>
          </w:tcPr>
          <w:p>
            <w:pPr>
              <w:jc w:val="right"/>
              <w:ind w:right="339"/>
              <w:spacing w:after="0"/>
              <w:rPr>
                <w:sz w:val="20"/>
                <w:szCs w:val="20"/>
                <w:color w:val="auto"/>
              </w:rPr>
            </w:pPr>
            <w:r>
              <w:rPr>
                <w:rFonts w:ascii="Arial" w:cs="Arial" w:eastAsia="Arial" w:hAnsi="Arial"/>
                <w:sz w:val="16"/>
                <w:szCs w:val="16"/>
                <w:color w:val="auto"/>
              </w:rPr>
              <w:t>402</w:t>
            </w:r>
          </w:p>
        </w:tc>
        <w:tc>
          <w:tcPr>
            <w:tcW w:w="860" w:type="dxa"/>
            <w:vAlign w:val="bottom"/>
          </w:tcPr>
          <w:p>
            <w:pPr>
              <w:jc w:val="right"/>
              <w:spacing w:after="0"/>
              <w:rPr>
                <w:sz w:val="20"/>
                <w:szCs w:val="20"/>
                <w:color w:val="auto"/>
              </w:rPr>
            </w:pPr>
            <w:r>
              <w:rPr>
                <w:rFonts w:ascii="Arial" w:cs="Arial" w:eastAsia="Arial" w:hAnsi="Arial"/>
                <w:sz w:val="16"/>
                <w:szCs w:val="16"/>
                <w:color w:val="auto"/>
              </w:rPr>
              <w:t>2.5 %</w:t>
            </w:r>
          </w:p>
        </w:tc>
      </w:tr>
      <w:tr>
        <w:trPr>
          <w:trHeight w:val="283"/>
        </w:trPr>
        <w:tc>
          <w:tcPr>
            <w:tcW w:w="840" w:type="dxa"/>
            <w:vAlign w:val="bottom"/>
          </w:tcPr>
          <w:p>
            <w:pPr>
              <w:jc w:val="right"/>
              <w:ind w:right="299"/>
              <w:spacing w:after="0"/>
              <w:rPr>
                <w:sz w:val="20"/>
                <w:szCs w:val="20"/>
                <w:color w:val="auto"/>
              </w:rPr>
            </w:pPr>
            <w:r>
              <w:rPr>
                <w:rFonts w:ascii="Arial" w:cs="Arial" w:eastAsia="Arial" w:hAnsi="Arial"/>
                <w:sz w:val="16"/>
                <w:szCs w:val="16"/>
                <w:color w:val="auto"/>
                <w:w w:val="86"/>
              </w:rPr>
              <w:t>(2,728)</w:t>
            </w:r>
          </w:p>
        </w:tc>
        <w:tc>
          <w:tcPr>
            <w:tcW w:w="8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83"/>
        </w:trPr>
        <w:tc>
          <w:tcPr>
            <w:tcW w:w="840" w:type="dxa"/>
            <w:vAlign w:val="bottom"/>
          </w:tcPr>
          <w:p>
            <w:pPr>
              <w:jc w:val="right"/>
              <w:ind w:right="339"/>
              <w:spacing w:after="0"/>
              <w:rPr>
                <w:sz w:val="20"/>
                <w:szCs w:val="20"/>
                <w:color w:val="auto"/>
              </w:rPr>
            </w:pPr>
            <w:r>
              <w:rPr>
                <w:rFonts w:ascii="Arial" w:cs="Arial" w:eastAsia="Arial" w:hAnsi="Arial"/>
                <w:sz w:val="16"/>
                <w:szCs w:val="16"/>
                <w:color w:val="auto"/>
              </w:rPr>
              <w:t>638</w:t>
            </w:r>
          </w:p>
        </w:tc>
        <w:tc>
          <w:tcPr>
            <w:tcW w:w="860" w:type="dxa"/>
            <w:vAlign w:val="bottom"/>
          </w:tcPr>
          <w:p>
            <w:pPr>
              <w:jc w:val="right"/>
              <w:spacing w:after="0"/>
              <w:rPr>
                <w:sz w:val="20"/>
                <w:szCs w:val="20"/>
                <w:color w:val="auto"/>
              </w:rPr>
            </w:pPr>
            <w:r>
              <w:rPr>
                <w:rFonts w:ascii="Arial" w:cs="Arial" w:eastAsia="Arial" w:hAnsi="Arial"/>
                <w:sz w:val="16"/>
                <w:szCs w:val="16"/>
                <w:color w:val="auto"/>
              </w:rPr>
              <w:t>2.1 %</w:t>
            </w:r>
          </w:p>
        </w:tc>
      </w:tr>
      <w:tr>
        <w:trPr>
          <w:trHeight w:val="270"/>
        </w:trPr>
        <w:tc>
          <w:tcPr>
            <w:tcW w:w="840" w:type="dxa"/>
            <w:vAlign w:val="bottom"/>
          </w:tcPr>
          <w:p>
            <w:pPr>
              <w:jc w:val="right"/>
              <w:ind w:right="339"/>
              <w:spacing w:after="0"/>
              <w:rPr>
                <w:sz w:val="20"/>
                <w:szCs w:val="20"/>
                <w:color w:val="auto"/>
              </w:rPr>
            </w:pPr>
            <w:r>
              <w:rPr>
                <w:rFonts w:ascii="Arial" w:cs="Arial" w:eastAsia="Arial" w:hAnsi="Arial"/>
                <w:sz w:val="16"/>
                <w:szCs w:val="16"/>
                <w:color w:val="auto"/>
                <w:w w:val="99"/>
              </w:rPr>
              <w:t>1,787</w:t>
            </w:r>
          </w:p>
        </w:tc>
        <w:tc>
          <w:tcPr>
            <w:tcW w:w="860" w:type="dxa"/>
            <w:vAlign w:val="bottom"/>
          </w:tcPr>
          <w:p>
            <w:pPr>
              <w:jc w:val="right"/>
              <w:spacing w:after="0"/>
              <w:rPr>
                <w:sz w:val="20"/>
                <w:szCs w:val="20"/>
                <w:color w:val="auto"/>
              </w:rPr>
            </w:pPr>
            <w:r>
              <w:rPr>
                <w:rFonts w:ascii="Arial" w:cs="Arial" w:eastAsia="Arial" w:hAnsi="Arial"/>
                <w:sz w:val="16"/>
                <w:szCs w:val="16"/>
                <w:color w:val="auto"/>
              </w:rPr>
              <w:t>12.1 %</w:t>
            </w:r>
          </w:p>
        </w:tc>
      </w:tr>
    </w:tbl>
    <w:p>
      <w:pPr>
        <w:spacing w:after="0" w:line="64" w:lineRule="exact"/>
        <w:rPr>
          <w:sz w:val="20"/>
          <w:szCs w:val="20"/>
          <w:color w:val="auto"/>
        </w:rPr>
      </w:pPr>
    </w:p>
    <w:p>
      <w:pPr>
        <w:ind w:left="1400" w:hanging="1072"/>
        <w:spacing w:after="0"/>
        <w:tabs>
          <w:tab w:leader="none" w:pos="1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1.2 %</w:t>
      </w:r>
    </w:p>
    <w:p>
      <w:pPr>
        <w:spacing w:after="0" w:line="122"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6"/>
          <w:szCs w:val="16"/>
          <w:color w:val="auto"/>
        </w:rPr>
        <w:t>(1,171)</w:t>
      </w:r>
      <w:r>
        <w:rPr>
          <w:rFonts w:ascii="Arial" w:cs="Arial" w:eastAsia="Arial" w:hAnsi="Arial"/>
          <w:sz w:val="14"/>
          <w:szCs w:val="14"/>
          <w:color w:val="auto"/>
        </w:rPr>
        <w:t>(8.6)%</w:t>
      </w:r>
    </w:p>
    <w:p>
      <w:pPr>
        <w:spacing w:after="0" w:line="99"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19,467</w:t>
      </w:r>
      <w:r>
        <w:rPr>
          <w:rFonts w:ascii="Arial" w:cs="Arial" w:eastAsia="Arial" w:hAnsi="Arial"/>
          <w:sz w:val="14"/>
          <w:szCs w:val="14"/>
          <w:color w:val="auto"/>
        </w:rPr>
        <w:t>391.6 %</w:t>
      </w:r>
    </w:p>
    <w:p>
      <w:pPr>
        <w:spacing w:after="0" w:line="99"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15,568</w:t>
      </w:r>
      <w:r>
        <w:rPr>
          <w:rFonts w:ascii="Arial" w:cs="Arial" w:eastAsia="Arial" w:hAnsi="Arial"/>
          <w:sz w:val="14"/>
          <w:szCs w:val="14"/>
          <w:color w:val="auto"/>
        </w:rPr>
        <w:t>16.5 %</w:t>
      </w:r>
    </w:p>
    <w:p>
      <w:pPr>
        <w:spacing w:after="0" w:line="86"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6"/>
          <w:szCs w:val="16"/>
          <w:color w:val="auto"/>
        </w:rPr>
        <w:t>(6,938)</w:t>
      </w:r>
      <w:r>
        <w:rPr>
          <w:rFonts w:ascii="Arial" w:cs="Arial" w:eastAsia="Arial" w:hAnsi="Arial"/>
          <w:sz w:val="14"/>
          <w:szCs w:val="14"/>
          <w:color w:val="auto"/>
        </w:rPr>
        <w:t>(41.9)%</w:t>
      </w:r>
    </w:p>
    <w:p>
      <w:pPr>
        <w:spacing w:after="0" w:line="100" w:lineRule="exact"/>
        <w:rPr>
          <w:sz w:val="20"/>
          <w:szCs w:val="20"/>
          <w:color w:val="auto"/>
        </w:rPr>
      </w:pPr>
    </w:p>
    <w:p>
      <w:pPr>
        <w:ind w:left="120"/>
        <w:spacing w:after="0"/>
        <w:tabs>
          <w:tab w:leader="none" w:pos="1380" w:val="left"/>
        </w:tabs>
        <w:rPr>
          <w:sz w:val="20"/>
          <w:szCs w:val="20"/>
          <w:color w:val="auto"/>
        </w:rPr>
      </w:pPr>
      <w:r>
        <w:rPr>
          <w:rFonts w:ascii="Arial" w:cs="Arial" w:eastAsia="Arial" w:hAnsi="Arial"/>
          <w:sz w:val="14"/>
          <w:szCs w:val="14"/>
          <w:color w:val="auto"/>
        </w:rPr>
        <w:t>8,630</w:t>
      </w:r>
      <w:r>
        <w:rPr>
          <w:sz w:val="20"/>
          <w:szCs w:val="20"/>
          <w:color w:val="auto"/>
        </w:rPr>
        <w:tab/>
      </w:r>
      <w:r>
        <w:rPr>
          <w:rFonts w:ascii="Arial" w:cs="Arial" w:eastAsia="Arial" w:hAnsi="Arial"/>
          <w:sz w:val="14"/>
          <w:szCs w:val="14"/>
          <w:color w:val="auto"/>
        </w:rPr>
        <w:t>7.8 %</w:t>
      </w:r>
    </w:p>
    <w:p>
      <w:pPr>
        <w:spacing w:after="0" w:line="379" w:lineRule="exact"/>
        <w:rPr>
          <w:sz w:val="20"/>
          <w:szCs w:val="20"/>
          <w:color w:val="auto"/>
        </w:rPr>
      </w:pPr>
    </w:p>
    <w:p>
      <w:pPr>
        <w:ind w:left="1400" w:hanging="1153"/>
        <w:spacing w:after="0"/>
        <w:tabs>
          <w:tab w:leader="none" w:pos="1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1.7 %</w:t>
      </w:r>
    </w:p>
    <w:p>
      <w:pPr>
        <w:spacing w:after="0" w:line="109"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6"/>
          <w:szCs w:val="16"/>
          <w:color w:val="auto"/>
        </w:rPr>
        <w:t>(6,305)</w:t>
      </w:r>
      <w:r>
        <w:rPr>
          <w:rFonts w:ascii="Arial" w:cs="Arial" w:eastAsia="Arial" w:hAnsi="Arial"/>
          <w:sz w:val="14"/>
          <w:szCs w:val="14"/>
          <w:color w:val="auto"/>
        </w:rPr>
        <w:t>(40.1)%</w:t>
      </w:r>
    </w:p>
    <w:p>
      <w:pPr>
        <w:spacing w:after="0" w:line="86" w:lineRule="exact"/>
        <w:rPr>
          <w:sz w:val="20"/>
          <w:szCs w:val="20"/>
          <w:color w:val="auto"/>
        </w:rPr>
      </w:pPr>
    </w:p>
    <w:p>
      <w:pPr>
        <w:ind w:left="1340" w:hanging="1147"/>
        <w:spacing w:after="0"/>
        <w:tabs>
          <w:tab w:leader="none" w:pos="1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(5.2)%</w:t>
      </w:r>
    </w:p>
    <w:p>
      <w:pPr>
        <w:spacing w:after="0" w:line="109"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6"/>
          <w:szCs w:val="16"/>
          <w:color w:val="auto"/>
        </w:rPr>
        <w:t>(8,043)</w:t>
      </w:r>
      <w:r>
        <w:rPr>
          <w:rFonts w:ascii="Arial" w:cs="Arial" w:eastAsia="Arial" w:hAnsi="Arial"/>
          <w:sz w:val="14"/>
          <w:szCs w:val="14"/>
          <w:color w:val="auto"/>
        </w:rPr>
        <w:t>(25.6)%</w:t>
      </w:r>
    </w:p>
    <w:p>
      <w:pPr>
        <w:spacing w:after="0" w:line="100" w:lineRule="exact"/>
        <w:rPr>
          <w:sz w:val="20"/>
          <w:szCs w:val="20"/>
          <w:color w:val="auto"/>
        </w:rPr>
      </w:pPr>
    </w:p>
    <w:p>
      <w:pPr>
        <w:spacing w:after="0"/>
        <w:tabs>
          <w:tab w:leader="none" w:pos="1240" w:val="left"/>
        </w:tabs>
        <w:rPr>
          <w:sz w:val="20"/>
          <w:szCs w:val="20"/>
          <w:color w:val="auto"/>
        </w:rPr>
      </w:pPr>
      <w:r>
        <w:rPr>
          <w:rFonts w:ascii="Arial" w:cs="Arial" w:eastAsia="Arial" w:hAnsi="Arial"/>
          <w:sz w:val="14"/>
          <w:szCs w:val="14"/>
          <w:color w:val="auto"/>
        </w:rPr>
        <w:t>(14,314)</w:t>
      </w:r>
      <w:r>
        <w:rPr>
          <w:sz w:val="20"/>
          <w:szCs w:val="20"/>
          <w:color w:val="auto"/>
        </w:rPr>
        <w:tab/>
      </w:r>
      <w:r>
        <w:rPr>
          <w:rFonts w:ascii="Arial" w:cs="Arial" w:eastAsia="Arial" w:hAnsi="Arial"/>
          <w:sz w:val="14"/>
          <w:szCs w:val="14"/>
          <w:color w:val="auto"/>
        </w:rPr>
        <w:t>(15.9)%</w:t>
      </w:r>
    </w:p>
    <w:p>
      <w:pPr>
        <w:spacing w:after="0" w:line="136"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4"/>
          <w:szCs w:val="14"/>
          <w:color w:val="auto"/>
        </w:rPr>
        <w:t>22,944</w:t>
      </w:r>
      <w:r>
        <w:rPr>
          <w:sz w:val="20"/>
          <w:szCs w:val="20"/>
          <w:color w:val="auto"/>
        </w:rPr>
        <w:tab/>
      </w:r>
      <w:r>
        <w:rPr>
          <w:rFonts w:ascii="Arial" w:cs="Arial" w:eastAsia="Arial" w:hAnsi="Arial"/>
          <w:sz w:val="14"/>
          <w:szCs w:val="14"/>
          <w:color w:val="auto"/>
        </w:rPr>
        <w:t>109.6 %</w:t>
      </w:r>
    </w:p>
    <w:p>
      <w:pPr>
        <w:spacing w:after="0" w:line="305" w:lineRule="exact"/>
        <w:rPr>
          <w:sz w:val="20"/>
          <w:szCs w:val="20"/>
          <w:color w:val="auto"/>
        </w:rPr>
      </w:pPr>
    </w:p>
    <w:p>
      <w:pPr>
        <w:sectPr>
          <w:pgSz w:w="11900" w:h="16838" w:orient="portrait"/>
          <w:cols w:equalWidth="0" w:num="2">
            <w:col w:w="8900" w:space="500"/>
            <w:col w:w="1840"/>
          </w:cols>
          <w:pgMar w:left="320" w:top="125"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Wireless revenue increased approximately $8.6 million, or 7.8%, for the three months ended June 30, 2020 compared with the three months ended June 30, 2019. The growth was driven by a $19.5 million increase in travel revenue due to the resolution of the Sprint travel fee dispute, $1.5 million due to subscriber growth, $0.7 million in higher roaming and MVNO revenues partially offset by a $6.9 million decline in equipment revenue as retail stores were temporarily closed amidst the COVID-19 outbreak, $3.2 million in higher amortized customer contract costs, $1.4 million in COVID related prepaid customer retention credits and $1.2 million of COVID-19 related postpaid bad debt in connection with the Keep Americans Connected pledge.</w:t>
      </w:r>
    </w:p>
    <w:p>
      <w:pPr>
        <w:spacing w:after="0" w:line="162"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Resolution of our travel revenue dispute during June of 2020 reset the travel fee at $1.5 million per month through 2021. As a result, we recognized $21.0 million of travel revenue during the three months ended June 30, 2020 for service that we have provided since May 1, 2019. Of that amount, $4.5 million related to service provided during the three months ended June 30,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Cost of services increased approximately $0.6 million, or 1.7%, for the three months ended June 30, 2020 compared with the three months ended June 30, 2019, primarily due to the expansion of our network and higher cell site rent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Cost of goods sold decreased approximately $6.3 million, or 40.1%, for the three months ended June 30, 2020 compared with the three months ended June 30, 2019 due to lower volume of equipment sales driven by temporary closure of certain retail stores.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Selling, general and administrative expense decreased approximately $0.5 million, or 5.2%, for the three months ended June 30, 2020, compared with the three months ended June 30, 2019 due to $2.8 million in lower advertising costs driven by COVID-19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related slower economic activity, partially offset by $1.1 million in COVID-19 related payroll expense, $0.6 million of legal fees to support the Sprint dispute matter, $0.6 million in higher operating taxes due to a non-recurring benefit recognized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2019, and $0.2 million in employee retention bonus accrual relating to the Sprint/T-Mobile merger.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Depreciation and amortization decreased approximately $8.0 million, or 25.6%, for the three months ended June 30, 2020 compared with the three months ended June 30, 2019. Depreciation expense declined $6.9 million as certain assets acquired from nTelos in 2016 became fully depreciated. Amortization expense also declined primarily as a result of our Sprint affiliate contract expansion asset which amortizes under an accelerated method that declines over time.</w:t>
      </w:r>
    </w:p>
    <w:p>
      <w:pPr>
        <w:sectPr>
          <w:pgSz w:w="11900" w:h="16838" w:orient="portrait"/>
          <w:cols w:equalWidth="0" w:num="1">
            <w:col w:w="11240"/>
          </w:cols>
          <w:pgMar w:left="320" w:top="125" w:right="33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with the Six Months Ended June 30,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color w:val="auto"/>
                <w:w w:val="99"/>
              </w:rPr>
              <w:t>Wireless results from operations are summarized as follows: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2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Six Months Ended June 30,</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 of</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jc w:val="right"/>
              <w:ind w:right="246"/>
              <w:spacing w:after="0"/>
              <w:rPr>
                <w:sz w:val="20"/>
                <w:szCs w:val="20"/>
                <w:color w:val="auto"/>
              </w:rPr>
            </w:pPr>
            <w:r>
              <w:rPr>
                <w:rFonts w:ascii="Arial" w:cs="Arial" w:eastAsia="Arial" w:hAnsi="Arial"/>
                <w:sz w:val="18"/>
                <w:szCs w:val="18"/>
                <w:b w:val="1"/>
                <w:bCs w:val="1"/>
                <w:color w:val="auto"/>
              </w:rPr>
              <w:t>% of</w:t>
            </w:r>
          </w:p>
        </w:tc>
        <w:tc>
          <w:tcPr>
            <w:tcW w:w="0" w:type="dxa"/>
            <w:vAlign w:val="bottom"/>
          </w:tcPr>
          <w:p>
            <w:pPr>
              <w:spacing w:after="0"/>
              <w:rPr>
                <w:sz w:val="1"/>
                <w:szCs w:val="1"/>
                <w:color w:val="auto"/>
              </w:rPr>
            </w:pPr>
          </w:p>
        </w:tc>
      </w:tr>
      <w:tr>
        <w:trPr>
          <w:trHeight w:val="234"/>
        </w:trPr>
        <w:tc>
          <w:tcPr>
            <w:tcW w:w="4780" w:type="dxa"/>
            <w:vAlign w:val="bottom"/>
          </w:tcPr>
          <w:p>
            <w:pPr>
              <w:ind w:left="6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106"/>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7"/>
        </w:trPr>
        <w:tc>
          <w:tcPr>
            <w:tcW w:w="4780" w:type="dxa"/>
            <w:vAlign w:val="bottom"/>
            <w:vMerge w:val="restart"/>
          </w:tcPr>
          <w:p>
            <w:pPr>
              <w:ind w:left="60"/>
              <w:spacing w:after="0"/>
              <w:rPr>
                <w:sz w:val="20"/>
                <w:szCs w:val="20"/>
                <w:color w:val="auto"/>
              </w:rPr>
            </w:pPr>
            <w:r>
              <w:rPr>
                <w:rFonts w:ascii="Arial" w:cs="Arial" w:eastAsia="Arial" w:hAnsi="Arial"/>
                <w:sz w:val="18"/>
                <w:szCs w:val="18"/>
                <w:color w:val="auto"/>
              </w:rPr>
              <w:t>Wireless revenue:</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780" w:type="dxa"/>
            <w:vAlign w:val="bottom"/>
          </w:tcPr>
          <w:p>
            <w:pPr>
              <w:ind w:left="300"/>
              <w:spacing w:after="0"/>
              <w:rPr>
                <w:sz w:val="20"/>
                <w:szCs w:val="20"/>
                <w:color w:val="auto"/>
              </w:rPr>
            </w:pPr>
            <w:r>
              <w:rPr>
                <w:rFonts w:ascii="Arial" w:cs="Arial" w:eastAsia="Arial" w:hAnsi="Arial"/>
                <w:sz w:val="18"/>
                <w:szCs w:val="18"/>
                <w:color w:val="auto"/>
              </w:rPr>
              <w:t>Gross postpaid billings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205,975</w:t>
            </w:r>
          </w:p>
        </w:tc>
        <w:tc>
          <w:tcPr>
            <w:tcW w:w="1020" w:type="dxa"/>
            <w:vAlign w:val="bottom"/>
          </w:tcPr>
          <w:p>
            <w:pPr>
              <w:jc w:val="right"/>
              <w:ind w:right="26"/>
              <w:spacing w:after="0"/>
              <w:rPr>
                <w:sz w:val="20"/>
                <w:szCs w:val="20"/>
                <w:color w:val="auto"/>
              </w:rPr>
            </w:pPr>
            <w:r>
              <w:rPr>
                <w:rFonts w:ascii="Arial" w:cs="Arial" w:eastAsia="Arial" w:hAnsi="Arial"/>
                <w:sz w:val="14"/>
                <w:szCs w:val="14"/>
                <w:color w:val="auto"/>
              </w:rPr>
              <w:t>92.0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203,923</w:t>
            </w:r>
          </w:p>
        </w:tc>
        <w:tc>
          <w:tcPr>
            <w:tcW w:w="920" w:type="dxa"/>
            <w:vAlign w:val="bottom"/>
          </w:tcPr>
          <w:p>
            <w:pPr>
              <w:jc w:val="right"/>
              <w:ind w:right="46"/>
              <w:spacing w:after="0"/>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270"/>
        </w:trPr>
        <w:tc>
          <w:tcPr>
            <w:tcW w:w="4780" w:type="dxa"/>
            <w:vAlign w:val="bottom"/>
          </w:tcPr>
          <w:p>
            <w:pPr>
              <w:ind w:left="300"/>
              <w:spacing w:after="0"/>
              <w:rPr>
                <w:sz w:val="20"/>
                <w:szCs w:val="20"/>
                <w:color w:val="auto"/>
              </w:rPr>
            </w:pPr>
            <w:r>
              <w:rPr>
                <w:rFonts w:ascii="Arial" w:cs="Arial" w:eastAsia="Arial" w:hAnsi="Arial"/>
                <w:sz w:val="18"/>
                <w:szCs w:val="18"/>
                <w:color w:val="auto"/>
              </w:rPr>
              <w:t>Allocated bad debt</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(11,074)</w:t>
            </w:r>
          </w:p>
        </w:tc>
        <w:tc>
          <w:tcPr>
            <w:tcW w:w="102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(8,668)</w:t>
            </w:r>
          </w:p>
        </w:tc>
        <w:tc>
          <w:tcPr>
            <w:tcW w:w="92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0"/>
        </w:trPr>
        <w:tc>
          <w:tcPr>
            <w:tcW w:w="4780" w:type="dxa"/>
            <w:vAlign w:val="bottom"/>
          </w:tcPr>
          <w:p>
            <w:pPr>
              <w:ind w:left="300"/>
              <w:spacing w:after="0"/>
              <w:rPr>
                <w:sz w:val="20"/>
                <w:szCs w:val="20"/>
                <w:color w:val="auto"/>
              </w:rPr>
            </w:pPr>
            <w:r>
              <w:rPr>
                <w:rFonts w:ascii="Arial" w:cs="Arial" w:eastAsia="Arial" w:hAnsi="Arial"/>
                <w:sz w:val="18"/>
                <w:szCs w:val="18"/>
                <w:color w:val="auto"/>
              </w:rPr>
              <w:t>Amortization of contract asset and other</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(13,839)</w:t>
            </w:r>
          </w:p>
        </w:tc>
        <w:tc>
          <w:tcPr>
            <w:tcW w:w="102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(10,824)</w:t>
            </w:r>
          </w:p>
        </w:tc>
        <w:tc>
          <w:tcPr>
            <w:tcW w:w="920" w:type="dxa"/>
            <w:vAlign w:val="bottom"/>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6"/>
        </w:trPr>
        <w:tc>
          <w:tcPr>
            <w:tcW w:w="4780" w:type="dxa"/>
            <w:vAlign w:val="bottom"/>
          </w:tcPr>
          <w:p>
            <w:pPr>
              <w:ind w:left="300"/>
              <w:spacing w:after="0"/>
              <w:rPr>
                <w:sz w:val="20"/>
                <w:szCs w:val="20"/>
                <w:color w:val="auto"/>
              </w:rPr>
            </w:pPr>
            <w:r>
              <w:rPr>
                <w:rFonts w:ascii="Arial" w:cs="Arial" w:eastAsia="Arial" w:hAnsi="Arial"/>
                <w:sz w:val="18"/>
                <w:szCs w:val="18"/>
                <w:color w:val="auto"/>
              </w:rPr>
              <w:t>Sprint management fee and net service fee</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(32,252)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63"/>
        </w:trPr>
        <w:tc>
          <w:tcPr>
            <w:tcW w:w="4780" w:type="dxa"/>
            <w:vAlign w:val="bottom"/>
          </w:tcPr>
          <w:p>
            <w:pPr>
              <w:ind w:left="60"/>
              <w:spacing w:after="0"/>
              <w:rPr>
                <w:sz w:val="20"/>
                <w:szCs w:val="20"/>
                <w:color w:val="auto"/>
              </w:rPr>
            </w:pPr>
            <w:r>
              <w:rPr>
                <w:rFonts w:ascii="Arial" w:cs="Arial" w:eastAsia="Arial" w:hAnsi="Arial"/>
                <w:sz w:val="18"/>
                <w:szCs w:val="18"/>
                <w:color w:val="auto"/>
              </w:rPr>
              <w:t>Total postpaid service revenue</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148,197</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152,179</w:t>
            </w: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68.0</w:t>
            </w:r>
          </w:p>
        </w:tc>
        <w:tc>
          <w:tcPr>
            <w:tcW w:w="0" w:type="dxa"/>
            <w:vAlign w:val="bottom"/>
          </w:tcPr>
          <w:p>
            <w:pPr>
              <w:spacing w:after="0"/>
              <w:rPr>
                <w:sz w:val="1"/>
                <w:szCs w:val="1"/>
                <w:color w:val="auto"/>
              </w:rPr>
            </w:pPr>
          </w:p>
        </w:tc>
      </w:tr>
      <w:tr>
        <w:trPr>
          <w:trHeight w:val="258"/>
        </w:trPr>
        <w:tc>
          <w:tcPr>
            <w:tcW w:w="4780" w:type="dxa"/>
            <w:vAlign w:val="bottom"/>
          </w:tcPr>
          <w:p>
            <w:pPr>
              <w:ind w:left="300"/>
              <w:spacing w:after="0"/>
              <w:rPr>
                <w:sz w:val="20"/>
                <w:szCs w:val="20"/>
                <w:color w:val="auto"/>
              </w:rPr>
            </w:pPr>
            <w:r>
              <w:rPr>
                <w:rFonts w:ascii="Arial" w:cs="Arial" w:eastAsia="Arial" w:hAnsi="Arial"/>
                <w:sz w:val="18"/>
                <w:szCs w:val="18"/>
                <w:color w:val="auto"/>
              </w:rPr>
              <w:t>Gross prepaid billings</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61,902</w:t>
            </w:r>
          </w:p>
        </w:tc>
        <w:tc>
          <w:tcPr>
            <w:tcW w:w="1020" w:type="dxa"/>
            <w:vAlign w:val="bottom"/>
          </w:tcPr>
          <w:p>
            <w:pPr>
              <w:jc w:val="right"/>
              <w:ind w:right="26"/>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59,861</w:t>
            </w:r>
          </w:p>
        </w:tc>
        <w:tc>
          <w:tcPr>
            <w:tcW w:w="920" w:type="dxa"/>
            <w:vAlign w:val="bottom"/>
          </w:tcPr>
          <w:p>
            <w:pPr>
              <w:jc w:val="right"/>
              <w:ind w:right="46"/>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70"/>
        </w:trPr>
        <w:tc>
          <w:tcPr>
            <w:tcW w:w="4780" w:type="dxa"/>
            <w:vAlign w:val="bottom"/>
          </w:tcPr>
          <w:p>
            <w:pPr>
              <w:ind w:left="300"/>
              <w:spacing w:after="0"/>
              <w:rPr>
                <w:sz w:val="20"/>
                <w:szCs w:val="20"/>
                <w:color w:val="auto"/>
              </w:rPr>
            </w:pPr>
            <w:r>
              <w:rPr>
                <w:rFonts w:ascii="Arial" w:cs="Arial" w:eastAsia="Arial" w:hAnsi="Arial"/>
                <w:sz w:val="18"/>
                <w:szCs w:val="18"/>
                <w:color w:val="auto"/>
              </w:rPr>
              <w:t>Amortization of contract asset and other</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(32,493)</w:t>
            </w:r>
          </w:p>
        </w:tc>
        <w:tc>
          <w:tcPr>
            <w:tcW w:w="1020" w:type="dxa"/>
            <w:vAlign w:val="bottom"/>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(29,351)</w:t>
            </w:r>
          </w:p>
        </w:tc>
        <w:tc>
          <w:tcPr>
            <w:tcW w:w="92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76"/>
        </w:trPr>
        <w:tc>
          <w:tcPr>
            <w:tcW w:w="4780" w:type="dxa"/>
            <w:vAlign w:val="bottom"/>
          </w:tcPr>
          <w:p>
            <w:pPr>
              <w:ind w:left="300"/>
              <w:spacing w:after="0"/>
              <w:rPr>
                <w:sz w:val="20"/>
                <w:szCs w:val="20"/>
                <w:color w:val="auto"/>
              </w:rPr>
            </w:pPr>
            <w:r>
              <w:rPr>
                <w:rFonts w:ascii="Arial" w:cs="Arial" w:eastAsia="Arial" w:hAnsi="Arial"/>
                <w:sz w:val="18"/>
                <w:szCs w:val="18"/>
                <w:color w:val="auto"/>
              </w:rPr>
              <w:t>Sprint management fee</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(3,777)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3"/>
        </w:trPr>
        <w:tc>
          <w:tcPr>
            <w:tcW w:w="4780" w:type="dxa"/>
            <w:vAlign w:val="bottom"/>
          </w:tcPr>
          <w:p>
            <w:pPr>
              <w:ind w:left="60"/>
              <w:spacing w:after="0"/>
              <w:rPr>
                <w:sz w:val="20"/>
                <w:szCs w:val="20"/>
                <w:color w:val="auto"/>
              </w:rPr>
            </w:pPr>
            <w:r>
              <w:rPr>
                <w:rFonts w:ascii="Arial" w:cs="Arial" w:eastAsia="Arial" w:hAnsi="Arial"/>
                <w:sz w:val="18"/>
                <w:szCs w:val="18"/>
                <w:color w:val="auto"/>
              </w:rPr>
              <w:t>Total prepaid service revenue</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25,541</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26,733</w:t>
            </w: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64"/>
        </w:trPr>
        <w:tc>
          <w:tcPr>
            <w:tcW w:w="4780" w:type="dxa"/>
            <w:vAlign w:val="bottom"/>
          </w:tcPr>
          <w:p>
            <w:pPr>
              <w:ind w:left="300"/>
              <w:spacing w:after="0"/>
              <w:rPr>
                <w:sz w:val="20"/>
                <w:szCs w:val="20"/>
                <w:color w:val="auto"/>
              </w:rPr>
            </w:pPr>
            <w:r>
              <w:rPr>
                <w:rFonts w:ascii="Arial" w:cs="Arial" w:eastAsia="Arial" w:hAnsi="Arial"/>
                <w:sz w:val="18"/>
                <w:szCs w:val="18"/>
                <w:color w:val="auto"/>
              </w:rPr>
              <w:t>Travel and other</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27,789</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12,989</w:t>
            </w: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8"/>
        </w:trPr>
        <w:tc>
          <w:tcPr>
            <w:tcW w:w="4780" w:type="dxa"/>
            <w:vAlign w:val="bottom"/>
          </w:tcPr>
          <w:p>
            <w:pPr>
              <w:ind w:left="420"/>
              <w:spacing w:after="0"/>
              <w:rPr>
                <w:sz w:val="20"/>
                <w:szCs w:val="20"/>
                <w:color w:val="auto"/>
              </w:rPr>
            </w:pPr>
            <w:r>
              <w:rPr>
                <w:rFonts w:ascii="Arial" w:cs="Arial" w:eastAsia="Arial" w:hAnsi="Arial"/>
                <w:sz w:val="18"/>
                <w:szCs w:val="18"/>
                <w:color w:val="auto"/>
              </w:rPr>
              <w:t>Wireless service revenue and other</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201,527</w:t>
            </w:r>
          </w:p>
        </w:tc>
        <w:tc>
          <w:tcPr>
            <w:tcW w:w="1020" w:type="dxa"/>
            <w:vAlign w:val="bottom"/>
          </w:tcPr>
          <w:p>
            <w:pPr>
              <w:jc w:val="right"/>
              <w:ind w:right="26"/>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191,901</w:t>
            </w:r>
          </w:p>
        </w:tc>
        <w:tc>
          <w:tcPr>
            <w:tcW w:w="920" w:type="dxa"/>
            <w:vAlign w:val="bottom"/>
          </w:tcPr>
          <w:p>
            <w:pPr>
              <w:jc w:val="right"/>
              <w:ind w:right="46"/>
              <w:spacing w:after="0"/>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276"/>
        </w:trPr>
        <w:tc>
          <w:tcPr>
            <w:tcW w:w="4780" w:type="dxa"/>
            <w:vAlign w:val="bottom"/>
          </w:tcPr>
          <w:p>
            <w:pPr>
              <w:ind w:left="300"/>
              <w:spacing w:after="0"/>
              <w:rPr>
                <w:sz w:val="20"/>
                <w:szCs w:val="20"/>
                <w:color w:val="auto"/>
              </w:rPr>
            </w:pPr>
            <w:r>
              <w:rPr>
                <w:rFonts w:ascii="Arial" w:cs="Arial" w:eastAsia="Arial" w:hAnsi="Arial"/>
                <w:sz w:val="18"/>
                <w:szCs w:val="18"/>
                <w:color w:val="auto"/>
              </w:rPr>
              <w:t>Equipment revenue</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22,360</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31,839</w:t>
            </w: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57"/>
        </w:trPr>
        <w:tc>
          <w:tcPr>
            <w:tcW w:w="4780" w:type="dxa"/>
            <w:vAlign w:val="bottom"/>
          </w:tcPr>
          <w:p>
            <w:pPr>
              <w:ind w:left="60"/>
              <w:spacing w:after="0"/>
              <w:rPr>
                <w:sz w:val="20"/>
                <w:szCs w:val="20"/>
                <w:color w:val="auto"/>
              </w:rPr>
            </w:pPr>
            <w:r>
              <w:rPr>
                <w:rFonts w:ascii="Arial" w:cs="Arial" w:eastAsia="Arial" w:hAnsi="Arial"/>
                <w:sz w:val="18"/>
                <w:szCs w:val="18"/>
                <w:color w:val="auto"/>
              </w:rPr>
              <w:t>Total wireless revenue</w:t>
            </w:r>
          </w:p>
        </w:tc>
        <w:tc>
          <w:tcPr>
            <w:tcW w:w="2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223,887</w:t>
            </w:r>
          </w:p>
        </w:tc>
        <w:tc>
          <w:tcPr>
            <w:tcW w:w="1020" w:type="dxa"/>
            <w:vAlign w:val="bottom"/>
          </w:tcPr>
          <w:p>
            <w:pPr>
              <w:jc w:val="right"/>
              <w:ind w:right="26"/>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223,740</w:t>
            </w:r>
          </w:p>
        </w:tc>
        <w:tc>
          <w:tcPr>
            <w:tcW w:w="920" w:type="dxa"/>
            <w:vAlign w:val="bottom"/>
          </w:tcPr>
          <w:p>
            <w:pPr>
              <w:jc w:val="right"/>
              <w:ind w:right="46"/>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55"/>
        </w:trPr>
        <w:tc>
          <w:tcPr>
            <w:tcW w:w="4780" w:type="dxa"/>
            <w:vAlign w:val="bottom"/>
          </w:tcPr>
          <w:p>
            <w:pPr>
              <w:ind w:left="60"/>
              <w:spacing w:after="0"/>
              <w:rPr>
                <w:sz w:val="20"/>
                <w:szCs w:val="20"/>
                <w:color w:val="auto"/>
              </w:rPr>
            </w:pPr>
            <w:r>
              <w:rPr>
                <w:rFonts w:ascii="Arial" w:cs="Arial" w:eastAsia="Arial" w:hAnsi="Arial"/>
                <w:sz w:val="18"/>
                <w:szCs w:val="18"/>
                <w:color w:val="auto"/>
              </w:rPr>
              <w:t>Wireless operating expenses:</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4780" w:type="dxa"/>
            <w:vAlign w:val="bottom"/>
          </w:tcPr>
          <w:p>
            <w:pPr>
              <w:ind w:left="20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66,676</w:t>
            </w:r>
          </w:p>
        </w:tc>
        <w:tc>
          <w:tcPr>
            <w:tcW w:w="1020" w:type="dxa"/>
            <w:vAlign w:val="bottom"/>
          </w:tcPr>
          <w:p>
            <w:pPr>
              <w:jc w:val="right"/>
              <w:ind w:right="26"/>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65,200</w:t>
            </w:r>
          </w:p>
        </w:tc>
        <w:tc>
          <w:tcPr>
            <w:tcW w:w="920" w:type="dxa"/>
            <w:vAlign w:val="bottom"/>
          </w:tcPr>
          <w:p>
            <w:pPr>
              <w:jc w:val="right"/>
              <w:ind w:right="46"/>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70"/>
        </w:trPr>
        <w:tc>
          <w:tcPr>
            <w:tcW w:w="478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21,965</w:t>
            </w:r>
          </w:p>
        </w:tc>
        <w:tc>
          <w:tcPr>
            <w:tcW w:w="1020" w:type="dxa"/>
            <w:vAlign w:val="bottom"/>
          </w:tcPr>
          <w:p>
            <w:pPr>
              <w:jc w:val="right"/>
              <w:ind w:right="26"/>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30,169</w:t>
            </w:r>
          </w:p>
        </w:tc>
        <w:tc>
          <w:tcPr>
            <w:tcW w:w="920" w:type="dxa"/>
            <w:vAlign w:val="bottom"/>
          </w:tcPr>
          <w:p>
            <w:pPr>
              <w:jc w:val="right"/>
              <w:ind w:right="46"/>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0"/>
        </w:trPr>
        <w:tc>
          <w:tcPr>
            <w:tcW w:w="47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19,211</w:t>
            </w:r>
          </w:p>
        </w:tc>
        <w:tc>
          <w:tcPr>
            <w:tcW w:w="1020" w:type="dxa"/>
            <w:vAlign w:val="bottom"/>
          </w:tcPr>
          <w:p>
            <w:pPr>
              <w:jc w:val="right"/>
              <w:ind w:right="26"/>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21,397</w:t>
            </w:r>
          </w:p>
        </w:tc>
        <w:tc>
          <w:tcPr>
            <w:tcW w:w="920" w:type="dxa"/>
            <w:vAlign w:val="bottom"/>
          </w:tcPr>
          <w:p>
            <w:pPr>
              <w:jc w:val="right"/>
              <w:ind w:right="46"/>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76"/>
        </w:trPr>
        <w:tc>
          <w:tcPr>
            <w:tcW w:w="4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48,719</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61,833</w:t>
            </w: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63"/>
        </w:trPr>
        <w:tc>
          <w:tcPr>
            <w:tcW w:w="4780" w:type="dxa"/>
            <w:vAlign w:val="bottom"/>
          </w:tcPr>
          <w:p>
            <w:pPr>
              <w:ind w:left="60"/>
              <w:spacing w:after="0"/>
              <w:rPr>
                <w:sz w:val="20"/>
                <w:szCs w:val="20"/>
                <w:color w:val="auto"/>
              </w:rPr>
            </w:pPr>
            <w:r>
              <w:rPr>
                <w:rFonts w:ascii="Arial" w:cs="Arial" w:eastAsia="Arial" w:hAnsi="Arial"/>
                <w:sz w:val="18"/>
                <w:szCs w:val="18"/>
                <w:color w:val="auto"/>
              </w:rPr>
              <w:t>Total wireless operating expenses</w:t>
            </w: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156,571</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69.9</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178,599</w:t>
            </w: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263"/>
        </w:trPr>
        <w:tc>
          <w:tcPr>
            <w:tcW w:w="4780" w:type="dxa"/>
            <w:vAlign w:val="bottom"/>
          </w:tcPr>
          <w:p>
            <w:pPr>
              <w:ind w:left="60"/>
              <w:spacing w:after="0"/>
              <w:rPr>
                <w:sz w:val="20"/>
                <w:szCs w:val="20"/>
                <w:color w:val="auto"/>
              </w:rPr>
            </w:pPr>
            <w:r>
              <w:rPr>
                <w:rFonts w:ascii="Arial" w:cs="Arial" w:eastAsia="Arial" w:hAnsi="Arial"/>
                <w:sz w:val="18"/>
                <w:szCs w:val="18"/>
                <w:color w:val="auto"/>
              </w:rPr>
              <w:t>Wireless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67,316</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45,141</w:t>
            </w:r>
          </w:p>
        </w:tc>
        <w:tc>
          <w:tcPr>
            <w:tcW w:w="92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34290</wp:posOffset>
            </wp:positionV>
            <wp:extent cx="1405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73" w:lineRule="exact"/>
        <w:rPr>
          <w:sz w:val="20"/>
          <w:szCs w:val="20"/>
          <w:color w:val="auto"/>
        </w:rPr>
      </w:pPr>
    </w:p>
    <w:p>
      <w:pPr>
        <w:ind w:left="1160" w:hanging="1106"/>
        <w:spacing w:after="0"/>
        <w:tabs>
          <w:tab w:leader="none" w:pos="11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34290</wp:posOffset>
            </wp:positionV>
            <wp:extent cx="1405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49"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780" w:type="dxa"/>
            <w:vAlign w:val="bottom"/>
          </w:tcPr>
          <w:p>
            <w:pPr>
              <w:jc w:val="right"/>
              <w:ind w:right="319"/>
              <w:spacing w:after="0"/>
              <w:rPr>
                <w:sz w:val="20"/>
                <w:szCs w:val="20"/>
                <w:color w:val="auto"/>
              </w:rPr>
            </w:pPr>
            <w:r>
              <w:rPr>
                <w:rFonts w:ascii="Arial" w:cs="Arial" w:eastAsia="Arial" w:hAnsi="Arial"/>
                <w:sz w:val="16"/>
                <w:szCs w:val="16"/>
                <w:color w:val="auto"/>
                <w:w w:val="89"/>
              </w:rPr>
              <w:t>2,052</w:t>
            </w:r>
          </w:p>
        </w:tc>
        <w:tc>
          <w:tcPr>
            <w:tcW w:w="8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70"/>
        </w:trPr>
        <w:tc>
          <w:tcPr>
            <w:tcW w:w="780" w:type="dxa"/>
            <w:vAlign w:val="bottom"/>
          </w:tcPr>
          <w:p>
            <w:pPr>
              <w:jc w:val="right"/>
              <w:ind w:right="319"/>
              <w:spacing w:after="0"/>
              <w:rPr>
                <w:sz w:val="20"/>
                <w:szCs w:val="20"/>
                <w:color w:val="auto"/>
              </w:rPr>
            </w:pPr>
            <w:r>
              <w:rPr>
                <w:rFonts w:ascii="Arial" w:cs="Arial" w:eastAsia="Arial" w:hAnsi="Arial"/>
                <w:sz w:val="16"/>
                <w:szCs w:val="16"/>
                <w:color w:val="auto"/>
                <w:w w:val="89"/>
              </w:rPr>
              <w:t>2,406</w:t>
            </w:r>
          </w:p>
        </w:tc>
        <w:tc>
          <w:tcPr>
            <w:tcW w:w="880" w:type="dxa"/>
            <w:vAlign w:val="bottom"/>
          </w:tcPr>
          <w:p>
            <w:pPr>
              <w:jc w:val="right"/>
              <w:spacing w:after="0"/>
              <w:rPr>
                <w:sz w:val="20"/>
                <w:szCs w:val="20"/>
                <w:color w:val="auto"/>
              </w:rPr>
            </w:pPr>
            <w:r>
              <w:rPr>
                <w:rFonts w:ascii="Arial" w:cs="Arial" w:eastAsia="Arial" w:hAnsi="Arial"/>
                <w:sz w:val="16"/>
                <w:szCs w:val="16"/>
                <w:color w:val="auto"/>
              </w:rPr>
              <w:t>27.8 %</w:t>
            </w:r>
          </w:p>
        </w:tc>
      </w:tr>
      <w:tr>
        <w:trPr>
          <w:trHeight w:val="270"/>
        </w:trPr>
        <w:tc>
          <w:tcPr>
            <w:tcW w:w="780" w:type="dxa"/>
            <w:vAlign w:val="bottom"/>
          </w:tcPr>
          <w:p>
            <w:pPr>
              <w:jc w:val="right"/>
              <w:ind w:right="319"/>
              <w:spacing w:after="0"/>
              <w:rPr>
                <w:sz w:val="20"/>
                <w:szCs w:val="20"/>
                <w:color w:val="auto"/>
              </w:rPr>
            </w:pPr>
            <w:r>
              <w:rPr>
                <w:rFonts w:ascii="Arial" w:cs="Arial" w:eastAsia="Arial" w:hAnsi="Arial"/>
                <w:sz w:val="16"/>
                <w:szCs w:val="16"/>
                <w:color w:val="auto"/>
                <w:w w:val="89"/>
              </w:rPr>
              <w:t>3,015</w:t>
            </w:r>
          </w:p>
        </w:tc>
        <w:tc>
          <w:tcPr>
            <w:tcW w:w="880" w:type="dxa"/>
            <w:vAlign w:val="bottom"/>
          </w:tcPr>
          <w:p>
            <w:pPr>
              <w:jc w:val="right"/>
              <w:spacing w:after="0"/>
              <w:rPr>
                <w:sz w:val="20"/>
                <w:szCs w:val="20"/>
                <w:color w:val="auto"/>
              </w:rPr>
            </w:pPr>
            <w:r>
              <w:rPr>
                <w:rFonts w:ascii="Arial" w:cs="Arial" w:eastAsia="Arial" w:hAnsi="Arial"/>
                <w:sz w:val="16"/>
                <w:szCs w:val="16"/>
                <w:color w:val="auto"/>
              </w:rPr>
              <w:t>27.9 %</w:t>
            </w:r>
          </w:p>
        </w:tc>
      </w:tr>
    </w:tbl>
    <w:p>
      <w:pPr>
        <w:spacing w:after="0" w:line="64" w:lineRule="exact"/>
        <w:rPr>
          <w:sz w:val="20"/>
          <w:szCs w:val="20"/>
          <w:color w:val="auto"/>
        </w:rPr>
      </w:pPr>
    </w:p>
    <w:p>
      <w:pPr>
        <w:ind w:left="1400" w:hanging="1153"/>
        <w:spacing w:after="0"/>
        <w:tabs>
          <w:tab w:leader="none" w:pos="14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1.9 %</w:t>
      </w:r>
    </w:p>
    <w:p>
      <w:pPr>
        <w:spacing w:after="0" w:line="122"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6"/>
          <w:szCs w:val="16"/>
          <w:color w:val="auto"/>
        </w:rPr>
        <w:t>(3,982)</w:t>
      </w:r>
      <w:r>
        <w:rPr>
          <w:rFonts w:ascii="Arial" w:cs="Arial" w:eastAsia="Arial" w:hAnsi="Arial"/>
          <w:sz w:val="14"/>
          <w:szCs w:val="14"/>
          <w:color w:val="auto"/>
        </w:rPr>
        <w:t>(2.6)%</w:t>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780" w:type="dxa"/>
            <w:vAlign w:val="bottom"/>
          </w:tcPr>
          <w:p>
            <w:pPr>
              <w:jc w:val="right"/>
              <w:ind w:right="319"/>
              <w:spacing w:after="0"/>
              <w:rPr>
                <w:sz w:val="20"/>
                <w:szCs w:val="20"/>
                <w:color w:val="auto"/>
              </w:rPr>
            </w:pPr>
            <w:r>
              <w:rPr>
                <w:rFonts w:ascii="Arial" w:cs="Arial" w:eastAsia="Arial" w:hAnsi="Arial"/>
                <w:sz w:val="16"/>
                <w:szCs w:val="16"/>
                <w:color w:val="auto"/>
                <w:w w:val="89"/>
              </w:rPr>
              <w:t>2,041</w:t>
            </w:r>
          </w:p>
        </w:tc>
        <w:tc>
          <w:tcPr>
            <w:tcW w:w="880" w:type="dxa"/>
            <w:vAlign w:val="bottom"/>
          </w:tcPr>
          <w:p>
            <w:pPr>
              <w:jc w:val="right"/>
              <w:spacing w:after="0"/>
              <w:rPr>
                <w:sz w:val="20"/>
                <w:szCs w:val="20"/>
                <w:color w:val="auto"/>
              </w:rPr>
            </w:pPr>
            <w:r>
              <w:rPr>
                <w:rFonts w:ascii="Arial" w:cs="Arial" w:eastAsia="Arial" w:hAnsi="Arial"/>
                <w:sz w:val="16"/>
                <w:szCs w:val="16"/>
                <w:color w:val="auto"/>
              </w:rPr>
              <w:t>3.4 %</w:t>
            </w:r>
          </w:p>
        </w:tc>
      </w:tr>
      <w:tr>
        <w:trPr>
          <w:trHeight w:val="270"/>
        </w:trPr>
        <w:tc>
          <w:tcPr>
            <w:tcW w:w="780" w:type="dxa"/>
            <w:vAlign w:val="bottom"/>
          </w:tcPr>
          <w:p>
            <w:pPr>
              <w:jc w:val="right"/>
              <w:ind w:right="319"/>
              <w:spacing w:after="0"/>
              <w:rPr>
                <w:sz w:val="20"/>
                <w:szCs w:val="20"/>
                <w:color w:val="auto"/>
              </w:rPr>
            </w:pPr>
            <w:r>
              <w:rPr>
                <w:rFonts w:ascii="Arial" w:cs="Arial" w:eastAsia="Arial" w:hAnsi="Arial"/>
                <w:sz w:val="16"/>
                <w:szCs w:val="16"/>
                <w:color w:val="auto"/>
                <w:w w:val="89"/>
              </w:rPr>
              <w:t>3,142</w:t>
            </w:r>
          </w:p>
        </w:tc>
        <w:tc>
          <w:tcPr>
            <w:tcW w:w="880" w:type="dxa"/>
            <w:vAlign w:val="bottom"/>
          </w:tcPr>
          <w:p>
            <w:pPr>
              <w:jc w:val="right"/>
              <w:spacing w:after="0"/>
              <w:rPr>
                <w:sz w:val="20"/>
                <w:szCs w:val="20"/>
                <w:color w:val="auto"/>
              </w:rPr>
            </w:pPr>
            <w:r>
              <w:rPr>
                <w:rFonts w:ascii="Arial" w:cs="Arial" w:eastAsia="Arial" w:hAnsi="Arial"/>
                <w:sz w:val="16"/>
                <w:szCs w:val="16"/>
                <w:color w:val="auto"/>
              </w:rPr>
              <w:t>10.7 %</w:t>
            </w:r>
          </w:p>
        </w:tc>
      </w:tr>
    </w:tbl>
    <w:p>
      <w:pPr>
        <w:spacing w:after="0" w:line="64" w:lineRule="exact"/>
        <w:rPr>
          <w:sz w:val="20"/>
          <w:szCs w:val="20"/>
          <w:color w:val="auto"/>
        </w:rPr>
      </w:pPr>
    </w:p>
    <w:p>
      <w:pPr>
        <w:ind w:left="1400" w:hanging="1072"/>
        <w:spacing w:after="0"/>
        <w:tabs>
          <w:tab w:leader="none" w:pos="14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2.4 %</w:t>
      </w:r>
    </w:p>
    <w:p>
      <w:pPr>
        <w:spacing w:after="0" w:line="122" w:lineRule="exact"/>
        <w:rPr>
          <w:rFonts w:ascii="Arial" w:cs="Arial" w:eastAsia="Arial" w:hAnsi="Arial"/>
          <w:sz w:val="14"/>
          <w:szCs w:val="14"/>
          <w:color w:val="auto"/>
        </w:rPr>
      </w:pPr>
    </w:p>
    <w:p>
      <w:pPr>
        <w:ind w:left="80"/>
        <w:spacing w:after="0"/>
        <w:rPr>
          <w:rFonts w:ascii="Arial" w:cs="Arial" w:eastAsia="Arial" w:hAnsi="Arial"/>
          <w:sz w:val="14"/>
          <w:szCs w:val="14"/>
          <w:color w:val="auto"/>
        </w:rPr>
      </w:pPr>
      <w:r>
        <w:rPr>
          <w:rFonts w:ascii="Arial" w:cs="Arial" w:eastAsia="Arial" w:hAnsi="Arial"/>
          <w:sz w:val="16"/>
          <w:szCs w:val="16"/>
          <w:color w:val="auto"/>
        </w:rPr>
        <w:t>(1,192)</w:t>
      </w:r>
      <w:r>
        <w:rPr>
          <w:rFonts w:ascii="Arial" w:cs="Arial" w:eastAsia="Arial" w:hAnsi="Arial"/>
          <w:sz w:val="14"/>
          <w:szCs w:val="14"/>
          <w:color w:val="auto"/>
        </w:rPr>
        <w:t>(4.5)%</w:t>
      </w:r>
    </w:p>
    <w:p>
      <w:pPr>
        <w:spacing w:after="0" w:line="99"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14,800</w:t>
      </w:r>
      <w:r>
        <w:rPr>
          <w:rFonts w:ascii="Arial" w:cs="Arial" w:eastAsia="Arial" w:hAnsi="Arial"/>
          <w:sz w:val="14"/>
          <w:szCs w:val="14"/>
          <w:color w:val="auto"/>
        </w:rPr>
        <w:t>113.9 %</w:t>
      </w:r>
    </w:p>
    <w:p>
      <w:pPr>
        <w:spacing w:after="0" w:line="99" w:lineRule="exact"/>
        <w:rPr>
          <w:rFonts w:ascii="Arial" w:cs="Arial" w:eastAsia="Arial" w:hAnsi="Arial"/>
          <w:sz w:val="14"/>
          <w:szCs w:val="14"/>
          <w:color w:val="auto"/>
        </w:rPr>
      </w:pPr>
    </w:p>
    <w:p>
      <w:pPr>
        <w:ind w:left="120"/>
        <w:spacing w:after="0"/>
        <w:rPr>
          <w:rFonts w:ascii="Arial" w:cs="Arial" w:eastAsia="Arial" w:hAnsi="Arial"/>
          <w:sz w:val="14"/>
          <w:szCs w:val="14"/>
          <w:color w:val="auto"/>
        </w:rPr>
      </w:pPr>
      <w:r>
        <w:rPr>
          <w:rFonts w:ascii="Arial" w:cs="Arial" w:eastAsia="Arial" w:hAnsi="Arial"/>
          <w:sz w:val="16"/>
          <w:szCs w:val="16"/>
          <w:color w:val="auto"/>
        </w:rPr>
        <w:t>9,626</w:t>
      </w:r>
      <w:r>
        <w:rPr>
          <w:rFonts w:ascii="Arial" w:cs="Arial" w:eastAsia="Arial" w:hAnsi="Arial"/>
          <w:sz w:val="14"/>
          <w:szCs w:val="14"/>
          <w:color w:val="auto"/>
        </w:rPr>
        <w:t>5.0 %</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00" w:type="dxa"/>
            <w:vAlign w:val="bottom"/>
          </w:tcPr>
          <w:p>
            <w:pPr>
              <w:jc w:val="right"/>
              <w:ind w:right="279"/>
              <w:spacing w:after="0"/>
              <w:rPr>
                <w:sz w:val="20"/>
                <w:szCs w:val="20"/>
                <w:color w:val="auto"/>
              </w:rPr>
            </w:pPr>
            <w:r>
              <w:rPr>
                <w:rFonts w:ascii="Arial" w:cs="Arial" w:eastAsia="Arial" w:hAnsi="Arial"/>
                <w:sz w:val="16"/>
                <w:szCs w:val="16"/>
                <w:color w:val="auto"/>
              </w:rPr>
              <w:t>(9,479)</w:t>
            </w:r>
          </w:p>
        </w:tc>
        <w:tc>
          <w:tcPr>
            <w:tcW w:w="88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83"/>
        </w:trPr>
        <w:tc>
          <w:tcPr>
            <w:tcW w:w="900" w:type="dxa"/>
            <w:vAlign w:val="bottom"/>
          </w:tcPr>
          <w:p>
            <w:pPr>
              <w:jc w:val="right"/>
              <w:ind w:right="319"/>
              <w:spacing w:after="0"/>
              <w:rPr>
                <w:sz w:val="20"/>
                <w:szCs w:val="20"/>
                <w:color w:val="auto"/>
              </w:rPr>
            </w:pPr>
            <w:r>
              <w:rPr>
                <w:rFonts w:ascii="Arial" w:cs="Arial" w:eastAsia="Arial" w:hAnsi="Arial"/>
                <w:sz w:val="16"/>
                <w:szCs w:val="16"/>
                <w:color w:val="auto"/>
              </w:rPr>
              <w:t>147</w:t>
            </w:r>
          </w:p>
        </w:tc>
        <w:tc>
          <w:tcPr>
            <w:tcW w:w="88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540"/>
        </w:trPr>
        <w:tc>
          <w:tcPr>
            <w:tcW w:w="900" w:type="dxa"/>
            <w:vAlign w:val="bottom"/>
          </w:tcPr>
          <w:p>
            <w:pPr>
              <w:jc w:val="right"/>
              <w:ind w:right="319"/>
              <w:spacing w:after="0"/>
              <w:rPr>
                <w:sz w:val="20"/>
                <w:szCs w:val="20"/>
                <w:color w:val="auto"/>
              </w:rPr>
            </w:pPr>
            <w:r>
              <w:rPr>
                <w:rFonts w:ascii="Arial" w:cs="Arial" w:eastAsia="Arial" w:hAnsi="Arial"/>
                <w:sz w:val="16"/>
                <w:szCs w:val="16"/>
                <w:color w:val="auto"/>
              </w:rPr>
              <w:t>1,476</w:t>
            </w:r>
          </w:p>
        </w:tc>
        <w:tc>
          <w:tcPr>
            <w:tcW w:w="88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70"/>
        </w:trPr>
        <w:tc>
          <w:tcPr>
            <w:tcW w:w="900" w:type="dxa"/>
            <w:vAlign w:val="bottom"/>
          </w:tcPr>
          <w:p>
            <w:pPr>
              <w:jc w:val="right"/>
              <w:ind w:right="279"/>
              <w:spacing w:after="0"/>
              <w:rPr>
                <w:sz w:val="20"/>
                <w:szCs w:val="20"/>
                <w:color w:val="auto"/>
              </w:rPr>
            </w:pPr>
            <w:r>
              <w:rPr>
                <w:rFonts w:ascii="Arial" w:cs="Arial" w:eastAsia="Arial" w:hAnsi="Arial"/>
                <w:sz w:val="16"/>
                <w:szCs w:val="16"/>
                <w:color w:val="auto"/>
              </w:rPr>
              <w:t>(8,204)</w:t>
            </w:r>
          </w:p>
        </w:tc>
        <w:tc>
          <w:tcPr>
            <w:tcW w:w="880" w:type="dxa"/>
            <w:vAlign w:val="bottom"/>
          </w:tcPr>
          <w:p>
            <w:pPr>
              <w:jc w:val="right"/>
              <w:spacing w:after="0"/>
              <w:rPr>
                <w:sz w:val="20"/>
                <w:szCs w:val="20"/>
                <w:color w:val="auto"/>
              </w:rPr>
            </w:pPr>
            <w:r>
              <w:rPr>
                <w:rFonts w:ascii="Arial" w:cs="Arial" w:eastAsia="Arial" w:hAnsi="Arial"/>
                <w:sz w:val="16"/>
                <w:szCs w:val="16"/>
                <w:color w:val="auto"/>
              </w:rPr>
              <w:t>(27.2)%</w:t>
            </w:r>
          </w:p>
        </w:tc>
      </w:tr>
      <w:tr>
        <w:trPr>
          <w:trHeight w:val="270"/>
        </w:trPr>
        <w:tc>
          <w:tcPr>
            <w:tcW w:w="900" w:type="dxa"/>
            <w:vAlign w:val="bottom"/>
          </w:tcPr>
          <w:p>
            <w:pPr>
              <w:jc w:val="right"/>
              <w:ind w:right="279"/>
              <w:spacing w:after="0"/>
              <w:rPr>
                <w:sz w:val="20"/>
                <w:szCs w:val="20"/>
                <w:color w:val="auto"/>
              </w:rPr>
            </w:pPr>
            <w:r>
              <w:rPr>
                <w:rFonts w:ascii="Arial" w:cs="Arial" w:eastAsia="Arial" w:hAnsi="Arial"/>
                <w:sz w:val="16"/>
                <w:szCs w:val="16"/>
                <w:color w:val="auto"/>
              </w:rPr>
              <w:t>(2,186)</w:t>
            </w:r>
          </w:p>
        </w:tc>
        <w:tc>
          <w:tcPr>
            <w:tcW w:w="88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70"/>
        </w:trPr>
        <w:tc>
          <w:tcPr>
            <w:tcW w:w="900" w:type="dxa"/>
            <w:vAlign w:val="bottom"/>
          </w:tcPr>
          <w:p>
            <w:pPr>
              <w:jc w:val="right"/>
              <w:ind w:right="279"/>
              <w:spacing w:after="0"/>
              <w:rPr>
                <w:sz w:val="20"/>
                <w:szCs w:val="20"/>
                <w:color w:val="auto"/>
              </w:rPr>
            </w:pPr>
            <w:r>
              <w:rPr>
                <w:rFonts w:ascii="Arial" w:cs="Arial" w:eastAsia="Arial" w:hAnsi="Arial"/>
                <w:sz w:val="16"/>
                <w:szCs w:val="16"/>
                <w:color w:val="auto"/>
                <w:w w:val="87"/>
              </w:rPr>
              <w:t>(13,114)</w:t>
            </w:r>
          </w:p>
        </w:tc>
        <w:tc>
          <w:tcPr>
            <w:tcW w:w="88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284"/>
        </w:trPr>
        <w:tc>
          <w:tcPr>
            <w:tcW w:w="900" w:type="dxa"/>
            <w:vAlign w:val="bottom"/>
          </w:tcPr>
          <w:p>
            <w:pPr>
              <w:jc w:val="right"/>
              <w:ind w:right="279"/>
              <w:spacing w:after="0"/>
              <w:rPr>
                <w:sz w:val="20"/>
                <w:szCs w:val="20"/>
                <w:color w:val="auto"/>
              </w:rPr>
            </w:pPr>
            <w:r>
              <w:rPr>
                <w:rFonts w:ascii="Arial" w:cs="Arial" w:eastAsia="Arial" w:hAnsi="Arial"/>
                <w:sz w:val="16"/>
                <w:szCs w:val="16"/>
                <w:color w:val="auto"/>
                <w:w w:val="87"/>
              </w:rPr>
              <w:t>(22,028)</w:t>
            </w:r>
          </w:p>
        </w:tc>
        <w:tc>
          <w:tcPr>
            <w:tcW w:w="88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97"/>
        </w:trPr>
        <w:tc>
          <w:tcPr>
            <w:tcW w:w="900" w:type="dxa"/>
            <w:vAlign w:val="bottom"/>
          </w:tcPr>
          <w:p>
            <w:pPr>
              <w:jc w:val="right"/>
              <w:ind w:right="319"/>
              <w:spacing w:after="0"/>
              <w:rPr>
                <w:sz w:val="20"/>
                <w:szCs w:val="20"/>
                <w:color w:val="auto"/>
              </w:rPr>
            </w:pPr>
            <w:r>
              <w:rPr>
                <w:rFonts w:ascii="Arial" w:cs="Arial" w:eastAsia="Arial" w:hAnsi="Arial"/>
                <w:sz w:val="16"/>
                <w:szCs w:val="16"/>
                <w:color w:val="auto"/>
                <w:w w:val="98"/>
              </w:rPr>
              <w:t>22,175</w:t>
            </w:r>
          </w:p>
        </w:tc>
        <w:tc>
          <w:tcPr>
            <w:tcW w:w="880" w:type="dxa"/>
            <w:vAlign w:val="bottom"/>
          </w:tcPr>
          <w:p>
            <w:pPr>
              <w:jc w:val="right"/>
              <w:spacing w:after="0"/>
              <w:rPr>
                <w:sz w:val="20"/>
                <w:szCs w:val="20"/>
                <w:color w:val="auto"/>
              </w:rPr>
            </w:pPr>
            <w:r>
              <w:rPr>
                <w:rFonts w:ascii="Arial" w:cs="Arial" w:eastAsia="Arial" w:hAnsi="Arial"/>
                <w:sz w:val="16"/>
                <w:szCs w:val="16"/>
                <w:color w:val="auto"/>
              </w:rPr>
              <w:t>49.1 %</w:t>
            </w:r>
          </w:p>
        </w:tc>
      </w:tr>
    </w:tbl>
    <w:p>
      <w:pPr>
        <w:spacing w:after="0" w:line="260" w:lineRule="exact"/>
        <w:rPr>
          <w:sz w:val="20"/>
          <w:szCs w:val="20"/>
          <w:color w:val="auto"/>
        </w:rPr>
      </w:pPr>
    </w:p>
    <w:p>
      <w:pPr>
        <w:sectPr>
          <w:pgSz w:w="11900" w:h="16838" w:orient="portrait"/>
          <w:cols w:equalWidth="0" w:num="2">
            <w:col w:w="8900" w:space="500"/>
            <w:col w:w="1840"/>
          </w:cols>
          <w:pgMar w:left="320" w:top="125"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Wireless revenue increased approximately $0.1 million, or 0.1%, for the six months ended June 30, 2020 compared with the six months ended June 30, 2019. The change was primarily attributable to a $15.0 million increase in travel revenue due to the resolution of the travel fee dispute, a $4.1 million increase in postpaid and prepaid revenue from growth in subscribers and $1.3 million increase in roaming and MVNO revenues, and was offset by a $9.5 million decline in equipment revenue as retail stores were temporarily closed amidst the COVID-19 outbreak, a $2.4 million increase in allocated bad debt, about half of which related to COVID-19, a $6.2 million increase in amortization of customer contract costs and $0.7 million increase in Sprint management and net service fees.</w:t>
      </w:r>
    </w:p>
    <w:p>
      <w:pPr>
        <w:spacing w:after="0" w:line="19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Resolution of our travel revenue dispute during June of 2020 reset the travel fee at $1.5 million per month through 2021. As a result, we recognized $21.0 million of travel revenue during the six months ended June 30, 2020 for service that we have provided since May 1, 2019. Of that amount, $9.0 million related to service provided during the six months ended June 30, 2020.</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type w:val="continuous"/>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of services increased approximately $1.5 million, or 2.3%, for the six months ended June 30, 2020 compared with the six months ended June 30, 2019, primarily due to the expansion of our network and higher cell site rent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Cost of goods sold decreased approximately $8.2 million, or 27.2%, for the six months ended June 30, 2020 compared with the six months ended June 30, 2019 due to lower volume of equipment sales driven by temporary closure of certain retail stores.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Selling, general and administrative expense decreased approximately $2.2 million, or 10.2%, for the six months ended June 30, 2020 compared with the six months ended June 30, 2019. With COVID-19 stay-at-home directives and slower economic activity continuing through the second quarter, we reduced our wireless advertising activities, by $3.8 million for the six months ended June 30, 2020 as compared with the six months ended June 30, 2019. This reduction in expense was partially offset by a $1.3 million increase in payroll expense, primarily from the aforementioned COVID-19 supplemental pay and wireless retention programs, and a $0.6 million increase in legal fees that was primarily to support the Sprint dispute matter.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Depreciation and amortization decreased approximately $13.1 million, or 21.2%, for the six months ended June 30, 2020 compared with the six months ended June 30, 2019. Depreciation expense declined $10.6 million as certain assets acquired from nTelos in 2016 became fully depreciated. Amortization expense also declined primarily as a result of our Sprint affiliate contract expansion asset which amortizes under an accelerated method that declines over time.</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Broadband</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Broadband segment provides broadband, video and voice services to residential and commercial customers in portions of Virginia, West Virginia, Maryland, and Kentucky, via fiber optic and hybrid fiber coaxial (“HFC”) cable. The Broadband segment also leases dark fiber and provides Ethernet and Wavelength fiber optic services to enterprise and wholesale customers throughout the entirety of our service area. The Broadband segment also provides voice and digital subscriber line (“DSL”) telephone services to customers in Virginia’s Shenandoah County as a Rural Local Exchange Carrier (“RLEC”). These integrated networks are connected by an approximately 6,300 fiber route mile network. This fiber optic network also supports our Wireless segment operations and these intercompany transactions are reported at their market value.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indicates selected operating statistics of Broadband: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1480" w:type="dxa"/>
            <w:vAlign w:val="bottom"/>
            <w:gridSpan w:val="2"/>
          </w:tcPr>
          <w:p>
            <w:pPr>
              <w:ind w:left="400"/>
              <w:spacing w:after="0"/>
              <w:rPr>
                <w:sz w:val="20"/>
                <w:szCs w:val="20"/>
                <w:color w:val="auto"/>
              </w:rPr>
            </w:pPr>
            <w:r>
              <w:rPr>
                <w:rFonts w:ascii="Arial" w:cs="Arial" w:eastAsia="Arial" w:hAnsi="Arial"/>
                <w:sz w:val="16"/>
                <w:szCs w:val="16"/>
                <w:b w:val="1"/>
                <w:bCs w:val="1"/>
                <w:color w:val="auto"/>
              </w:rPr>
              <w:t>June 30,</w:t>
            </w:r>
          </w:p>
        </w:tc>
        <w:tc>
          <w:tcPr>
            <w:tcW w:w="1380" w:type="dxa"/>
            <w:vAlign w:val="bottom"/>
          </w:tcPr>
          <w:p>
            <w:pPr>
              <w:jc w:val="right"/>
              <w:ind w:right="33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49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40" w:type="dxa"/>
            <w:vAlign w:val="bottom"/>
          </w:tcPr>
          <w:p>
            <w:pPr>
              <w:ind w:left="40"/>
              <w:spacing w:after="0"/>
              <w:rPr>
                <w:sz w:val="20"/>
                <w:szCs w:val="20"/>
                <w:color w:val="auto"/>
              </w:rPr>
            </w:pPr>
            <w:r>
              <w:rPr>
                <w:rFonts w:ascii="Arial" w:cs="Arial" w:eastAsia="Arial" w:hAnsi="Arial"/>
                <w:sz w:val="16"/>
                <w:szCs w:val="16"/>
                <w:color w:val="auto"/>
              </w:rPr>
              <w:t>Broadband homes passed (1) (2)</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220,442</w:t>
            </w:r>
          </w:p>
        </w:tc>
        <w:tc>
          <w:tcPr>
            <w:tcW w:w="10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206,262</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Incumbent Cable</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207,269</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206,262</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Glo Fiber</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13,173</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940" w:type="dxa"/>
            <w:vAlign w:val="bottom"/>
          </w:tcPr>
          <w:p>
            <w:pPr>
              <w:ind w:left="40"/>
              <w:spacing w:after="0"/>
              <w:rPr>
                <w:sz w:val="20"/>
                <w:szCs w:val="20"/>
                <w:color w:val="auto"/>
              </w:rPr>
            </w:pPr>
            <w:r>
              <w:rPr>
                <w:rFonts w:ascii="Arial" w:cs="Arial" w:eastAsia="Arial" w:hAnsi="Arial"/>
                <w:sz w:val="16"/>
                <w:szCs w:val="16"/>
                <w:color w:val="auto"/>
              </w:rPr>
              <w:t>Broadband customer relationships (3)</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101,816</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88,860</w:t>
            </w:r>
          </w:p>
        </w:tc>
        <w:tc>
          <w:tcPr>
            <w:tcW w:w="0" w:type="dxa"/>
            <w:vAlign w:val="bottom"/>
          </w:tcPr>
          <w:p>
            <w:pPr>
              <w:spacing w:after="0"/>
              <w:rPr>
                <w:sz w:val="1"/>
                <w:szCs w:val="1"/>
                <w:color w:val="auto"/>
              </w:rPr>
            </w:pPr>
          </w:p>
        </w:tc>
      </w:tr>
      <w:tr>
        <w:trPr>
          <w:trHeight w:val="445"/>
        </w:trPr>
        <w:tc>
          <w:tcPr>
            <w:tcW w:w="4940" w:type="dxa"/>
            <w:vAlign w:val="bottom"/>
          </w:tcPr>
          <w:p>
            <w:pPr>
              <w:ind w:left="40"/>
              <w:spacing w:after="0"/>
              <w:rPr>
                <w:sz w:val="20"/>
                <w:szCs w:val="20"/>
                <w:color w:val="auto"/>
              </w:rPr>
            </w:pPr>
            <w:r>
              <w:rPr>
                <w:rFonts w:ascii="Arial" w:cs="Arial" w:eastAsia="Arial" w:hAnsi="Arial"/>
                <w:sz w:val="16"/>
                <w:szCs w:val="16"/>
                <w:color w:val="auto"/>
              </w:rPr>
              <w:t>Video:</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RGUs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53,153</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57,215</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Penetration (4)</w:t>
            </w:r>
          </w:p>
        </w:tc>
        <w:tc>
          <w:tcPr>
            <w:tcW w:w="138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Digital video penetration (5)</w:t>
            </w:r>
          </w:p>
        </w:tc>
        <w:tc>
          <w:tcPr>
            <w:tcW w:w="1380" w:type="dxa"/>
            <w:vAlign w:val="bottom"/>
          </w:tcPr>
          <w:p>
            <w:pPr>
              <w:jc w:val="right"/>
              <w:spacing w:after="0"/>
              <w:rPr>
                <w:sz w:val="20"/>
                <w:szCs w:val="20"/>
                <w:color w:val="auto"/>
              </w:rPr>
            </w:pPr>
            <w:r>
              <w:rPr>
                <w:rFonts w:ascii="Arial" w:cs="Arial" w:eastAsia="Arial" w:hAnsi="Arial"/>
                <w:sz w:val="16"/>
                <w:szCs w:val="16"/>
                <w:color w:val="auto"/>
              </w:rPr>
              <w:t>94.3%</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90.3%</w:t>
            </w:r>
          </w:p>
        </w:tc>
        <w:tc>
          <w:tcPr>
            <w:tcW w:w="0" w:type="dxa"/>
            <w:vAlign w:val="bottom"/>
          </w:tcPr>
          <w:p>
            <w:pPr>
              <w:spacing w:after="0"/>
              <w:rPr>
                <w:sz w:val="1"/>
                <w:szCs w:val="1"/>
                <w:color w:val="auto"/>
              </w:rPr>
            </w:pPr>
          </w:p>
        </w:tc>
      </w:tr>
      <w:tr>
        <w:trPr>
          <w:trHeight w:val="270"/>
        </w:trPr>
        <w:tc>
          <w:tcPr>
            <w:tcW w:w="4940" w:type="dxa"/>
            <w:vAlign w:val="bottom"/>
          </w:tcPr>
          <w:p>
            <w:pPr>
              <w:ind w:left="40"/>
              <w:spacing w:after="0"/>
              <w:rPr>
                <w:sz w:val="20"/>
                <w:szCs w:val="20"/>
                <w:color w:val="auto"/>
              </w:rPr>
            </w:pPr>
            <w:r>
              <w:rPr>
                <w:rFonts w:ascii="Arial" w:cs="Arial" w:eastAsia="Arial" w:hAnsi="Arial"/>
                <w:sz w:val="16"/>
                <w:szCs w:val="16"/>
                <w:color w:val="auto"/>
              </w:rPr>
              <w:t>Broadband:</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RGUs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92,695</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79,507</w:t>
            </w:r>
          </w:p>
        </w:tc>
        <w:tc>
          <w:tcPr>
            <w:tcW w:w="0" w:type="dxa"/>
            <w:vAlign w:val="bottom"/>
          </w:tcPr>
          <w:p>
            <w:pPr>
              <w:spacing w:after="0"/>
              <w:rPr>
                <w:sz w:val="1"/>
                <w:szCs w:val="1"/>
                <w:color w:val="auto"/>
              </w:rPr>
            </w:pPr>
          </w:p>
        </w:tc>
      </w:tr>
      <w:tr>
        <w:trPr>
          <w:trHeight w:val="270"/>
        </w:trPr>
        <w:tc>
          <w:tcPr>
            <w:tcW w:w="4940" w:type="dxa"/>
            <w:vAlign w:val="bottom"/>
          </w:tcPr>
          <w:p>
            <w:pPr>
              <w:ind w:left="500"/>
              <w:spacing w:after="0"/>
              <w:rPr>
                <w:sz w:val="20"/>
                <w:szCs w:val="20"/>
                <w:color w:val="auto"/>
              </w:rPr>
            </w:pPr>
            <w:r>
              <w:rPr>
                <w:rFonts w:ascii="Arial" w:cs="Arial" w:eastAsia="Arial" w:hAnsi="Arial"/>
                <w:sz w:val="16"/>
                <w:szCs w:val="16"/>
                <w:color w:val="auto"/>
              </w:rPr>
              <w:t>Incumbent Cable</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91,364</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79,507</w:t>
            </w:r>
          </w:p>
        </w:tc>
        <w:tc>
          <w:tcPr>
            <w:tcW w:w="0" w:type="dxa"/>
            <w:vAlign w:val="bottom"/>
          </w:tcPr>
          <w:p>
            <w:pPr>
              <w:spacing w:after="0"/>
              <w:rPr>
                <w:sz w:val="1"/>
                <w:szCs w:val="1"/>
                <w:color w:val="auto"/>
              </w:rPr>
            </w:pPr>
          </w:p>
        </w:tc>
      </w:tr>
      <w:tr>
        <w:trPr>
          <w:trHeight w:val="270"/>
        </w:trPr>
        <w:tc>
          <w:tcPr>
            <w:tcW w:w="4940" w:type="dxa"/>
            <w:vAlign w:val="bottom"/>
          </w:tcPr>
          <w:p>
            <w:pPr>
              <w:ind w:left="500"/>
              <w:spacing w:after="0"/>
              <w:rPr>
                <w:sz w:val="20"/>
                <w:szCs w:val="20"/>
                <w:color w:val="auto"/>
              </w:rPr>
            </w:pPr>
            <w:r>
              <w:rPr>
                <w:rFonts w:ascii="Arial" w:cs="Arial" w:eastAsia="Arial" w:hAnsi="Arial"/>
                <w:sz w:val="16"/>
                <w:szCs w:val="16"/>
                <w:color w:val="auto"/>
              </w:rPr>
              <w:t>Glo Fiber</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Penetration (4)</w:t>
            </w:r>
          </w:p>
        </w:tc>
        <w:tc>
          <w:tcPr>
            <w:tcW w:w="138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70"/>
        </w:trPr>
        <w:tc>
          <w:tcPr>
            <w:tcW w:w="4940" w:type="dxa"/>
            <w:vAlign w:val="bottom"/>
          </w:tcPr>
          <w:p>
            <w:pPr>
              <w:ind w:left="500"/>
              <w:spacing w:after="0"/>
              <w:rPr>
                <w:sz w:val="20"/>
                <w:szCs w:val="20"/>
                <w:color w:val="auto"/>
              </w:rPr>
            </w:pPr>
            <w:r>
              <w:rPr>
                <w:rFonts w:ascii="Arial" w:cs="Arial" w:eastAsia="Arial" w:hAnsi="Arial"/>
                <w:sz w:val="16"/>
                <w:szCs w:val="16"/>
                <w:color w:val="auto"/>
              </w:rPr>
              <w:t>Incumbent Cable penetration (4)</w:t>
            </w:r>
          </w:p>
        </w:tc>
        <w:tc>
          <w:tcPr>
            <w:tcW w:w="1380" w:type="dxa"/>
            <w:vAlign w:val="bottom"/>
          </w:tcPr>
          <w:p>
            <w:pPr>
              <w:jc w:val="right"/>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70"/>
        </w:trPr>
        <w:tc>
          <w:tcPr>
            <w:tcW w:w="4940" w:type="dxa"/>
            <w:vAlign w:val="bottom"/>
          </w:tcPr>
          <w:p>
            <w:pPr>
              <w:ind w:left="500"/>
              <w:spacing w:after="0"/>
              <w:rPr>
                <w:sz w:val="20"/>
                <w:szCs w:val="20"/>
                <w:color w:val="auto"/>
              </w:rPr>
            </w:pPr>
            <w:r>
              <w:rPr>
                <w:rFonts w:ascii="Arial" w:cs="Arial" w:eastAsia="Arial" w:hAnsi="Arial"/>
                <w:sz w:val="16"/>
                <w:szCs w:val="16"/>
                <w:color w:val="auto"/>
              </w:rPr>
              <w:t>Glo Fiber penetration (4)</w:t>
            </w:r>
          </w:p>
        </w:tc>
        <w:tc>
          <w:tcPr>
            <w:tcW w:w="13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940" w:type="dxa"/>
            <w:vAlign w:val="bottom"/>
          </w:tcPr>
          <w:p>
            <w:pPr>
              <w:ind w:left="40"/>
              <w:spacing w:after="0"/>
              <w:rPr>
                <w:sz w:val="20"/>
                <w:szCs w:val="20"/>
                <w:color w:val="auto"/>
              </w:rPr>
            </w:pPr>
            <w:r>
              <w:rPr>
                <w:rFonts w:ascii="Arial" w:cs="Arial" w:eastAsia="Arial" w:hAnsi="Arial"/>
                <w:sz w:val="16"/>
                <w:szCs w:val="16"/>
                <w:color w:val="auto"/>
              </w:rPr>
              <w:t>Voice:</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RGUs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32,252</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30,754</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Penetration (4)</w:t>
            </w:r>
          </w:p>
        </w:tc>
        <w:tc>
          <w:tcPr>
            <w:tcW w:w="138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33"/>
        </w:trPr>
        <w:tc>
          <w:tcPr>
            <w:tcW w:w="49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Cable and Glo Fiber RGUs</w:t>
            </w: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40" w:type="dxa"/>
            <w:vAlign w:val="bottom"/>
            <w:vMerge w:val="continue"/>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178,100</w:t>
            </w:r>
          </w:p>
        </w:tc>
        <w:tc>
          <w:tcPr>
            <w:tcW w:w="10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167,476</w:t>
            </w:r>
          </w:p>
        </w:tc>
        <w:tc>
          <w:tcPr>
            <w:tcW w:w="0" w:type="dxa"/>
            <w:vAlign w:val="bottom"/>
          </w:tcPr>
          <w:p>
            <w:pPr>
              <w:spacing w:after="0"/>
              <w:rPr>
                <w:sz w:val="1"/>
                <w:szCs w:val="1"/>
                <w:color w:val="auto"/>
              </w:rPr>
            </w:pPr>
          </w:p>
        </w:tc>
      </w:tr>
      <w:tr>
        <w:trPr>
          <w:trHeight w:val="540"/>
        </w:trPr>
        <w:tc>
          <w:tcPr>
            <w:tcW w:w="4940" w:type="dxa"/>
            <w:vAlign w:val="bottom"/>
          </w:tcPr>
          <w:p>
            <w:pPr>
              <w:ind w:left="40"/>
              <w:spacing w:after="0"/>
              <w:rPr>
                <w:sz w:val="20"/>
                <w:szCs w:val="20"/>
                <w:color w:val="auto"/>
              </w:rPr>
            </w:pPr>
            <w:r>
              <w:rPr>
                <w:rFonts w:ascii="Arial" w:cs="Arial" w:eastAsia="Arial" w:hAnsi="Arial"/>
                <w:sz w:val="16"/>
                <w:szCs w:val="16"/>
                <w:color w:val="auto"/>
              </w:rPr>
              <w:t>RLEC homes passed</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25,852</w:t>
            </w:r>
          </w:p>
        </w:tc>
        <w:tc>
          <w:tcPr>
            <w:tcW w:w="100" w:type="dxa"/>
            <w:vAlign w:val="bottom"/>
          </w:tcPr>
          <w:p>
            <w:pPr>
              <w:spacing w:after="0"/>
              <w:rPr>
                <w:sz w:val="24"/>
                <w:szCs w:val="24"/>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25,814</w:t>
            </w:r>
          </w:p>
        </w:tc>
        <w:tc>
          <w:tcPr>
            <w:tcW w:w="0" w:type="dxa"/>
            <w:vAlign w:val="bottom"/>
          </w:tcPr>
          <w:p>
            <w:pPr>
              <w:spacing w:after="0"/>
              <w:rPr>
                <w:sz w:val="1"/>
                <w:szCs w:val="1"/>
                <w:color w:val="auto"/>
              </w:rPr>
            </w:pPr>
          </w:p>
        </w:tc>
      </w:tr>
      <w:tr>
        <w:trPr>
          <w:trHeight w:val="276"/>
        </w:trPr>
        <w:tc>
          <w:tcPr>
            <w:tcW w:w="4940" w:type="dxa"/>
            <w:vAlign w:val="bottom"/>
          </w:tcPr>
          <w:p>
            <w:pPr>
              <w:ind w:left="40"/>
              <w:spacing w:after="0"/>
              <w:rPr>
                <w:sz w:val="20"/>
                <w:szCs w:val="20"/>
                <w:color w:val="auto"/>
              </w:rPr>
            </w:pPr>
            <w:r>
              <w:rPr>
                <w:rFonts w:ascii="Arial" w:cs="Arial" w:eastAsia="Arial" w:hAnsi="Arial"/>
                <w:sz w:val="18"/>
                <w:szCs w:val="18"/>
                <w:color w:val="auto"/>
              </w:rPr>
              <w:t>RLEC customer relationships (3)</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12,587</w:t>
            </w:r>
          </w:p>
        </w:tc>
        <w:tc>
          <w:tcPr>
            <w:tcW w:w="100" w:type="dxa"/>
            <w:vAlign w:val="bottom"/>
          </w:tcPr>
          <w:p>
            <w:pPr>
              <w:spacing w:after="0"/>
              <w:rPr>
                <w:sz w:val="24"/>
                <w:szCs w:val="24"/>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13,528</w:t>
            </w:r>
          </w:p>
        </w:tc>
        <w:tc>
          <w:tcPr>
            <w:tcW w:w="0" w:type="dxa"/>
            <w:vAlign w:val="bottom"/>
          </w:tcPr>
          <w:p>
            <w:pPr>
              <w:spacing w:after="0"/>
              <w:rPr>
                <w:sz w:val="1"/>
                <w:szCs w:val="1"/>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6"/>
                <w:szCs w:val="16"/>
                <w:color w:val="auto"/>
              </w:rPr>
              <w:t>RLEC RGUs:</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380"/>
              <w:spacing w:after="0"/>
              <w:rPr>
                <w:sz w:val="20"/>
                <w:szCs w:val="20"/>
                <w:color w:val="auto"/>
              </w:rPr>
            </w:pPr>
            <w:r>
              <w:rPr>
                <w:rFonts w:ascii="Arial" w:cs="Arial" w:eastAsia="Arial" w:hAnsi="Arial"/>
                <w:sz w:val="16"/>
                <w:szCs w:val="16"/>
                <w:color w:val="auto"/>
              </w:rPr>
              <w:t>Data RLEC</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7,755</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8,424</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Penetration (4)</w:t>
            </w:r>
          </w:p>
        </w:tc>
        <w:tc>
          <w:tcPr>
            <w:tcW w:w="13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70"/>
        </w:trPr>
        <w:tc>
          <w:tcPr>
            <w:tcW w:w="4940" w:type="dxa"/>
            <w:vAlign w:val="bottom"/>
          </w:tcPr>
          <w:p>
            <w:pPr>
              <w:ind w:left="380"/>
              <w:spacing w:after="0"/>
              <w:rPr>
                <w:sz w:val="20"/>
                <w:szCs w:val="20"/>
                <w:color w:val="auto"/>
              </w:rPr>
            </w:pPr>
            <w:r>
              <w:rPr>
                <w:rFonts w:ascii="Arial" w:cs="Arial" w:eastAsia="Arial" w:hAnsi="Arial"/>
                <w:sz w:val="16"/>
                <w:szCs w:val="16"/>
                <w:color w:val="auto"/>
              </w:rPr>
              <w:t>Voice RLEC</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13,812</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14,873</w:t>
            </w:r>
          </w:p>
        </w:tc>
        <w:tc>
          <w:tcPr>
            <w:tcW w:w="0" w:type="dxa"/>
            <w:vAlign w:val="bottom"/>
          </w:tcPr>
          <w:p>
            <w:pPr>
              <w:spacing w:after="0"/>
              <w:rPr>
                <w:sz w:val="1"/>
                <w:szCs w:val="1"/>
                <w:color w:val="auto"/>
              </w:rPr>
            </w:pPr>
          </w:p>
        </w:tc>
      </w:tr>
      <w:tr>
        <w:trPr>
          <w:trHeight w:val="270"/>
        </w:trPr>
        <w:tc>
          <w:tcPr>
            <w:tcW w:w="4940" w:type="dxa"/>
            <w:vAlign w:val="bottom"/>
          </w:tcPr>
          <w:p>
            <w:pPr>
              <w:ind w:left="280"/>
              <w:spacing w:after="0"/>
              <w:rPr>
                <w:sz w:val="20"/>
                <w:szCs w:val="20"/>
                <w:color w:val="auto"/>
              </w:rPr>
            </w:pPr>
            <w:r>
              <w:rPr>
                <w:rFonts w:ascii="Arial" w:cs="Arial" w:eastAsia="Arial" w:hAnsi="Arial"/>
                <w:sz w:val="16"/>
                <w:szCs w:val="16"/>
                <w:color w:val="auto"/>
              </w:rPr>
              <w:t>Penetration (4)</w:t>
            </w:r>
          </w:p>
        </w:tc>
        <w:tc>
          <w:tcPr>
            <w:tcW w:w="138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33"/>
        </w:trPr>
        <w:tc>
          <w:tcPr>
            <w:tcW w:w="49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RLEC RGUs</w:t>
            </w: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40" w:type="dxa"/>
            <w:vAlign w:val="bottom"/>
            <w:vMerge w:val="continue"/>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21,567</w:t>
            </w:r>
          </w:p>
        </w:tc>
        <w:tc>
          <w:tcPr>
            <w:tcW w:w="10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23,297</w:t>
            </w:r>
          </w:p>
        </w:tc>
        <w:tc>
          <w:tcPr>
            <w:tcW w:w="0" w:type="dxa"/>
            <w:vAlign w:val="bottom"/>
          </w:tcPr>
          <w:p>
            <w:pPr>
              <w:spacing w:after="0"/>
              <w:rPr>
                <w:sz w:val="1"/>
                <w:szCs w:val="1"/>
                <w:color w:val="auto"/>
              </w:rPr>
            </w:pPr>
          </w:p>
        </w:tc>
      </w:tr>
      <w:tr>
        <w:trPr>
          <w:trHeight w:val="553"/>
        </w:trPr>
        <w:tc>
          <w:tcPr>
            <w:tcW w:w="4940" w:type="dxa"/>
            <w:vAlign w:val="bottom"/>
          </w:tcPr>
          <w:p>
            <w:pPr>
              <w:ind w:left="40"/>
              <w:spacing w:after="0"/>
              <w:rPr>
                <w:sz w:val="20"/>
                <w:szCs w:val="20"/>
                <w:color w:val="auto"/>
              </w:rPr>
            </w:pPr>
            <w:r>
              <w:rPr>
                <w:rFonts w:ascii="Arial" w:cs="Arial" w:eastAsia="Arial" w:hAnsi="Arial"/>
                <w:sz w:val="16"/>
                <w:szCs w:val="16"/>
                <w:b w:val="1"/>
                <w:bCs w:val="1"/>
                <w:color w:val="auto"/>
              </w:rPr>
              <w:t>Total RGUs</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199,667</w:t>
            </w:r>
          </w:p>
        </w:tc>
        <w:tc>
          <w:tcPr>
            <w:tcW w:w="100" w:type="dxa"/>
            <w:vAlign w:val="bottom"/>
          </w:tcPr>
          <w:p>
            <w:pPr>
              <w:spacing w:after="0"/>
              <w:rPr>
                <w:sz w:val="24"/>
                <w:szCs w:val="24"/>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190,773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940" w:type="dxa"/>
            <w:vAlign w:val="bottom"/>
          </w:tcPr>
          <w:p>
            <w:pPr>
              <w:ind w:left="40"/>
              <w:spacing w:after="0"/>
              <w:rPr>
                <w:sz w:val="20"/>
                <w:szCs w:val="20"/>
                <w:color w:val="auto"/>
              </w:rPr>
            </w:pPr>
            <w:r>
              <w:rPr>
                <w:rFonts w:ascii="Arial" w:cs="Arial" w:eastAsia="Arial" w:hAnsi="Arial"/>
                <w:sz w:val="16"/>
                <w:szCs w:val="16"/>
                <w:color w:val="auto"/>
              </w:rPr>
              <w:t>Fiber route miles</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6,478</w:t>
            </w:r>
          </w:p>
        </w:tc>
        <w:tc>
          <w:tcPr>
            <w:tcW w:w="100" w:type="dxa"/>
            <w:vAlign w:val="bottom"/>
          </w:tcPr>
          <w:p>
            <w:pPr>
              <w:spacing w:after="0"/>
              <w:rPr>
                <w:sz w:val="24"/>
                <w:szCs w:val="24"/>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5,833</w:t>
            </w:r>
          </w:p>
        </w:tc>
        <w:tc>
          <w:tcPr>
            <w:tcW w:w="0" w:type="dxa"/>
            <w:vAlign w:val="bottom"/>
          </w:tcPr>
          <w:p>
            <w:pPr>
              <w:spacing w:after="0"/>
              <w:rPr>
                <w:sz w:val="1"/>
                <w:szCs w:val="1"/>
                <w:color w:val="auto"/>
              </w:rPr>
            </w:pPr>
          </w:p>
        </w:tc>
      </w:tr>
      <w:tr>
        <w:trPr>
          <w:trHeight w:val="270"/>
        </w:trPr>
        <w:tc>
          <w:tcPr>
            <w:tcW w:w="4940" w:type="dxa"/>
            <w:vAlign w:val="bottom"/>
          </w:tcPr>
          <w:p>
            <w:pPr>
              <w:ind w:left="40"/>
              <w:spacing w:after="0"/>
              <w:rPr>
                <w:sz w:val="20"/>
                <w:szCs w:val="20"/>
                <w:color w:val="auto"/>
              </w:rPr>
            </w:pPr>
            <w:r>
              <w:rPr>
                <w:rFonts w:ascii="Arial" w:cs="Arial" w:eastAsia="Arial" w:hAnsi="Arial"/>
                <w:sz w:val="16"/>
                <w:szCs w:val="16"/>
                <w:color w:val="auto"/>
              </w:rPr>
              <w:t>Total fiber miles (6)</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346,969</w:t>
            </w:r>
          </w:p>
        </w:tc>
        <w:tc>
          <w:tcPr>
            <w:tcW w:w="100" w:type="dxa"/>
            <w:vAlign w:val="bottom"/>
          </w:tcPr>
          <w:p>
            <w:pPr>
              <w:spacing w:after="0"/>
              <w:rPr>
                <w:sz w:val="23"/>
                <w:szCs w:val="23"/>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307,125</w:t>
            </w:r>
          </w:p>
        </w:tc>
        <w:tc>
          <w:tcPr>
            <w:tcW w:w="0" w:type="dxa"/>
            <w:vAlign w:val="bottom"/>
          </w:tcPr>
          <w:p>
            <w:pPr>
              <w:spacing w:after="0"/>
              <w:rPr>
                <w:sz w:val="1"/>
                <w:szCs w:val="1"/>
                <w:color w:val="auto"/>
              </w:rPr>
            </w:pPr>
          </w:p>
        </w:tc>
      </w:tr>
      <w:tr>
        <w:trPr>
          <w:trHeight w:val="148"/>
        </w:trPr>
        <w:tc>
          <w:tcPr>
            <w:tcW w:w="494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Homes and businesses are considered passed (“homes passed”) if we can connect them to our distribution system without further extending the transmission lines. Homes passed is an estimate based upon the best available information. Homes passed have access to video, broadband and voice services.</w:t>
      </w: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approximately 16,600 RLEC homes passed where we are the dual incumbent telephone and cable provider.</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Customer relationships represent the number of billed customers who receive at least one of our services.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Penetration is calculated by dividing the number of users by the number of homes passed or available homes, as appropriate.</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Digital video penetration is calculated by dividing the number of digital video users by total video users. Digital video users are video customers who receive any level of video service via digital transmission. A dwelling with one or more digital set-top boxes or digital adapters counts as one digital video user.</w:t>
      </w:r>
    </w:p>
    <w:p>
      <w:pPr>
        <w:ind w:left="660" w:hanging="328"/>
        <w:spacing w:after="0" w:line="255"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with the Three Months Ended June 30,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w w:val="96"/>
              </w:rPr>
              <w:t>Broadband results from operations are summarized as follows:</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6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jc w:val="right"/>
              <w:ind w:right="265"/>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6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880" w:type="dxa"/>
            <w:vAlign w:val="bottom"/>
          </w:tcPr>
          <w:p>
            <w:pPr>
              <w:jc w:val="right"/>
              <w:ind w:right="125"/>
              <w:spacing w:after="0"/>
              <w:rPr>
                <w:sz w:val="20"/>
                <w:szCs w:val="20"/>
                <w:color w:val="auto"/>
              </w:rPr>
            </w:pPr>
            <w:r>
              <w:rPr>
                <w:rFonts w:ascii="Arial" w:cs="Arial" w:eastAsia="Arial" w:hAnsi="Arial"/>
                <w:sz w:val="18"/>
                <w:szCs w:val="18"/>
                <w:b w:val="1"/>
                <w:bCs w:val="1"/>
                <w:color w:val="auto"/>
                <w:w w:val="87"/>
              </w:rPr>
              <w:t>Revenue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38"/>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860" w:type="dxa"/>
            <w:vAlign w:val="bottom"/>
            <w:vMerge w:val="restart"/>
          </w:tcPr>
          <w:p>
            <w:pPr>
              <w:ind w:left="60"/>
              <w:spacing w:after="0"/>
              <w:rPr>
                <w:sz w:val="20"/>
                <w:szCs w:val="20"/>
                <w:color w:val="auto"/>
              </w:rPr>
            </w:pPr>
            <w:r>
              <w:rPr>
                <w:rFonts w:ascii="Arial" w:cs="Arial" w:eastAsia="Arial" w:hAnsi="Arial"/>
                <w:sz w:val="18"/>
                <w:szCs w:val="18"/>
                <w:color w:val="auto"/>
              </w:rPr>
              <w:t>Broadband operating revenue</w:t>
            </w: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860" w:type="dxa"/>
            <w:vAlign w:val="bottom"/>
          </w:tcPr>
          <w:p>
            <w:pPr>
              <w:ind w:left="200"/>
              <w:spacing w:after="0"/>
              <w:rPr>
                <w:sz w:val="20"/>
                <w:szCs w:val="20"/>
                <w:color w:val="auto"/>
              </w:rPr>
            </w:pPr>
            <w:r>
              <w:rPr>
                <w:rFonts w:ascii="Arial" w:cs="Arial" w:eastAsia="Arial" w:hAnsi="Arial"/>
                <w:sz w:val="18"/>
                <w:szCs w:val="18"/>
                <w:color w:val="auto"/>
              </w:rPr>
              <w:t>Cable, residential and SMB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35,829</w:t>
            </w:r>
          </w:p>
        </w:tc>
        <w:tc>
          <w:tcPr>
            <w:tcW w:w="1100" w:type="dxa"/>
            <w:vAlign w:val="bottom"/>
          </w:tcPr>
          <w:p>
            <w:pPr>
              <w:jc w:val="right"/>
              <w:spacing w:after="0"/>
              <w:rPr>
                <w:sz w:val="20"/>
                <w:szCs w:val="20"/>
                <w:color w:val="auto"/>
              </w:rPr>
            </w:pPr>
            <w:r>
              <w:rPr>
                <w:rFonts w:ascii="Arial" w:cs="Arial" w:eastAsia="Arial" w:hAnsi="Arial"/>
                <w:sz w:val="14"/>
                <w:szCs w:val="14"/>
                <w:color w:val="auto"/>
              </w:rPr>
              <w:t>71.5</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33,581</w:t>
            </w:r>
          </w:p>
        </w:tc>
        <w:tc>
          <w:tcPr>
            <w:tcW w:w="880" w:type="dxa"/>
            <w:vAlign w:val="bottom"/>
          </w:tcPr>
          <w:p>
            <w:pPr>
              <w:jc w:val="right"/>
              <w:ind w:right="65"/>
              <w:spacing w:after="0"/>
              <w:rPr>
                <w:sz w:val="20"/>
                <w:szCs w:val="20"/>
                <w:color w:val="auto"/>
              </w:rPr>
            </w:pPr>
            <w:r>
              <w:rPr>
                <w:rFonts w:ascii="Arial" w:cs="Arial" w:eastAsia="Arial" w:hAnsi="Arial"/>
                <w:sz w:val="14"/>
                <w:szCs w:val="14"/>
                <w:color w:val="auto"/>
              </w:rPr>
              <w:t>69.2</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2,248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70"/>
        </w:trPr>
        <w:tc>
          <w:tcPr>
            <w:tcW w:w="4860" w:type="dxa"/>
            <w:vAlign w:val="bottom"/>
          </w:tcPr>
          <w:p>
            <w:pPr>
              <w:ind w:left="200"/>
              <w:spacing w:after="0"/>
              <w:rPr>
                <w:sz w:val="20"/>
                <w:szCs w:val="20"/>
                <w:color w:val="auto"/>
              </w:rPr>
            </w:pPr>
            <w:r>
              <w:rPr>
                <w:rFonts w:ascii="Arial" w:cs="Arial" w:eastAsia="Arial" w:hAnsi="Arial"/>
                <w:sz w:val="18"/>
                <w:szCs w:val="18"/>
                <w:color w:val="auto"/>
              </w:rPr>
              <w:t>Fiber, enterprise and wholesale</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7,619</w:t>
            </w:r>
          </w:p>
        </w:tc>
        <w:tc>
          <w:tcPr>
            <w:tcW w:w="110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6,725</w:t>
            </w:r>
          </w:p>
        </w:tc>
        <w:tc>
          <w:tcPr>
            <w:tcW w:w="880" w:type="dxa"/>
            <w:vAlign w:val="bottom"/>
          </w:tcPr>
          <w:p>
            <w:pPr>
              <w:jc w:val="right"/>
              <w:ind w:right="65"/>
              <w:spacing w:after="0"/>
              <w:rPr>
                <w:sz w:val="20"/>
                <w:szCs w:val="20"/>
                <w:color w:val="auto"/>
              </w:rPr>
            </w:pPr>
            <w:r>
              <w:rPr>
                <w:rFonts w:ascii="Arial" w:cs="Arial" w:eastAsia="Arial" w:hAnsi="Arial"/>
                <w:sz w:val="14"/>
                <w:szCs w:val="14"/>
                <w:color w:val="auto"/>
              </w:rPr>
              <w:t>13.9</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70"/>
        </w:trPr>
        <w:tc>
          <w:tcPr>
            <w:tcW w:w="4860" w:type="dxa"/>
            <w:vAlign w:val="bottom"/>
          </w:tcPr>
          <w:p>
            <w:pPr>
              <w:ind w:left="200"/>
              <w:spacing w:after="0"/>
              <w:rPr>
                <w:sz w:val="20"/>
                <w:szCs w:val="20"/>
                <w:color w:val="auto"/>
              </w:rPr>
            </w:pPr>
            <w:r>
              <w:rPr>
                <w:rFonts w:ascii="Arial" w:cs="Arial" w:eastAsia="Arial" w:hAnsi="Arial"/>
                <w:sz w:val="18"/>
                <w:szCs w:val="18"/>
                <w:color w:val="auto"/>
              </w:rPr>
              <w:t>Rural local exchange carrier</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4,830</w:t>
            </w:r>
          </w:p>
        </w:tc>
        <w:tc>
          <w:tcPr>
            <w:tcW w:w="110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6,041</w:t>
            </w:r>
          </w:p>
        </w:tc>
        <w:tc>
          <w:tcPr>
            <w:tcW w:w="880" w:type="dxa"/>
            <w:vAlign w:val="bottom"/>
          </w:tcPr>
          <w:p>
            <w:pPr>
              <w:jc w:val="right"/>
              <w:ind w:right="65"/>
              <w:spacing w:after="0"/>
              <w:rPr>
                <w:sz w:val="20"/>
                <w:szCs w:val="20"/>
                <w:color w:val="auto"/>
              </w:rPr>
            </w:pPr>
            <w:r>
              <w:rPr>
                <w:rFonts w:ascii="Arial" w:cs="Arial" w:eastAsia="Arial" w:hAnsi="Arial"/>
                <w:sz w:val="14"/>
                <w:szCs w:val="14"/>
                <w:color w:val="auto"/>
              </w:rPr>
              <w:t>12.4</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(1,211)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76"/>
        </w:trPr>
        <w:tc>
          <w:tcPr>
            <w:tcW w:w="4860" w:type="dxa"/>
            <w:vAlign w:val="bottom"/>
          </w:tcPr>
          <w:p>
            <w:pPr>
              <w:ind w:left="200"/>
              <w:spacing w:after="0"/>
              <w:rPr>
                <w:sz w:val="20"/>
                <w:szCs w:val="20"/>
                <w:color w:val="auto"/>
              </w:rPr>
            </w:pPr>
            <w:r>
              <w:rPr>
                <w:rFonts w:ascii="Arial" w:cs="Arial" w:eastAsia="Arial" w:hAnsi="Arial"/>
                <w:sz w:val="18"/>
                <w:szCs w:val="18"/>
                <w:color w:val="auto"/>
              </w:rPr>
              <w:t>Equipment and other</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2,204</w:t>
            </w:r>
          </w:p>
        </w:tc>
        <w:tc>
          <w:tcPr>
            <w:tcW w:w="88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4.5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(349)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63"/>
        </w:trPr>
        <w:tc>
          <w:tcPr>
            <w:tcW w:w="4860" w:type="dxa"/>
            <w:vAlign w:val="bottom"/>
          </w:tcPr>
          <w:p>
            <w:pPr>
              <w:ind w:left="420"/>
              <w:spacing w:after="0"/>
              <w:rPr>
                <w:sz w:val="20"/>
                <w:szCs w:val="20"/>
                <w:color w:val="auto"/>
              </w:rPr>
            </w:pPr>
            <w:r>
              <w:rPr>
                <w:rFonts w:ascii="Arial" w:cs="Arial" w:eastAsia="Arial" w:hAnsi="Arial"/>
                <w:sz w:val="18"/>
                <w:szCs w:val="18"/>
                <w:color w:val="auto"/>
              </w:rPr>
              <w:t>Total broadband revenue</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50,133</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48,551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1,582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3"/>
        </w:trPr>
        <w:tc>
          <w:tcPr>
            <w:tcW w:w="4860" w:type="dxa"/>
            <w:vAlign w:val="bottom"/>
          </w:tcPr>
          <w:p>
            <w:pPr>
              <w:ind w:left="60"/>
              <w:spacing w:after="0"/>
              <w:rPr>
                <w:sz w:val="20"/>
                <w:szCs w:val="20"/>
                <w:color w:val="auto"/>
              </w:rPr>
            </w:pPr>
            <w:r>
              <w:rPr>
                <w:rFonts w:ascii="Arial" w:cs="Arial" w:eastAsia="Arial" w:hAnsi="Arial"/>
                <w:sz w:val="18"/>
                <w:szCs w:val="18"/>
                <w:color w:val="auto"/>
              </w:rPr>
              <w:t>Broadband operating expenses</w:t>
            </w: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860" w:type="dxa"/>
            <w:vAlign w:val="bottom"/>
          </w:tcPr>
          <w:p>
            <w:pPr>
              <w:ind w:left="30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20,640</w:t>
            </w:r>
          </w:p>
        </w:tc>
        <w:tc>
          <w:tcPr>
            <w:tcW w:w="110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19,014</w:t>
            </w:r>
          </w:p>
        </w:tc>
        <w:tc>
          <w:tcPr>
            <w:tcW w:w="880" w:type="dxa"/>
            <w:vAlign w:val="bottom"/>
          </w:tcPr>
          <w:p>
            <w:pPr>
              <w:jc w:val="right"/>
              <w:ind w:right="65"/>
              <w:spacing w:after="0"/>
              <w:rPr>
                <w:sz w:val="20"/>
                <w:szCs w:val="20"/>
                <w:color w:val="auto"/>
              </w:rPr>
            </w:pPr>
            <w:r>
              <w:rPr>
                <w:rFonts w:ascii="Arial" w:cs="Arial" w:eastAsia="Arial" w:hAnsi="Arial"/>
                <w:sz w:val="14"/>
                <w:szCs w:val="14"/>
                <w:color w:val="auto"/>
              </w:rPr>
              <w:t>39.2</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70"/>
        </w:trPr>
        <w:tc>
          <w:tcPr>
            <w:tcW w:w="4860" w:type="dxa"/>
            <w:vAlign w:val="bottom"/>
          </w:tcPr>
          <w:p>
            <w:pPr>
              <w:ind w:left="30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w:t>
            </w: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131</w:t>
            </w:r>
          </w:p>
        </w:tc>
        <w:tc>
          <w:tcPr>
            <w:tcW w:w="880" w:type="dxa"/>
            <w:vAlign w:val="bottom"/>
          </w:tcPr>
          <w:p>
            <w:pPr>
              <w:jc w:val="right"/>
              <w:ind w:right="65"/>
              <w:spacing w:after="0"/>
              <w:rPr>
                <w:sz w:val="20"/>
                <w:szCs w:val="20"/>
                <w:color w:val="auto"/>
              </w:rPr>
            </w:pPr>
            <w:r>
              <w:rPr>
                <w:rFonts w:ascii="Arial" w:cs="Arial" w:eastAsia="Arial" w:hAnsi="Arial"/>
                <w:sz w:val="14"/>
                <w:szCs w:val="14"/>
                <w:color w:val="auto"/>
              </w:rPr>
              <w:t>0.3</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70"/>
        </w:trPr>
        <w:tc>
          <w:tcPr>
            <w:tcW w:w="4860" w:type="dxa"/>
            <w:vAlign w:val="bottom"/>
          </w:tcPr>
          <w:p>
            <w:pPr>
              <w:ind w:left="3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9,260</w:t>
            </w:r>
          </w:p>
        </w:tc>
        <w:tc>
          <w:tcPr>
            <w:tcW w:w="11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7,524</w:t>
            </w:r>
          </w:p>
        </w:tc>
        <w:tc>
          <w:tcPr>
            <w:tcW w:w="880" w:type="dxa"/>
            <w:vAlign w:val="bottom"/>
          </w:tcPr>
          <w:p>
            <w:pPr>
              <w:jc w:val="right"/>
              <w:ind w:right="65"/>
              <w:spacing w:after="0"/>
              <w:rPr>
                <w:sz w:val="20"/>
                <w:szCs w:val="20"/>
                <w:color w:val="auto"/>
              </w:rPr>
            </w:pPr>
            <w:r>
              <w:rPr>
                <w:rFonts w:ascii="Arial" w:cs="Arial" w:eastAsia="Arial" w:hAnsi="Arial"/>
                <w:sz w:val="14"/>
                <w:szCs w:val="14"/>
                <w:color w:val="auto"/>
              </w:rPr>
              <w:t>15.5</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76"/>
        </w:trPr>
        <w:tc>
          <w:tcPr>
            <w:tcW w:w="48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10,002</w:t>
            </w:r>
          </w:p>
        </w:tc>
        <w:tc>
          <w:tcPr>
            <w:tcW w:w="88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20.6</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1,243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64"/>
        </w:trPr>
        <w:tc>
          <w:tcPr>
            <w:tcW w:w="4860" w:type="dxa"/>
            <w:vAlign w:val="bottom"/>
          </w:tcPr>
          <w:p>
            <w:pPr>
              <w:ind w:left="420"/>
              <w:spacing w:after="0"/>
              <w:rPr>
                <w:sz w:val="20"/>
                <w:szCs w:val="20"/>
                <w:color w:val="auto"/>
              </w:rPr>
            </w:pPr>
            <w:r>
              <w:rPr>
                <w:rFonts w:ascii="Arial" w:cs="Arial" w:eastAsia="Arial" w:hAnsi="Arial"/>
                <w:sz w:val="18"/>
                <w:szCs w:val="18"/>
                <w:color w:val="auto"/>
              </w:rPr>
              <w:t>Total broadband operating expenses</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82.5</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36,671</w:t>
            </w:r>
          </w:p>
        </w:tc>
        <w:tc>
          <w:tcPr>
            <w:tcW w:w="88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75.5</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4,695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63"/>
        </w:trPr>
        <w:tc>
          <w:tcPr>
            <w:tcW w:w="4860" w:type="dxa"/>
            <w:vAlign w:val="bottom"/>
          </w:tcPr>
          <w:p>
            <w:pPr>
              <w:ind w:left="60"/>
              <w:spacing w:after="0"/>
              <w:rPr>
                <w:sz w:val="20"/>
                <w:szCs w:val="20"/>
                <w:color w:val="auto"/>
              </w:rPr>
            </w:pPr>
            <w:r>
              <w:rPr>
                <w:rFonts w:ascii="Arial" w:cs="Arial" w:eastAsia="Arial" w:hAnsi="Arial"/>
                <w:sz w:val="18"/>
                <w:szCs w:val="18"/>
                <w:color w:val="auto"/>
              </w:rPr>
              <w:t>Broadband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11,880</w:t>
            </w:r>
          </w:p>
        </w:tc>
        <w:tc>
          <w:tcPr>
            <w:tcW w:w="88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24.5</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(3,113)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residential and small and medium business (SMB) revenue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Cable, residential and SMB revenue increased during the three months ended June 30, 2020 approximately $2.2 million, or 6.7%, primarily driven by broadband subscriber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Fiber, enterprise and wholesale revenue</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Fiber, enterprise and wholesale revenue increased during the three months ended June 30, 2020 approximately $0.9 million, or 13.3%, due primarily to an increase in new enterprise and backhaul connections.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Rural local exchange carrier (RLEC) revenue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RLEC revenue decreased approximately $1.2 million, or 20.0%, compared with the three months ended June 30, 2019 due to lower governmental support and a decline in residential voice and data subscribers.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services increased $1.6 million, or 8.6%, primarily driven by $0.9 million of compensation costs and $0.7 million of network support costs, required to support the expansion of our network. The compensation increase was due to the aforementioned COVID-19 supplemental pay and retention program of $0.5 million and an increase in Glo Fiber and Beam start-up staffing.</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were comparable with three months ended June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 increased $1.7 million or 23.1% compared with the three months ended June 30, 2019. The increase was driven by $1.3 million in higher payroll and benefit expense due to a combination of Glo Fiber and fixed wireless start-up staffing, an increase in benefit plans and higher incentive accrual from strong operating results and $0.4 million increase in professional fees.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Depreciation and amortization increased $1.2 million or 12.4%, compared with the three months ended June 30, 2019, primarily as a result of our network expansion, the introduction of fiber to the home service under our brand, Glo Fiber, and our fixed wireless broadband solution, Beam.</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with the Six Months Ended June 30,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w w:val="96"/>
              </w:rPr>
              <w:t>Broadband results from operations are summarized as follows: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6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Six Months Ended June 30,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jc w:val="right"/>
              <w:ind w:right="265"/>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6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125"/>
              <w:spacing w:after="0"/>
              <w:rPr>
                <w:sz w:val="20"/>
                <w:szCs w:val="20"/>
                <w:color w:val="auto"/>
              </w:rPr>
            </w:pPr>
            <w:r>
              <w:rPr>
                <w:rFonts w:ascii="Arial" w:cs="Arial" w:eastAsia="Arial" w:hAnsi="Arial"/>
                <w:sz w:val="18"/>
                <w:szCs w:val="18"/>
                <w:b w:val="1"/>
                <w:bCs w:val="1"/>
                <w:color w:val="auto"/>
                <w:w w:val="93"/>
              </w:rPr>
              <w:t>Revenue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38"/>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860" w:type="dxa"/>
            <w:vAlign w:val="bottom"/>
            <w:vMerge w:val="restart"/>
          </w:tcPr>
          <w:p>
            <w:pPr>
              <w:ind w:left="60"/>
              <w:spacing w:after="0"/>
              <w:rPr>
                <w:sz w:val="20"/>
                <w:szCs w:val="20"/>
                <w:color w:val="auto"/>
              </w:rPr>
            </w:pPr>
            <w:r>
              <w:rPr>
                <w:rFonts w:ascii="Arial" w:cs="Arial" w:eastAsia="Arial" w:hAnsi="Arial"/>
                <w:sz w:val="18"/>
                <w:szCs w:val="18"/>
                <w:color w:val="auto"/>
              </w:rPr>
              <w:t>Broadband revenue</w:t>
            </w: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4860" w:type="dxa"/>
            <w:vAlign w:val="bottom"/>
          </w:tcPr>
          <w:p>
            <w:pPr>
              <w:ind w:left="200"/>
              <w:spacing w:after="0"/>
              <w:rPr>
                <w:sz w:val="20"/>
                <w:szCs w:val="20"/>
                <w:color w:val="auto"/>
              </w:rPr>
            </w:pPr>
            <w:r>
              <w:rPr>
                <w:rFonts w:ascii="Arial" w:cs="Arial" w:eastAsia="Arial" w:hAnsi="Arial"/>
                <w:sz w:val="18"/>
                <w:szCs w:val="18"/>
                <w:color w:val="auto"/>
              </w:rPr>
              <w:t>Cable, residential and SMB</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70,772</w:t>
            </w:r>
          </w:p>
        </w:tc>
        <w:tc>
          <w:tcPr>
            <w:tcW w:w="1040" w:type="dxa"/>
            <w:vAlign w:val="bottom"/>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66,007</w:t>
            </w: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69.2</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4,765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70"/>
        </w:trPr>
        <w:tc>
          <w:tcPr>
            <w:tcW w:w="4860" w:type="dxa"/>
            <w:vAlign w:val="bottom"/>
          </w:tcPr>
          <w:p>
            <w:pPr>
              <w:ind w:left="200"/>
              <w:spacing w:after="0"/>
              <w:rPr>
                <w:sz w:val="20"/>
                <w:szCs w:val="20"/>
                <w:color w:val="auto"/>
              </w:rPr>
            </w:pPr>
            <w:r>
              <w:rPr>
                <w:rFonts w:ascii="Arial" w:cs="Arial" w:eastAsia="Arial" w:hAnsi="Arial"/>
                <w:sz w:val="18"/>
                <w:szCs w:val="18"/>
                <w:color w:val="auto"/>
              </w:rPr>
              <w:t>Fiber, enterprise and wholesale</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15,264</w:t>
            </w:r>
          </w:p>
        </w:tc>
        <w:tc>
          <w:tcPr>
            <w:tcW w:w="104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13,288</w:t>
            </w: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13.9</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1,976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70"/>
        </w:trPr>
        <w:tc>
          <w:tcPr>
            <w:tcW w:w="4860" w:type="dxa"/>
            <w:vAlign w:val="bottom"/>
          </w:tcPr>
          <w:p>
            <w:pPr>
              <w:ind w:left="200"/>
              <w:spacing w:after="0"/>
              <w:rPr>
                <w:sz w:val="20"/>
                <w:szCs w:val="20"/>
                <w:color w:val="auto"/>
              </w:rPr>
            </w:pPr>
            <w:r>
              <w:rPr>
                <w:rFonts w:ascii="Arial" w:cs="Arial" w:eastAsia="Arial" w:hAnsi="Arial"/>
                <w:sz w:val="18"/>
                <w:szCs w:val="18"/>
                <w:color w:val="auto"/>
              </w:rPr>
              <w:t>Rural local exchange carrier</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9,962</w:t>
            </w:r>
          </w:p>
        </w:tc>
        <w:tc>
          <w:tcPr>
            <w:tcW w:w="104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11,722</w:t>
            </w: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12.3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(1,760)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76"/>
        </w:trPr>
        <w:tc>
          <w:tcPr>
            <w:tcW w:w="4860" w:type="dxa"/>
            <w:vAlign w:val="bottom"/>
          </w:tcPr>
          <w:p>
            <w:pPr>
              <w:ind w:left="200"/>
              <w:spacing w:after="0"/>
              <w:rPr>
                <w:sz w:val="20"/>
                <w:szCs w:val="20"/>
                <w:color w:val="auto"/>
              </w:rPr>
            </w:pPr>
            <w:r>
              <w:rPr>
                <w:rFonts w:ascii="Arial" w:cs="Arial" w:eastAsia="Arial" w:hAnsi="Arial"/>
                <w:sz w:val="18"/>
                <w:szCs w:val="18"/>
                <w:color w:val="auto"/>
              </w:rPr>
              <w:t>Equipment and other</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4,415</w:t>
            </w:r>
          </w:p>
        </w:tc>
        <w:tc>
          <w:tcPr>
            <w:tcW w:w="9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4.6</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63"/>
        </w:trPr>
        <w:tc>
          <w:tcPr>
            <w:tcW w:w="4860" w:type="dxa"/>
            <w:vAlign w:val="bottom"/>
          </w:tcPr>
          <w:p>
            <w:pPr>
              <w:ind w:left="420"/>
              <w:spacing w:after="0"/>
              <w:rPr>
                <w:sz w:val="20"/>
                <w:szCs w:val="20"/>
                <w:color w:val="auto"/>
              </w:rPr>
            </w:pPr>
            <w:r>
              <w:rPr>
                <w:rFonts w:ascii="Arial" w:cs="Arial" w:eastAsia="Arial" w:hAnsi="Arial"/>
                <w:sz w:val="18"/>
                <w:szCs w:val="18"/>
                <w:color w:val="auto"/>
              </w:rPr>
              <w:t>Total broadband revenue</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99,919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95,432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4,487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43"/>
        </w:trPr>
        <w:tc>
          <w:tcPr>
            <w:tcW w:w="4860" w:type="dxa"/>
            <w:vAlign w:val="bottom"/>
          </w:tcPr>
          <w:p>
            <w:pPr>
              <w:ind w:left="60"/>
              <w:spacing w:after="0"/>
              <w:rPr>
                <w:sz w:val="20"/>
                <w:szCs w:val="20"/>
                <w:color w:val="auto"/>
              </w:rPr>
            </w:pPr>
            <w:r>
              <w:rPr>
                <w:rFonts w:ascii="Arial" w:cs="Arial" w:eastAsia="Arial" w:hAnsi="Arial"/>
                <w:sz w:val="18"/>
                <w:szCs w:val="18"/>
                <w:color w:val="auto"/>
              </w:rPr>
              <w:t>Broadband operating expenses</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4860" w:type="dxa"/>
            <w:vAlign w:val="bottom"/>
          </w:tcPr>
          <w:p>
            <w:pPr>
              <w:ind w:left="30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39,883</w:t>
            </w:r>
          </w:p>
        </w:tc>
        <w:tc>
          <w:tcPr>
            <w:tcW w:w="1040" w:type="dxa"/>
            <w:vAlign w:val="bottom"/>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38,075</w:t>
            </w: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39.9</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1,808</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70"/>
        </w:trPr>
        <w:tc>
          <w:tcPr>
            <w:tcW w:w="4860" w:type="dxa"/>
            <w:vAlign w:val="bottom"/>
          </w:tcPr>
          <w:p>
            <w:pPr>
              <w:ind w:left="30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w:t>
            </w:r>
          </w:p>
        </w:tc>
        <w:tc>
          <w:tcPr>
            <w:tcW w:w="104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342</w:t>
            </w: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0.4</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70"/>
        </w:trPr>
        <w:tc>
          <w:tcPr>
            <w:tcW w:w="4860" w:type="dxa"/>
            <w:vAlign w:val="bottom"/>
          </w:tcPr>
          <w:p>
            <w:pPr>
              <w:ind w:left="3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18,759</w:t>
            </w:r>
          </w:p>
        </w:tc>
        <w:tc>
          <w:tcPr>
            <w:tcW w:w="1040" w:type="dxa"/>
            <w:vAlign w:val="bottom"/>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15,093</w:t>
            </w:r>
          </w:p>
        </w:tc>
        <w:tc>
          <w:tcPr>
            <w:tcW w:w="920" w:type="dxa"/>
            <w:vAlign w:val="bottom"/>
          </w:tcPr>
          <w:p>
            <w:pPr>
              <w:jc w:val="right"/>
              <w:ind w:right="65"/>
              <w:spacing w:after="0"/>
              <w:rPr>
                <w:sz w:val="20"/>
                <w:szCs w:val="20"/>
                <w:color w:val="auto"/>
              </w:rPr>
            </w:pPr>
            <w:r>
              <w:rPr>
                <w:rFonts w:ascii="Arial" w:cs="Arial" w:eastAsia="Arial" w:hAnsi="Arial"/>
                <w:sz w:val="14"/>
                <w:szCs w:val="14"/>
                <w:color w:val="auto"/>
              </w:rPr>
              <w:t>15.8</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3,666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76"/>
        </w:trPr>
        <w:tc>
          <w:tcPr>
            <w:tcW w:w="48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22,116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19,993</w:t>
            </w:r>
          </w:p>
        </w:tc>
        <w:tc>
          <w:tcPr>
            <w:tcW w:w="9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20.9</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2,123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63"/>
        </w:trPr>
        <w:tc>
          <w:tcPr>
            <w:tcW w:w="4860" w:type="dxa"/>
            <w:vAlign w:val="bottom"/>
          </w:tcPr>
          <w:p>
            <w:pPr>
              <w:ind w:left="420"/>
              <w:spacing w:after="0"/>
              <w:rPr>
                <w:sz w:val="20"/>
                <w:szCs w:val="20"/>
                <w:color w:val="auto"/>
              </w:rPr>
            </w:pPr>
            <w:r>
              <w:rPr>
                <w:rFonts w:ascii="Arial" w:cs="Arial" w:eastAsia="Arial" w:hAnsi="Arial"/>
                <w:sz w:val="18"/>
                <w:szCs w:val="18"/>
                <w:color w:val="auto"/>
              </w:rPr>
              <w:t>Total broadband operating expenses</w:t>
            </w: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73,503</w:t>
            </w:r>
          </w:p>
        </w:tc>
        <w:tc>
          <w:tcPr>
            <w:tcW w:w="9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77.0</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7,619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ind w:right="38"/>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64"/>
        </w:trPr>
        <w:tc>
          <w:tcPr>
            <w:tcW w:w="4860" w:type="dxa"/>
            <w:vAlign w:val="bottom"/>
          </w:tcPr>
          <w:p>
            <w:pPr>
              <w:ind w:left="60"/>
              <w:spacing w:after="0"/>
              <w:rPr>
                <w:sz w:val="20"/>
                <w:szCs w:val="20"/>
                <w:color w:val="auto"/>
              </w:rPr>
            </w:pPr>
            <w:r>
              <w:rPr>
                <w:rFonts w:ascii="Arial" w:cs="Arial" w:eastAsia="Arial" w:hAnsi="Arial"/>
                <w:sz w:val="18"/>
                <w:szCs w:val="18"/>
                <w:color w:val="auto"/>
              </w:rPr>
              <w:t>Broadband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21,929</w:t>
            </w:r>
          </w:p>
        </w:tc>
        <w:tc>
          <w:tcPr>
            <w:tcW w:w="920" w:type="dxa"/>
            <w:vAlign w:val="bottom"/>
            <w:tcBorders>
              <w:bottom w:val="single" w:sz="8" w:color="auto"/>
            </w:tcBorders>
          </w:tcPr>
          <w:p>
            <w:pPr>
              <w:jc w:val="right"/>
              <w:ind w:right="65"/>
              <w:spacing w:after="0"/>
              <w:rPr>
                <w:sz w:val="20"/>
                <w:szCs w:val="20"/>
                <w:color w:val="auto"/>
              </w:rPr>
            </w:pPr>
            <w:r>
              <w:rPr>
                <w:rFonts w:ascii="Arial" w:cs="Arial" w:eastAsia="Arial" w:hAnsi="Arial"/>
                <w:sz w:val="14"/>
                <w:szCs w:val="14"/>
                <w:color w:val="auto"/>
              </w:rPr>
              <w:t>23.0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(3,132)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residential and small and medium business (SMB) revenue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Cable, residential and SMB revenue increased during the six months ended June 30, 2020 approximately $4.8 million, or 7.2%, primarily driven by broadband subscriber growth.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Fiber, enterprise and wholesale revenue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Fiber, enterprise and wholesale revenue increased during the six months ended June 30, 2020 approximately $2.0 million, or 14.9%, due primarily to an increase in new enterprise and backhaul connections.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Rural local exchange carrier (RLEC) revenue</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RLEC revenue decreased approximately $1.8 million, or 15.0%, compared with the six months ended June 30, 2019 due primarily to lower governmental support, a decline in residential voice and data subscribers and switched access revenue from other carriers.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services increased $1.8 million, or 4.7%, primarily driven by $1.1 million of compensation expense and $0.7 million of network support costs, required to support the expansion of our network. The aforementioned COVID-19 supplemental pay and retention program drove $0.5 million of the increase in compensation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were comparable with six months ended June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Selling, general and administrative expense increased $3.7 million or 24.3% compared with the six months ended June 30, 2019, due to increases in compensation expense of $2.6 million as a result of Glo Fiber and fixed wireless start-up staffing, higher benefit plan and incentive accruals from strong operating results, $0.7 million of professional fees and $0.5 million in advertising, both necessary to support our growth.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Depreciation and amortization increased $2.1 million or 10.6%, compared with the six months ended June 30, 2019, primarily as a result of our network expansion and the introduction of fiber to the home service under our brand, Glo Fiber.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Tower</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Tower segment owns 228 cell towers and small cell sites and leases colocation space on the towers to our Wireless segment and other wireless communications providers. Substantially all of our owned towers are built on ground that we lease from the respective landlords. The colocation space that we lease to our Wireless segment is priced at our estimate of fair market value.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w w:val="99"/>
              </w:rPr>
              <w:t>The following table indicates selected operating statistics of the Tower segment: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360"/>
        </w:trPr>
        <w:tc>
          <w:tcPr>
            <w:tcW w:w="4900" w:type="dxa"/>
            <w:vAlign w:val="bottom"/>
          </w:tcPr>
          <w:p>
            <w:pPr>
              <w:spacing w:after="0"/>
              <w:rPr>
                <w:sz w:val="24"/>
                <w:szCs w:val="24"/>
                <w:color w:val="auto"/>
              </w:rPr>
            </w:pPr>
          </w:p>
        </w:tc>
        <w:tc>
          <w:tcPr>
            <w:tcW w:w="1420" w:type="dxa"/>
            <w:vAlign w:val="bottom"/>
          </w:tcPr>
          <w:p>
            <w:pPr>
              <w:ind w:left="640"/>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jc w:val="right"/>
              <w:ind w:right="55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6320" w:type="dxa"/>
            <w:vAlign w:val="bottom"/>
            <w:gridSpan w:val="2"/>
          </w:tcPr>
          <w:p>
            <w:pPr>
              <w:ind w:left="5680"/>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2019</w:t>
            </w:r>
          </w:p>
        </w:tc>
      </w:tr>
      <w:tr>
        <w:trPr>
          <w:trHeight w:val="27"/>
        </w:trPr>
        <w:tc>
          <w:tcPr>
            <w:tcW w:w="49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37"/>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Macro towers owned</w:t>
            </w:r>
          </w:p>
        </w:tc>
        <w:tc>
          <w:tcPr>
            <w:tcW w:w="50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0"/>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Small cell sites</w:t>
            </w: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Tenants (1)</w:t>
            </w:r>
          </w:p>
        </w:tc>
        <w:tc>
          <w:tcPr>
            <w:tcW w:w="500" w:type="dxa"/>
            <w:vAlign w:val="bottom"/>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377</w:t>
            </w:r>
          </w:p>
        </w:tc>
      </w:tr>
      <w:tr>
        <w:trPr>
          <w:trHeight w:val="270"/>
        </w:trPr>
        <w:tc>
          <w:tcPr>
            <w:tcW w:w="6320" w:type="dxa"/>
            <w:vAlign w:val="bottom"/>
            <w:gridSpan w:val="2"/>
          </w:tcPr>
          <w:p>
            <w:pPr>
              <w:ind w:left="40"/>
              <w:spacing w:after="0"/>
              <w:rPr>
                <w:sz w:val="20"/>
                <w:szCs w:val="20"/>
                <w:color w:val="auto"/>
              </w:rPr>
            </w:pPr>
            <w:r>
              <w:rPr>
                <w:rFonts w:ascii="Arial" w:cs="Arial" w:eastAsia="Arial" w:hAnsi="Arial"/>
                <w:sz w:val="18"/>
                <w:szCs w:val="18"/>
                <w:color w:val="auto"/>
              </w:rPr>
              <w:t>Average tenants per tower</w:t>
            </w:r>
          </w:p>
        </w:tc>
        <w:tc>
          <w:tcPr>
            <w:tcW w:w="5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142"/>
        </w:trPr>
        <w:tc>
          <w:tcPr>
            <w:tcW w:w="4900" w:type="dxa"/>
            <w:vAlign w:val="bottom"/>
          </w:tcPr>
          <w:p>
            <w:pPr>
              <w:spacing w:after="0"/>
              <w:rPr>
                <w:sz w:val="20"/>
                <w:szCs w:val="20"/>
                <w:color w:val="auto"/>
              </w:rPr>
            </w:pPr>
            <w:r>
              <w:rPr>
                <w:rFonts w:ascii="Arial" w:cs="Arial" w:eastAsia="Arial" w:hAnsi="Arial"/>
                <w:sz w:val="11"/>
                <w:szCs w:val="11"/>
                <w:color w:val="auto"/>
              </w:rPr>
              <w:t>_______________________________________________________</w:t>
            </w:r>
          </w:p>
        </w:tc>
        <w:tc>
          <w:tcPr>
            <w:tcW w:w="1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r>
    </w:tbl>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206 and 177 intercompany tenants for our Wireless segment as of June 30, 2020 and 2019,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with the Three Months Ended June 30,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Tower results from operations are summarized as follows:</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8"/>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gridSpan w:val="4"/>
          </w:tcPr>
          <w:p>
            <w:pPr>
              <w:jc w:val="right"/>
              <w:spacing w:after="0"/>
              <w:rPr>
                <w:sz w:val="20"/>
                <w:szCs w:val="20"/>
                <w:color w:val="auto"/>
              </w:rPr>
            </w:pPr>
            <w:r>
              <w:rPr>
                <w:rFonts w:ascii="Arial" w:cs="Arial" w:eastAsia="Arial" w:hAnsi="Arial"/>
                <w:sz w:val="18"/>
                <w:szCs w:val="18"/>
                <w:b w:val="1"/>
                <w:bCs w:val="1"/>
                <w:color w:val="auto"/>
                <w:w w:val="90"/>
              </w:rPr>
              <w:t>Three Months Ended June 30,</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24"/>
                <w:szCs w:val="24"/>
                <w:color w:val="auto"/>
              </w:rPr>
            </w:pP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8"/>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jc w:val="right"/>
              <w:ind w:right="241"/>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4860" w:type="dxa"/>
            <w:vAlign w:val="bottom"/>
          </w:tcPr>
          <w:p>
            <w:pPr>
              <w:ind w:left="6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2020</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jc w:val="right"/>
              <w:ind w:right="101"/>
              <w:spacing w:after="0"/>
              <w:rPr>
                <w:sz w:val="20"/>
                <w:szCs w:val="20"/>
                <w:color w:val="auto"/>
              </w:rPr>
            </w:pPr>
            <w:r>
              <w:rPr>
                <w:rFonts w:ascii="Arial" w:cs="Arial" w:eastAsia="Arial" w:hAnsi="Arial"/>
                <w:sz w:val="18"/>
                <w:szCs w:val="18"/>
                <w:b w:val="1"/>
                <w:bCs w:val="1"/>
                <w:color w:val="auto"/>
                <w:w w:val="87"/>
              </w:rPr>
              <w:t>Revenue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37"/>
              <w:spacing w:after="0"/>
              <w:rPr>
                <w:sz w:val="20"/>
                <w:szCs w:val="20"/>
                <w:color w:val="auto"/>
              </w:rPr>
            </w:pPr>
            <w:r>
              <w:rPr>
                <w:rFonts w:ascii="Arial" w:cs="Arial" w:eastAsia="Arial" w:hAnsi="Arial"/>
                <w:sz w:val="18"/>
                <w:szCs w:val="18"/>
                <w:b w:val="1"/>
                <w:bCs w:val="1"/>
                <w:color w:val="auto"/>
              </w:rPr>
              <w:t>%</w:t>
            </w: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1"/>
        </w:trPr>
        <w:tc>
          <w:tcPr>
            <w:tcW w:w="4860" w:type="dxa"/>
            <w:vAlign w:val="bottom"/>
          </w:tcPr>
          <w:p>
            <w:pPr>
              <w:ind w:left="200"/>
              <w:spacing w:after="0"/>
              <w:rPr>
                <w:sz w:val="20"/>
                <w:szCs w:val="20"/>
                <w:color w:val="auto"/>
              </w:rPr>
            </w:pPr>
            <w:r>
              <w:rPr>
                <w:rFonts w:ascii="Arial" w:cs="Arial" w:eastAsia="Arial" w:hAnsi="Arial"/>
                <w:sz w:val="18"/>
                <w:szCs w:val="18"/>
                <w:color w:val="auto"/>
              </w:rPr>
              <w:t>Tower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4,259</w:t>
            </w:r>
          </w:p>
        </w:tc>
        <w:tc>
          <w:tcPr>
            <w:tcW w:w="112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3,021</w:t>
            </w:r>
          </w:p>
        </w:tc>
        <w:tc>
          <w:tcPr>
            <w:tcW w:w="860" w:type="dxa"/>
            <w:vAlign w:val="bottom"/>
          </w:tcPr>
          <w:p>
            <w:pPr>
              <w:jc w:val="right"/>
              <w:spacing w:after="0"/>
              <w:rPr>
                <w:sz w:val="20"/>
                <w:szCs w:val="20"/>
                <w:color w:val="auto"/>
              </w:rPr>
            </w:pPr>
            <w:r>
              <w:rPr>
                <w:rFonts w:ascii="Arial" w:cs="Arial" w:eastAsia="Arial" w:hAnsi="Arial"/>
                <w:sz w:val="14"/>
                <w:szCs w:val="14"/>
                <w:color w:val="auto"/>
              </w:rPr>
              <w:t>100.0</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276"/>
        </w:trPr>
        <w:tc>
          <w:tcPr>
            <w:tcW w:w="4860" w:type="dxa"/>
            <w:vAlign w:val="bottom"/>
          </w:tcPr>
          <w:p>
            <w:pPr>
              <w:ind w:left="200"/>
              <w:spacing w:after="0"/>
              <w:rPr>
                <w:sz w:val="20"/>
                <w:szCs w:val="20"/>
                <w:color w:val="auto"/>
              </w:rPr>
            </w:pPr>
            <w:r>
              <w:rPr>
                <w:rFonts w:ascii="Arial" w:cs="Arial" w:eastAsia="Arial" w:hAnsi="Arial"/>
                <w:sz w:val="18"/>
                <w:szCs w:val="18"/>
                <w:color w:val="auto"/>
              </w:rPr>
              <w:t>Tower operating expenses</w:t>
            </w: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1,925</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63"/>
        </w:trPr>
        <w:tc>
          <w:tcPr>
            <w:tcW w:w="4860" w:type="dxa"/>
            <w:vAlign w:val="bottom"/>
          </w:tcPr>
          <w:p>
            <w:pPr>
              <w:ind w:left="60"/>
              <w:spacing w:after="0"/>
              <w:rPr>
                <w:sz w:val="20"/>
                <w:szCs w:val="20"/>
                <w:color w:val="auto"/>
              </w:rPr>
            </w:pPr>
            <w:r>
              <w:rPr>
                <w:rFonts w:ascii="Arial" w:cs="Arial" w:eastAsia="Arial" w:hAnsi="Arial"/>
                <w:sz w:val="18"/>
                <w:szCs w:val="18"/>
                <w:color w:val="auto"/>
              </w:rPr>
              <w:t>Tower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1,096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1,133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103.4</w:t>
            </w: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Revenue increased approximately $1.2 million, or 41.0%, during the three months ended June 30, 2020 compared with the three months ended June 30, 2019. This increase was due to a 9.5% increase in tenants and a 29.3% increase in the average lease rate driven by amendments to intercompany leases.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comparable with the prior year quarter.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2020 Compared with the Six Months Ended June 30, 2019</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Tower results from operations are summarized as follows: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78"/>
        </w:trPr>
        <w:tc>
          <w:tcPr>
            <w:tcW w:w="4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b w:val="1"/>
                <w:bCs w:val="1"/>
                <w:color w:val="auto"/>
                <w:w w:val="91"/>
              </w:rPr>
              <w:t>Six Months Ended June 30,</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ind w:left="7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24"/>
                <w:szCs w:val="24"/>
                <w:color w:val="auto"/>
              </w:rPr>
            </w:pP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8"/>
        </w:trPr>
        <w:tc>
          <w:tcPr>
            <w:tcW w:w="4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20" w:type="dxa"/>
            <w:vAlign w:val="bottom"/>
          </w:tcPr>
          <w:p>
            <w:pPr>
              <w:jc w:val="right"/>
              <w:ind w:right="241"/>
              <w:spacing w:after="0"/>
              <w:rPr>
                <w:sz w:val="20"/>
                <w:szCs w:val="20"/>
                <w:color w:val="auto"/>
              </w:rPr>
            </w:pPr>
            <w:r>
              <w:rPr>
                <w:rFonts w:ascii="Arial" w:cs="Arial" w:eastAsia="Arial" w:hAnsi="Arial"/>
                <w:sz w:val="18"/>
                <w:szCs w:val="18"/>
                <w:b w:val="1"/>
                <w:bCs w:val="1"/>
                <w:color w:val="auto"/>
              </w:rPr>
              <w:t>% of</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4860" w:type="dxa"/>
            <w:vAlign w:val="bottom"/>
          </w:tcPr>
          <w:p>
            <w:pPr>
              <w:ind w:left="60"/>
              <w:spacing w:after="0"/>
              <w:rPr>
                <w:sz w:val="20"/>
                <w:szCs w:val="20"/>
                <w:color w:val="auto"/>
              </w:rPr>
            </w:pPr>
            <w:r>
              <w:rPr>
                <w:rFonts w:ascii="Arial" w:cs="Arial" w:eastAsia="Arial" w:hAnsi="Arial"/>
                <w:sz w:val="18"/>
                <w:szCs w:val="18"/>
                <w:i w:val="1"/>
                <w:iCs w:val="1"/>
                <w:color w:val="auto"/>
              </w:rPr>
              <w:t>($ in thousands)</w:t>
            </w:r>
          </w:p>
        </w:tc>
        <w:tc>
          <w:tcPr>
            <w:tcW w:w="220" w:type="dxa"/>
            <w:vAlign w:val="bottom"/>
          </w:tcPr>
          <w:p>
            <w:pPr>
              <w:spacing w:after="0"/>
              <w:rPr>
                <w:sz w:val="20"/>
                <w:szCs w:val="20"/>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Revenue</w:t>
            </w:r>
          </w:p>
        </w:tc>
        <w:tc>
          <w:tcPr>
            <w:tcW w:w="22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920" w:type="dxa"/>
            <w:vAlign w:val="bottom"/>
          </w:tcPr>
          <w:p>
            <w:pPr>
              <w:jc w:val="right"/>
              <w:ind w:right="101"/>
              <w:spacing w:after="0"/>
              <w:rPr>
                <w:sz w:val="20"/>
                <w:szCs w:val="20"/>
                <w:color w:val="auto"/>
              </w:rPr>
            </w:pPr>
            <w:r>
              <w:rPr>
                <w:rFonts w:ascii="Arial" w:cs="Arial" w:eastAsia="Arial" w:hAnsi="Arial"/>
                <w:sz w:val="18"/>
                <w:szCs w:val="18"/>
                <w:b w:val="1"/>
                <w:bCs w:val="1"/>
                <w:color w:val="auto"/>
                <w:w w:val="95"/>
              </w:rPr>
              <w:t>Revenue</w:t>
            </w:r>
          </w:p>
        </w:tc>
        <w:tc>
          <w:tcPr>
            <w:tcW w:w="11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37"/>
              <w:spacing w:after="0"/>
              <w:rPr>
                <w:sz w:val="20"/>
                <w:szCs w:val="20"/>
                <w:color w:val="auto"/>
              </w:rPr>
            </w:pPr>
            <w:r>
              <w:rPr>
                <w:rFonts w:ascii="Arial" w:cs="Arial" w:eastAsia="Arial" w:hAnsi="Arial"/>
                <w:sz w:val="18"/>
                <w:szCs w:val="18"/>
                <w:b w:val="1"/>
                <w:bCs w:val="1"/>
                <w:color w:val="auto"/>
              </w:rPr>
              <w:t>%</w:t>
            </w:r>
          </w:p>
        </w:tc>
      </w:tr>
      <w:tr>
        <w:trPr>
          <w:trHeight w:val="27"/>
        </w:trPr>
        <w:tc>
          <w:tcPr>
            <w:tcW w:w="4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2"/>
        </w:trPr>
        <w:tc>
          <w:tcPr>
            <w:tcW w:w="4860" w:type="dxa"/>
            <w:vAlign w:val="bottom"/>
          </w:tcPr>
          <w:p>
            <w:pPr>
              <w:ind w:left="200"/>
              <w:spacing w:after="0"/>
              <w:rPr>
                <w:sz w:val="20"/>
                <w:szCs w:val="20"/>
                <w:color w:val="auto"/>
              </w:rPr>
            </w:pPr>
            <w:r>
              <w:rPr>
                <w:rFonts w:ascii="Arial" w:cs="Arial" w:eastAsia="Arial" w:hAnsi="Arial"/>
                <w:sz w:val="18"/>
                <w:szCs w:val="18"/>
                <w:color w:val="auto"/>
              </w:rPr>
              <w:t>Tower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7,989</w:t>
            </w:r>
          </w:p>
        </w:tc>
        <w:tc>
          <w:tcPr>
            <w:tcW w:w="10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6,054</w:t>
            </w:r>
          </w:p>
        </w:tc>
        <w:tc>
          <w:tcPr>
            <w:tcW w:w="920" w:type="dxa"/>
            <w:vAlign w:val="bottom"/>
          </w:tcPr>
          <w:p>
            <w:pPr>
              <w:jc w:val="right"/>
              <w:spacing w:after="0"/>
              <w:rPr>
                <w:sz w:val="20"/>
                <w:szCs w:val="20"/>
                <w:color w:val="auto"/>
              </w:rPr>
            </w:pPr>
            <w:r>
              <w:rPr>
                <w:rFonts w:ascii="Arial" w:cs="Arial" w:eastAsia="Arial" w:hAnsi="Arial"/>
                <w:sz w:val="14"/>
                <w:szCs w:val="14"/>
                <w:color w:val="auto"/>
              </w:rPr>
              <w:t>100.0</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1,935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32.0</w:t>
            </w:r>
          </w:p>
        </w:tc>
      </w:tr>
      <w:tr>
        <w:trPr>
          <w:trHeight w:val="276"/>
        </w:trPr>
        <w:tc>
          <w:tcPr>
            <w:tcW w:w="4860" w:type="dxa"/>
            <w:vAlign w:val="bottom"/>
          </w:tcPr>
          <w:p>
            <w:pPr>
              <w:ind w:left="200"/>
              <w:spacing w:after="0"/>
              <w:rPr>
                <w:sz w:val="20"/>
                <w:szCs w:val="20"/>
                <w:color w:val="auto"/>
              </w:rPr>
            </w:pPr>
            <w:r>
              <w:rPr>
                <w:rFonts w:ascii="Arial" w:cs="Arial" w:eastAsia="Arial" w:hAnsi="Arial"/>
                <w:sz w:val="18"/>
                <w:szCs w:val="18"/>
                <w:color w:val="auto"/>
              </w:rPr>
              <w:t>Tower operating expenses</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3,834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63"/>
        </w:trPr>
        <w:tc>
          <w:tcPr>
            <w:tcW w:w="4860" w:type="dxa"/>
            <w:vAlign w:val="bottom"/>
          </w:tcPr>
          <w:p>
            <w:pPr>
              <w:ind w:left="60"/>
              <w:spacing w:after="0"/>
              <w:rPr>
                <w:sz w:val="20"/>
                <w:szCs w:val="20"/>
                <w:color w:val="auto"/>
              </w:rPr>
            </w:pPr>
            <w:r>
              <w:rPr>
                <w:rFonts w:ascii="Arial" w:cs="Arial" w:eastAsia="Arial" w:hAnsi="Arial"/>
                <w:sz w:val="18"/>
                <w:szCs w:val="18"/>
                <w:color w:val="auto"/>
              </w:rPr>
              <w:t>Tower operating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2,220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w:t>
            </w:r>
          </w:p>
        </w:tc>
        <w:tc>
          <w:tcPr>
            <w:tcW w:w="1100" w:type="dxa"/>
            <w:vAlign w:val="bottom"/>
            <w:gridSpan w:val="2"/>
          </w:tcPr>
          <w:p>
            <w:pPr>
              <w:jc w:val="right"/>
              <w:ind w:right="10"/>
              <w:spacing w:after="0"/>
              <w:rPr>
                <w:sz w:val="20"/>
                <w:szCs w:val="20"/>
                <w:color w:val="auto"/>
              </w:rPr>
            </w:pPr>
            <w:r>
              <w:rPr>
                <w:rFonts w:ascii="Arial" w:cs="Arial" w:eastAsia="Arial" w:hAnsi="Arial"/>
                <w:sz w:val="16"/>
                <w:szCs w:val="16"/>
                <w:color w:val="auto"/>
              </w:rPr>
              <w:t>1,804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20"/>
        </w:trPr>
        <w:tc>
          <w:tcPr>
            <w:tcW w:w="4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Revenue increased approximately $1.9 million, or 32.0%, during the six months ended June 30, 2020 compared with the six months ended June 30, 2019.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increase was due to a 9.5% increase in tenants and a 20.8% increase in the average lease rate driven by amendments to intercompany leases.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were comparable with the prior year quarter.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OIBDA</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OIBDA represents Operating income before depreciation, amortization of intangible assets, stock-based compensation and certain other items of revenue, expense, gain or loss not reflective of our operating performance, which may or may not be recurring in nature.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Adjusted OIBDA is a non-GAAP financial measure that we use to evaluate our operating performance in comparison to our competitors. Management believes that analysts and investors use Adjusted OIBDA as a supplemental measure of operating performance to facilitate comparisons with other telecommunications companies. This measure isolates and evaluates operating performance by excluding the cost of financing (e.g., interest expense), as well as the non-cash depreciation and amortization of past capital investments, non-cash share-based compensation expense, and certain other items of revenue, expense, gain or loss not reflective of our operating performance, which may or may not be recurring in nature.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Adjusted OIBDA has limitations as an analytical tool and should not be considered in isolation or as a substitute for operating income, net income or any other measure of financial performance reported in accordance with U.S. Generally Accepted Accounting Principles (“GAAP”).</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reconcile Adjusted OIBDA to operating income, which we consider to be the most directly comparable GAAP financial measure: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Three Months Ended June 30, 2020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 &amp;</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Wireless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Broadband</w:t>
            </w:r>
          </w:p>
        </w:tc>
        <w:tc>
          <w:tcPr>
            <w:tcW w:w="26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Tower</w:t>
            </w:r>
          </w:p>
        </w:tc>
        <w:tc>
          <w:tcPr>
            <w:tcW w:w="16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43,872</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8,767</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2,229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(11,866)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43,002</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19,545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11,078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30,790</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OIBDA</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67,718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78,260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Deal advisory fees</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Adjusted OIBDA</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67,718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20,012</w:t>
            </w:r>
          </w:p>
        </w:tc>
        <w:tc>
          <w:tcPr>
            <w:tcW w:w="10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(9,501)</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80,935</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Three Months Ended June 30, 2019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2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 &amp;</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7"/>
              </w:rPr>
              <w:t>Wireless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Broadband</w:t>
            </w:r>
          </w:p>
        </w:tc>
        <w:tc>
          <w:tcPr>
            <w:tcW w:w="260" w:type="dxa"/>
            <w:vAlign w:val="bottom"/>
          </w:tcPr>
          <w:p>
            <w:pPr>
              <w:spacing w:after="0"/>
              <w:rPr>
                <w:sz w:val="20"/>
                <w:szCs w:val="20"/>
                <w:color w:val="auto"/>
              </w:rPr>
            </w:pPr>
          </w:p>
        </w:tc>
        <w:tc>
          <w:tcPr>
            <w:tcW w:w="1080" w:type="dxa"/>
            <w:vAlign w:val="bottom"/>
            <w:gridSpan w:val="2"/>
          </w:tcPr>
          <w:p>
            <w:pPr>
              <w:ind w:left="120"/>
              <w:spacing w:after="0"/>
              <w:rPr>
                <w:sz w:val="20"/>
                <w:szCs w:val="20"/>
                <w:color w:val="auto"/>
              </w:rPr>
            </w:pPr>
            <w:r>
              <w:rPr>
                <w:rFonts w:ascii="Arial" w:cs="Arial" w:eastAsia="Arial" w:hAnsi="Arial"/>
                <w:sz w:val="18"/>
                <w:szCs w:val="18"/>
                <w:b w:val="1"/>
                <w:bCs w:val="1"/>
                <w:color w:val="auto"/>
              </w:rPr>
              <w:t>Tower</w:t>
            </w:r>
          </w:p>
        </w:tc>
        <w:tc>
          <w:tcPr>
            <w:tcW w:w="16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Eliminations</w:t>
            </w:r>
          </w:p>
        </w:tc>
        <w:tc>
          <w:tcPr>
            <w:tcW w:w="18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20,928</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11,880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24,020</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26,447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9,882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37,217</w:t>
            </w:r>
          </w:p>
        </w:tc>
        <w:tc>
          <w:tcPr>
            <w:tcW w:w="0" w:type="dxa"/>
            <w:vAlign w:val="bottom"/>
          </w:tcPr>
          <w:p>
            <w:pPr>
              <w:spacing w:after="0"/>
              <w:rPr>
                <w:sz w:val="1"/>
                <w:szCs w:val="1"/>
                <w:color w:val="auto"/>
              </w:rPr>
            </w:pPr>
          </w:p>
        </w:tc>
      </w:tr>
      <w:tr>
        <w:trPr>
          <w:trHeight w:val="270"/>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OIBDA</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52,391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21,882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66,373</w:t>
            </w: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 expense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4280" w:type="dxa"/>
            <w:vAlign w:val="bottom"/>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80" w:type="dxa"/>
            <w:vAlign w:val="bottom"/>
            <w:gridSpan w:val="2"/>
          </w:tcPr>
          <w:p>
            <w:pPr>
              <w:ind w:left="40"/>
              <w:spacing w:after="0"/>
              <w:rPr>
                <w:sz w:val="20"/>
                <w:szCs w:val="20"/>
                <w:color w:val="auto"/>
              </w:rPr>
            </w:pPr>
            <w:r>
              <w:rPr>
                <w:rFonts w:ascii="Arial" w:cs="Arial" w:eastAsia="Arial" w:hAnsi="Arial"/>
                <w:sz w:val="18"/>
                <w:szCs w:val="18"/>
                <w:color w:val="auto"/>
              </w:rPr>
              <w:t>Adjusted OIBDA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52,391</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21,882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66,966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b w:val="1"/>
                <w:bCs w:val="1"/>
                <w:color w:val="auto"/>
              </w:rPr>
              <w:t>Six Months Ended June 30, 2020</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Wireless</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Broadband</w:t>
            </w:r>
          </w:p>
        </w:tc>
        <w:tc>
          <w:tcPr>
            <w:tcW w:w="24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Tower</w:t>
            </w:r>
          </w:p>
        </w:tc>
        <w:tc>
          <w:tcPr>
            <w:tcW w:w="14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67,316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18,797</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4,024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(24,085)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66,052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40,555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21,795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63,258</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9,336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OIBDA</w:t>
            </w: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116,886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40,913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(24,124)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138,646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Deal advisory fees</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1,970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Adjusted OIBDA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116,886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40,913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(17,634)</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145,136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Six Months Ended June 30, 2019</w:t>
            </w: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0" w:type="dxa"/>
            <w:vAlign w:val="bottom"/>
          </w:tcPr>
          <w:p>
            <w:pPr>
              <w:spacing w:after="0"/>
              <w:rPr>
                <w:sz w:val="24"/>
                <w:szCs w:val="24"/>
                <w:color w:val="auto"/>
              </w:rPr>
            </w:pPr>
          </w:p>
        </w:tc>
        <w:tc>
          <w:tcPr>
            <w:tcW w:w="43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Corporate &amp;</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Wireless</w:t>
            </w: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Broadband</w:t>
            </w:r>
          </w:p>
        </w:tc>
        <w:tc>
          <w:tcPr>
            <w:tcW w:w="24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Tower</w:t>
            </w:r>
          </w:p>
        </w:tc>
        <w:tc>
          <w:tcPr>
            <w:tcW w:w="14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Eliminations</w:t>
            </w:r>
          </w:p>
        </w:tc>
        <w:tc>
          <w:tcPr>
            <w:tcW w:w="16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45,141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21,929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(20,483)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48,807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51,199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19,832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72,737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10,795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OIBDA</w:t>
            </w: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106,974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41,922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(20,213)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132,339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36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2,307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36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360" w:type="dxa"/>
            <w:vAlign w:val="bottom"/>
            <w:gridSpan w:val="2"/>
          </w:tcPr>
          <w:p>
            <w:pPr>
              <w:ind w:left="20"/>
              <w:spacing w:after="0"/>
              <w:rPr>
                <w:sz w:val="20"/>
                <w:szCs w:val="20"/>
                <w:color w:val="auto"/>
              </w:rPr>
            </w:pPr>
            <w:r>
              <w:rPr>
                <w:rFonts w:ascii="Arial" w:cs="Arial" w:eastAsia="Arial" w:hAnsi="Arial"/>
                <w:sz w:val="18"/>
                <w:szCs w:val="18"/>
                <w:color w:val="auto"/>
              </w:rPr>
              <w:t>Adjusted OIBDA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106,974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41,922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3,656</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134,646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 Liquidity and Capital Resources</w:t>
      </w:r>
    </w:p>
    <w:p>
      <w:pPr>
        <w:spacing w:after="0" w:line="21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Sources and Uses of Cash: </w:t>
      </w:r>
      <w:r>
        <w:rPr>
          <w:rFonts w:ascii="Arial" w:cs="Arial" w:eastAsia="Arial" w:hAnsi="Arial"/>
          <w:sz w:val="18"/>
          <w:szCs w:val="18"/>
          <w:color w:val="auto"/>
        </w:rPr>
        <w:t>Our principal sources of liquidity are our cash and cash equivalents, cash generated from operations, and proceeds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revolving line of credit.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2020 our cash and cash equivalents totaled $143.7 million and the availability under our revolving line of credit was $75.0 million, for total available liquidity of $218.7 million.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generated approximately $128.9 million of net cash from operations during the six months ended June 30, 2020, consistent with the six months ended June 30, 2019.</w:t>
      </w:r>
    </w:p>
    <w:p>
      <w:pPr>
        <w:spacing w:after="0" w:line="170"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Net cash used in investing activities decreased $21.5 million during the six months ended June 30, 2020, compared with the six months ended June 30, 2019 due to the following:</w:t>
      </w:r>
    </w:p>
    <w:p>
      <w:pPr>
        <w:spacing w:after="0" w:line="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 million decline in acquisitions. In 2019, the Company acquired Big Sandy Broadband, Inc. for $10.0 million.</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$12.5 million decrease in capital expenditures due primarily to a $30.1 million decline in the Wireless segment as the nTelos and Parkersburg network expansions were completed in the first half of 2019 and Richmond Sliver territory expansion projects have been postponed as we await further clarity on the impact of ongoing negotiations with the new T-Mobile, partially offset by $19.5 million in higher spending in the Broadband segment primarily driven by our Glo Fiber market expansion.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decreased $8.3 million during the six months ended June 30, 2020 primarily driven by:</w:t>
      </w:r>
    </w:p>
    <w:p>
      <w:pPr>
        <w:spacing w:after="0" w:line="23"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$7.6 million decrease in principal repayments on our term loans,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$0.7 million decrease in payments for taxes related to share-based compensation vesting events.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Indebtedness</w:t>
      </w:r>
      <w:r>
        <w:rPr>
          <w:rFonts w:ascii="Arial" w:cs="Arial" w:eastAsia="Arial" w:hAnsi="Arial"/>
          <w:sz w:val="18"/>
          <w:szCs w:val="18"/>
          <w:color w:val="auto"/>
        </w:rPr>
        <w:t>: As of June 30, 2020, the Company’s indebtedness totaled approximately $704.3 million, net of unamortized loan fees of $10.7 million,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 annualized overall weighted average interest rate of approximately 2.5%. Refer to Note 8,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for information about the Company's Credit Facility and financial covenants.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Borrowing Capacity: </w:t>
      </w:r>
      <w:r>
        <w:rPr>
          <w:rFonts w:ascii="Arial" w:cs="Arial" w:eastAsia="Arial" w:hAnsi="Arial"/>
          <w:sz w:val="17"/>
          <w:szCs w:val="17"/>
          <w:color w:val="auto"/>
        </w:rPr>
        <w:t>As of June 30, 2020, the Company’s outstanding debt principal, under the Credit Facility, totaled $715.0 million, with an estimated</w:t>
      </w:r>
      <w:r>
        <w:rPr>
          <w:rFonts w:ascii="Arial" w:cs="Arial" w:eastAsia="Arial" w:hAnsi="Arial"/>
          <w:sz w:val="17"/>
          <w:szCs w:val="17"/>
          <w:i w:val="1"/>
          <w:iCs w:val="1"/>
          <w:color w:val="auto"/>
        </w:rPr>
        <w:t xml:space="preserve"> </w:t>
      </w:r>
      <w:r>
        <w:rPr>
          <w:rFonts w:ascii="Arial" w:cs="Arial" w:eastAsia="Arial" w:hAnsi="Arial"/>
          <w:sz w:val="17"/>
          <w:szCs w:val="17"/>
          <w:color w:val="auto"/>
        </w:rPr>
        <w:t>annualized effective interest rate of 2.5% after considering the impact of the interest rate swap contracts and unamortized loan costs.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were in compliance with the financial covenants in our Credit Facility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our cash on hand, available funds under our revolving credit facility, and our cash flow from operations will be sufficient to meet our anticipated liquidity needs for business operations for the next twelve months. There can be no assurance that we will continue to generate cash flows at or above current levels or that we will be able to maintain our ability to borrow under our credit facility. Thereafter, capital expenditures will likely be required to continue planned capital upgrades to the wireless and broadband networks and provide increased capacity to meet expected growth in demand for our products and services. The actual amount and timing of our future capital requirements may differ materially from our estimate depending on the demand for our products and services, including the outcome of a potential amendment of our wireless affiliate agreement with T-Mobile, new market developments and expansion opportunities.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cash flows from operations could be adversely affected by events outside our control, including, without limitation, changes in overall economic conditions, regulatory requirements, changes in technologies, demand for our products and services, availability of labor resources and capital, changes in our relationship with Sprint, natural disasters, pandemics and outbreaks of contagious diseases and other adverse public health developments, such as COVID-19, and other conditions. The Wireless segment’s operations are dependent upon Sprint’s ability to execute certain functions such as billing, customer care, and collections; our ability to develop and implement successful marketing programs and new products and services; and our ability to effectively and economically manage other operating activities under our agreements with Sprint. Our ability to attract and maintain a sufficient customer base, particularly in our Broadband markets, is also critical to our ability to maintain a positive cash flow from operations. The foregoing events individually or collectively could affect our results.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w:t>
      </w:r>
    </w:p>
    <w:p>
      <w:pPr>
        <w:spacing w:after="0" w:line="21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have been no material changes to the critical accounting policies as previously disclosed in Part II, Item 8 of our Annual Report on Form 10-K for the year ended December 31,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June 30, 2020, the Company had $715.0 million of gross variable rate debt outstanding, bearing interest at a weighted average rate of 2.5%. An increase in market interest rates of 1.00% would add approximately $7.0 million to annual interest expense, excluding the effect of our interest rate swaps. The swaps cover notional principal equal to $317.6 million, or approximately 44.4% as of June 30, 2020. The Company is required to pay a combined fixed rate of approximately 1.16% and receive a variable rate based on one month LIBOR (0.17% at June 30, 2020), to manage a portion of its interest rate risk. Changes in the net interest paid or received under the swaps would offset a corresponding portion of the change in interest expense on the variable rate debt outstanding.</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with the participation of our President and Chief Executive Officer, who is the Principal Executive Officer, the Senior Vice President - Finance and Chief Financial Officer, who is the Principal Financial Officer, and the Vice President and Chief Accounting Officer, who is the Principal Accounting Officer, conducted an evaluation of our disclosure controls and procedures, (as defined by Rule 13a-15(e) under the Securities Exchange Act of 1934), as of the end of the period covered by this Quarterly report on Form 10-Q.</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disclosed in our Annual Report on Form 10-K for our fiscal year ended December 31, 2019, we identified material weaknesses in internal control over financial reporting. The material weaknesses will not be considered remediated until the applicable enhanced controls operate for a sufficient period of time and management has concluded, through testing, that these controls are operating effectively. As remediation has not yet been completed, our President and Chief Executive Officer, our Senior Vice President - Finance and Chief Financial Officer, and our Vice President - Chief Accounting Officer, have concluded that our disclosure controls and procedures continued to be ineffective as of June 30, 2020.</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 material weaknesses, management performed additional analysis and other procedures to ensure that our unaudited condensed consolidated financial statements were prepared in accordance with U.S. generally accepted accounting principles (GAAP).</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Notwithstanding the material weaknesses, management has concluded that the unaudited condensed consolidated financial statements included in this Quarterly Report on Form 10-Q fairly state, in all material respects, our financial position, results of operations and cash flows for the periods presented.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June 30, 2020, the Company continued execution of Management's Remediation Plan. Aside from continued improvements under this plan, there were no changes in our internal control over financial reporting that materially affected or are reasonably likely to materially affect our internal control over financial reporting.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We discuss in our Annual Report on Form 10-K various risks that may materially affect our business. We use this section to update this discussion to reflect material developments since our Form 10-K was filed. As of June 30, 2020, except as </w:t>
      </w:r>
      <w:r>
        <w:rPr>
          <w:rFonts w:ascii="Arial" w:cs="Arial" w:eastAsia="Arial" w:hAnsi="Arial"/>
          <w:sz w:val="17"/>
          <w:szCs w:val="17"/>
          <w:color w:val="212529"/>
        </w:rPr>
        <w:t>described below, there have been no significant changes to the Risk</w:t>
      </w:r>
      <w:r>
        <w:rPr>
          <w:rFonts w:ascii="Arial" w:cs="Arial" w:eastAsia="Arial" w:hAnsi="Arial"/>
          <w:sz w:val="17"/>
          <w:szCs w:val="17"/>
          <w:color w:val="auto"/>
        </w:rPr>
        <w:t xml:space="preserve"> </w:t>
      </w:r>
      <w:r>
        <w:rPr>
          <w:rFonts w:ascii="Arial" w:cs="Arial" w:eastAsia="Arial" w:hAnsi="Arial"/>
          <w:sz w:val="17"/>
          <w:szCs w:val="17"/>
          <w:color w:val="212529"/>
        </w:rPr>
        <w:t>Factors previously disclosed in Part I, Item 1A of our Annual Report on Form 10-K for the year ended December 31, 2019.</w:t>
      </w:r>
    </w:p>
    <w:p>
      <w:pPr>
        <w:spacing w:after="0" w:line="161" w:lineRule="exact"/>
        <w:rPr>
          <w:sz w:val="20"/>
          <w:szCs w:val="20"/>
          <w:color w:val="auto"/>
        </w:rPr>
      </w:pPr>
    </w:p>
    <w:p>
      <w:pPr>
        <w:ind w:right="780"/>
        <w:spacing w:after="0" w:line="347" w:lineRule="auto"/>
        <w:rPr>
          <w:sz w:val="20"/>
          <w:szCs w:val="20"/>
          <w:color w:val="auto"/>
        </w:rPr>
      </w:pPr>
      <w:r>
        <w:rPr>
          <w:rFonts w:ascii="Arial" w:cs="Arial" w:eastAsia="Arial" w:hAnsi="Arial"/>
          <w:sz w:val="16"/>
          <w:szCs w:val="16"/>
          <w:b w:val="1"/>
          <w:bCs w:val="1"/>
          <w:color w:val="auto"/>
        </w:rPr>
        <w:t>Risks Related to the Business Combination between T-Mobile and Sprint could cause significant volatility in the trading and value of the Company’s common stock and are likely to adversely affect the operating and financial results of our Wireless segment.</w:t>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As previously disclosed, on April 1, 2020, T-Mobile US, Inc. (“T-Mobile”) publicly announced the completion of its business combination with Sprint Corporation (“Sprint”) and subsequently delivered to the Company a notice of Network Technology Conversion, Brand Conversion and Combination Conversion (a “Conversion Notice”) pursuant to the terms of the Company’s affiliate agreement with Sprint.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212529"/>
        </w:rPr>
        <w:t>Delivery of the Conversion Notice initiated the process set forth in the affiliate agreement to determine the nature of the Company’s relationship with the combined entity (“New T-Mobile”). The affiliate agreement provided for a 90-day period following receipt of the Conversion Notice for the parties to negotiate mutually agreeable terms and conditions under which the Company would continue as an affiliate of New T-Mobile. That period expired on June 30, 2020 and New T-Mobile and the Company have not negotiated a mutually acceptable agreement. As such, New T-Mobile has until August 31, 2020, to exercise an option to purchase the assets of our Wireless operations for 90% of the “Entire Business Value” (as defined under our affiliate agreement and determined pursuant to the appraisal process under the affiliate agreement). If New T-Mobile does not exercise its purchase option, the Company would then have a 60-day period to exercise an option to purchase the legacy T-Mobile network and subscribers in our service area. If the Company does not exercise its purchase option, New T-Mobile must sell or decommission its legacy network and customers in our service area.</w:t>
      </w:r>
    </w:p>
    <w:p>
      <w:pPr>
        <w:spacing w:after="0" w:line="16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212529"/>
        </w:rPr>
        <w:t>As previously disclosed, the Company’s management has been in discussions with New T-Mobile regarding the future of the Company’s Wireless operations; however, there can be no assurance as to the outcome of these discussions, including, without limitation, the timing or terms of, or potential delays or disputes in respect of, any sale of the assets of the Company’s Wireless operations to New T-Mobile (including the value received by the Company pursuant to a negotiated transaction or as a result of the appraisal process under the affiliate agreement), or the use of proceeds from any such sale transaction or the post-closing composition or capital structure of the Company’s remaining operations and business following any such sale transaction, or the terms of any purchase of the legacy T-Mobile subscriber and network assets in our service area or the terms to finance such an asset purchase. The pending discussions and any ensuing transaction with the New T-Mobile, including any appraisal process with respect to the determination of the valuation of the Company’s Wireless operations as provided for under our affiliate agreement, could cause significant volatility in the trading and value of the Company’s common stock.</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212529"/>
        </w:rPr>
        <w:t xml:space="preserve">The affiliate agreement also provides that 90 days following delivery of the </w:t>
      </w:r>
      <w:r>
        <w:rPr>
          <w:rFonts w:ascii="Arial" w:cs="Arial" w:eastAsia="Arial" w:hAnsi="Arial"/>
          <w:sz w:val="16"/>
          <w:szCs w:val="16"/>
          <w:color w:val="000000"/>
        </w:rPr>
        <w:t>Conversion Notice</w:t>
      </w:r>
      <w:r>
        <w:rPr>
          <w:rFonts w:ascii="Arial" w:cs="Arial" w:eastAsia="Arial" w:hAnsi="Arial"/>
          <w:sz w:val="16"/>
          <w:szCs w:val="16"/>
          <w:color w:val="212529"/>
        </w:rPr>
        <w:t xml:space="preserve">, New T-Mobile may effect a </w:t>
      </w:r>
      <w:r>
        <w:rPr>
          <w:rFonts w:ascii="Arial" w:cs="Arial" w:eastAsia="Arial" w:hAnsi="Arial"/>
          <w:sz w:val="16"/>
          <w:szCs w:val="16"/>
          <w:color w:val="000000"/>
        </w:rPr>
        <w:t>Technology</w:t>
      </w:r>
      <w:r>
        <w:rPr>
          <w:rFonts w:ascii="Arial" w:cs="Arial" w:eastAsia="Arial" w:hAnsi="Arial"/>
          <w:sz w:val="16"/>
          <w:szCs w:val="16"/>
          <w:color w:val="212529"/>
        </w:rPr>
        <w:t xml:space="preserve"> Conversion, Brand Conversion and Combination Conversion (each as defined in the affiliate agreement), following which New T-Mobile is permitted to take certain competitive </w:t>
      </w:r>
      <w:r>
        <w:rPr>
          <w:rFonts w:ascii="Arial" w:cs="Arial" w:eastAsia="Arial" w:hAnsi="Arial"/>
          <w:sz w:val="16"/>
          <w:szCs w:val="16"/>
          <w:color w:val="000000"/>
        </w:rPr>
        <w:t>and</w:t>
      </w:r>
      <w:r>
        <w:rPr>
          <w:rFonts w:ascii="Arial" w:cs="Arial" w:eastAsia="Arial" w:hAnsi="Arial"/>
          <w:sz w:val="16"/>
          <w:szCs w:val="16"/>
          <w:color w:val="212529"/>
        </w:rPr>
        <w:t xml:space="preserve"> other actions that could directly or indirectly adversely affect </w:t>
      </w:r>
      <w:r>
        <w:rPr>
          <w:rFonts w:ascii="Arial" w:cs="Arial" w:eastAsia="Arial" w:hAnsi="Arial"/>
          <w:sz w:val="16"/>
          <w:szCs w:val="16"/>
          <w:color w:val="000000"/>
        </w:rPr>
        <w:t>the Company’s</w:t>
      </w:r>
      <w:r>
        <w:rPr>
          <w:rFonts w:ascii="Arial" w:cs="Arial" w:eastAsia="Arial" w:hAnsi="Arial"/>
          <w:sz w:val="16"/>
          <w:szCs w:val="16"/>
          <w:color w:val="212529"/>
        </w:rPr>
        <w:t xml:space="preserve"> Wireless business and operations. T-Mobile publicly announced on July 22, 2020 its intention to begin integration of the brands, rate plans, sales and network on August 2, 2020. Although </w:t>
      </w:r>
      <w:r>
        <w:rPr>
          <w:rFonts w:ascii="Arial" w:cs="Arial" w:eastAsia="Arial" w:hAnsi="Arial"/>
          <w:sz w:val="16"/>
          <w:szCs w:val="16"/>
          <w:color w:val="000000"/>
        </w:rPr>
        <w:t>the</w:t>
      </w:r>
      <w:r>
        <w:rPr>
          <w:rFonts w:ascii="Arial" w:cs="Arial" w:eastAsia="Arial" w:hAnsi="Arial"/>
          <w:sz w:val="16"/>
          <w:szCs w:val="16"/>
          <w:color w:val="212529"/>
        </w:rPr>
        <w:t xml:space="preserve"> impact to Sprint customers in our affiliate area is uncertain at this point in time, the integration plans are likely to adversely affect our Wireless segment operating and financial results in future periods. </w:t>
      </w:r>
      <w:r>
        <w:rPr>
          <w:rFonts w:ascii="Arial" w:cs="Arial" w:eastAsia="Arial" w:hAnsi="Arial"/>
          <w:sz w:val="16"/>
          <w:szCs w:val="16"/>
          <w:color w:val="000000"/>
        </w:rPr>
        <w:t>These integration plans and uncertainties may, among other potential impacts, impair our ability to attract and retain</w:t>
      </w:r>
      <w:r>
        <w:rPr>
          <w:rFonts w:ascii="Arial" w:cs="Arial" w:eastAsia="Arial" w:hAnsi="Arial"/>
          <w:sz w:val="16"/>
          <w:szCs w:val="16"/>
          <w:color w:val="212529"/>
        </w:rPr>
        <w:t xml:space="preserve"> </w:t>
      </w:r>
      <w:r>
        <w:rPr>
          <w:rFonts w:ascii="Arial" w:cs="Arial" w:eastAsia="Arial" w:hAnsi="Arial"/>
          <w:sz w:val="16"/>
          <w:szCs w:val="16"/>
          <w:color w:val="000000"/>
        </w:rPr>
        <w:t>customers, disrupt our sales distribution channels including web sales, tele sales, national retailers and third party dealers who may seek to change, cancel or fail to renew existing or expand new business relationships with us. The change in brand from Sprint to T-Mobile may confuse new and existing customers which could slow traffic in our Sprint branded retail stores. Network integration could impair the quality of our network service and cause our customers to change wireless service providers. Competitors may also target our existing customers by highlighting potential uncertainties and integration difficulties that may result from the uncertainties at this time. The merger may also impair our ability to retain and motivate key personnel during the pendency of a potential transaction with New T-Mobile, as existing and prospective employees may experience uncertainty about their future roles.</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addition, management and financial resources have been diverted and will continue to be diverted toward a potential transaction with New T-Mobile. We have incurred, and expect to incur, significant costs, expenses and fees for professional services and other transaction costs in connection with this process and related planning. These costs could adversely affect our financial condition and results of operations prior to the determination of the future of our Wireless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COVID-19 pandemic, and the future outbreak of other highly infectious or contagious diseases, could disrupt the operation on our business resulting in adverse impacts to our financial condition, results of operations, and cash flow.</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being reported in December 2019 in China, an outbreak of a new strain of coronavirus (“COVID-19”) has spread globally, including to every state in the United States. In March 2020, the World Health Organization declared COVID-19 a pandemic and the United States declared a national emergency. The COVID-19 pandemic has negatively impacted the global economy, disrupted global supply chains, and created significant volatility and disruption of financial markets, and another pandemic in the future could have similar effects. Given the ongoing and dynamic nature of the circumstances, it is difficult to predict the impact of COVID-19 on the Company, and there is no guarantee that efforts by Shentel, designed to address adverse impacts of the coronavirus, will be effective.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Governments in the markets that we operate have mandated residents to stay at home and have temporarily closed businesses that are not considered essential. Although our businesses are considered essential, the Company temporarily closed approximately 40% of its Sprint branded retail stores during March 2020 as a result of the COVID-19 pandemic before re-opening them in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second quarter of 2020, which will adversely affect postpaid subscriber gross additions in the Wireless segment. In addition, the current COVID-19 pandemic, or a future pandemic, could have material and adverse effects on our ability to successfully operate and on our financial condition, results of operations and cash flows due to, among other factors:</w:t>
      </w:r>
    </w:p>
    <w:p>
      <w:pPr>
        <w:spacing w:after="0" w:line="3" w:lineRule="exact"/>
        <w:rPr>
          <w:sz w:val="20"/>
          <w:szCs w:val="20"/>
          <w:color w:val="auto"/>
        </w:rPr>
      </w:pP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disruptions or delays in our operations or network performance, as well as network maintenance and construction, testing, supervisory and customer support activities, and inventory and supply procurement;</w:t>
      </w:r>
    </w:p>
    <w:p>
      <w:pPr>
        <w:jc w:val="both"/>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increases in operating costs, inventory shortages and/or a decrease in productivity related to travel bans and social distancing efforts, which could include delays in our ability to install broadband services at customer locations or require our vendors and contractors to incur additional costs that may be passed onto us;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deterioration in our ability to operate in affected areas or delays in the supply of products or services to us from vendors that are needed for our efficient operations;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the ability of our counterparties to meet their obligations to us in full, or at all;</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general reduction in business and economic activity may severely impact our customers and may cause them to be unable to pay for services provided; and</w:t>
      </w:r>
    </w:p>
    <w:p>
      <w:pPr>
        <w:ind w:left="660" w:hanging="328"/>
        <w:spacing w:after="0" w:line="26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negative impact on the health of our personnel, particularly if a significant number of them are impacted, could result in a deterioration in our ability to ensure business continuity during a disruption.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Shentel has implemented policies and procedures designed to mitigate the risk of adverse impacts of the COVID-19 pandemic, or a future pandemic, on the Company’s operations, but it may incur additional costs to ensure continuity of business operations caused by COVID-19, or other future pandemics, which could adversely affect its financial condition and results of operations. However, the extent of such impacts will depend on future developments, which are highly uncertain and cannot be predicted, including new information that may emerge concerning the severity of COVID-19 and actions taken to contain COVID-19 or its impact.</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Registered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or Affiliated Purchasers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following table provides information about shares repurchased during the second quarter ended June 30, 2020, to settle employee tax withholding related to the vesting of stock awards. There have been no repurchases of shares during the first half of 2020 through the share repurchase program.</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 Publicly</w:t>
            </w:r>
          </w:p>
        </w:tc>
        <w:tc>
          <w:tcPr>
            <w:tcW w:w="100" w:type="dxa"/>
            <w:vAlign w:val="bottom"/>
          </w:tcPr>
          <w:p>
            <w:pPr>
              <w:spacing w:after="0"/>
              <w:rPr>
                <w:sz w:val="18"/>
                <w:szCs w:val="18"/>
                <w:color w:val="auto"/>
              </w:rPr>
            </w:pPr>
          </w:p>
        </w:tc>
        <w:tc>
          <w:tcPr>
            <w:tcW w:w="25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Approximate Dollar Value that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i w:val="1"/>
                <w:iCs w:val="1"/>
                <w:color w:val="auto"/>
              </w:rPr>
              <w:t>($ in thousands, except per share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 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Average Price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00" w:type="dxa"/>
            <w:vAlign w:val="bottom"/>
          </w:tcPr>
          <w:p>
            <w:pPr>
              <w:spacing w:after="0"/>
              <w:rPr>
                <w:sz w:val="18"/>
                <w:szCs w:val="18"/>
                <w:color w:val="auto"/>
              </w:rPr>
            </w:pPr>
          </w:p>
        </w:tc>
        <w:tc>
          <w:tcPr>
            <w:tcW w:w="25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May Yet be Purchased under the</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Arial" w:cs="Arial" w:eastAsia="Arial" w:hAnsi="Arial"/>
                <w:sz w:val="18"/>
                <w:szCs w:val="18"/>
                <w:i w:val="1"/>
                <w:iCs w:val="1"/>
                <w:color w:val="auto"/>
              </w:rPr>
              <w:t>amounts)</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Surrendered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Paid per Share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40" w:type="dxa"/>
            <w:vAlign w:val="bottom"/>
          </w:tcPr>
          <w:p>
            <w:pPr>
              <w:jc w:val="right"/>
              <w:ind w:right="490"/>
              <w:spacing w:after="0"/>
              <w:rPr>
                <w:sz w:val="20"/>
                <w:szCs w:val="20"/>
                <w:color w:val="auto"/>
              </w:rPr>
            </w:pPr>
            <w:r>
              <w:rPr>
                <w:rFonts w:ascii="Arial" w:cs="Arial" w:eastAsia="Arial" w:hAnsi="Arial"/>
                <w:sz w:val="18"/>
                <w:szCs w:val="18"/>
                <w:b w:val="1"/>
                <w:bCs w:val="1"/>
                <w:color w:val="auto"/>
              </w:rPr>
              <w:t>Plans or Programs</w:t>
            </w:r>
          </w:p>
        </w:tc>
        <w:tc>
          <w:tcPr>
            <w:tcW w:w="0" w:type="dxa"/>
            <w:vAlign w:val="bottom"/>
          </w:tcPr>
          <w:p>
            <w:pPr>
              <w:spacing w:after="0"/>
              <w:rPr>
                <w:sz w:val="1"/>
                <w:szCs w:val="1"/>
                <w:color w:val="auto"/>
              </w:rPr>
            </w:pPr>
          </w:p>
        </w:tc>
      </w:tr>
      <w:tr>
        <w:trPr>
          <w:trHeight w:val="27"/>
        </w:trPr>
        <w:tc>
          <w:tcPr>
            <w:tcW w:w="3000" w:type="dxa"/>
            <w:vAlign w:val="bottom"/>
            <w:vMerge w:val="restart"/>
          </w:tcPr>
          <w:p>
            <w:pPr>
              <w:spacing w:after="0"/>
              <w:rPr>
                <w:sz w:val="20"/>
                <w:szCs w:val="20"/>
                <w:color w:val="auto"/>
              </w:rPr>
            </w:pPr>
            <w:r>
              <w:rPr>
                <w:rFonts w:ascii="Arial" w:cs="Arial" w:eastAsia="Arial" w:hAnsi="Arial"/>
                <w:sz w:val="18"/>
                <w:szCs w:val="18"/>
                <w:color w:val="auto"/>
              </w:rPr>
              <w:t>April 1 to April 30</w:t>
            </w: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2340" w:type="dxa"/>
            <w:vAlign w:val="bottom"/>
          </w:tcPr>
          <w:p>
            <w:pPr>
              <w:ind w:left="20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72,765</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May 1 to May 31</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1,056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47.98</w:t>
            </w:r>
          </w:p>
        </w:tc>
        <w:tc>
          <w:tcPr>
            <w:tcW w:w="100" w:type="dxa"/>
            <w:vAlign w:val="bottom"/>
          </w:tcPr>
          <w:p>
            <w:pPr>
              <w:spacing w:after="0"/>
              <w:rPr>
                <w:sz w:val="23"/>
                <w:szCs w:val="23"/>
                <w:color w:val="auto"/>
              </w:rPr>
            </w:pPr>
          </w:p>
        </w:tc>
        <w:tc>
          <w:tcPr>
            <w:tcW w:w="2340" w:type="dxa"/>
            <w:vAlign w:val="bottom"/>
          </w:tcPr>
          <w:p>
            <w:pPr>
              <w:ind w:left="20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72,765</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June 1 to June 30</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3,624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51.33</w:t>
            </w:r>
          </w:p>
        </w:tc>
        <w:tc>
          <w:tcPr>
            <w:tcW w:w="100" w:type="dxa"/>
            <w:vAlign w:val="bottom"/>
          </w:tcPr>
          <w:p>
            <w:pPr>
              <w:spacing w:after="0"/>
              <w:rPr>
                <w:sz w:val="23"/>
                <w:szCs w:val="23"/>
                <w:color w:val="auto"/>
              </w:rPr>
            </w:pPr>
          </w:p>
        </w:tc>
        <w:tc>
          <w:tcPr>
            <w:tcW w:w="2340" w:type="dxa"/>
            <w:vAlign w:val="bottom"/>
          </w:tcPr>
          <w:p>
            <w:pPr>
              <w:ind w:left="20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72,765</w:t>
            </w:r>
          </w:p>
        </w:tc>
        <w:tc>
          <w:tcPr>
            <w:tcW w:w="0" w:type="dxa"/>
            <w:vAlign w:val="bottom"/>
          </w:tcPr>
          <w:p>
            <w:pPr>
              <w:spacing w:after="0"/>
              <w:rPr>
                <w:sz w:val="1"/>
                <w:szCs w:val="1"/>
                <w:color w:val="auto"/>
              </w:rPr>
            </w:pPr>
          </w:p>
        </w:tc>
      </w:tr>
      <w:tr>
        <w:trPr>
          <w:trHeight w:val="27"/>
        </w:trPr>
        <w:tc>
          <w:tcPr>
            <w:tcW w:w="30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vMerge w:val="continue"/>
          </w:tcPr>
          <w:p>
            <w:pPr>
              <w:spacing w:after="0"/>
              <w:rPr>
                <w:sz w:val="22"/>
                <w:szCs w:val="22"/>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30"/>
              <w:spacing w:after="0"/>
              <w:rPr>
                <w:sz w:val="20"/>
                <w:szCs w:val="20"/>
                <w:color w:val="auto"/>
              </w:rPr>
            </w:pPr>
            <w:r>
              <w:rPr>
                <w:rFonts w:ascii="Arial" w:cs="Arial" w:eastAsia="Arial" w:hAnsi="Arial"/>
                <w:sz w:val="18"/>
                <w:szCs w:val="18"/>
                <w:color w:val="auto"/>
              </w:rPr>
              <w:t>72,765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Index</w:t>
      </w:r>
    </w:p>
    <w:p>
      <w:pPr>
        <w:spacing w:after="0" w:line="387" w:lineRule="exact"/>
        <w:rPr>
          <w:sz w:val="20"/>
          <w:szCs w:val="20"/>
          <w:color w:val="auto"/>
        </w:rPr>
      </w:pPr>
    </w:p>
    <w:p>
      <w:pPr>
        <w:ind w:left="220"/>
        <w:spacing w:after="0"/>
        <w:tabs>
          <w:tab w:leader="none" w:pos="59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Exhibit</w:t>
      </w:r>
    </w:p>
    <w:p>
      <w:pPr>
        <w:spacing w:after="0" w:line="200" w:lineRule="exact"/>
        <w:rPr>
          <w:sz w:val="20"/>
          <w:szCs w:val="20"/>
          <w:color w:val="auto"/>
        </w:rPr>
      </w:pPr>
    </w:p>
    <w:p>
      <w:pPr>
        <w:spacing w:after="0" w:line="218" w:lineRule="exact"/>
        <w:rPr>
          <w:sz w:val="20"/>
          <w:szCs w:val="20"/>
          <w:color w:val="auto"/>
        </w:rPr>
      </w:pPr>
    </w:p>
    <w:p>
      <w:pPr>
        <w:ind w:left="460"/>
        <w:spacing w:after="0"/>
        <w:tabs>
          <w:tab w:leader="none" w:pos="1280" w:val="left"/>
        </w:tabs>
        <w:rPr>
          <w:rFonts w:ascii="Arial" w:cs="Arial" w:eastAsia="Arial" w:hAnsi="Arial"/>
          <w:sz w:val="18"/>
          <w:szCs w:val="18"/>
          <w:color w:val="0000FF"/>
        </w:rPr>
      </w:pPr>
      <w:hyperlink w:anchor="page40">
        <w:r>
          <w:rPr>
            <w:rFonts w:ascii="Arial" w:cs="Arial" w:eastAsia="Arial" w:hAnsi="Arial"/>
            <w:sz w:val="18"/>
            <w:szCs w:val="18"/>
            <w:u w:val="single" w:color="auto"/>
            <w:color w:val="0000FF"/>
          </w:rPr>
          <w:t>31.1</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Chief Executive Officer pursuant to Rule 13a-14(a) under the Securities Exchange Act of 1934.</w:t>
      </w:r>
    </w:p>
    <w:p>
      <w:pPr>
        <w:spacing w:after="0" w:line="333" w:lineRule="exact"/>
        <w:rPr>
          <w:sz w:val="20"/>
          <w:szCs w:val="20"/>
          <w:color w:val="auto"/>
        </w:rPr>
      </w:pPr>
    </w:p>
    <w:p>
      <w:pPr>
        <w:ind w:left="460"/>
        <w:spacing w:after="0"/>
        <w:tabs>
          <w:tab w:leader="none" w:pos="1280" w:val="left"/>
        </w:tabs>
        <w:rPr>
          <w:rFonts w:ascii="Arial" w:cs="Arial" w:eastAsia="Arial" w:hAnsi="Arial"/>
          <w:sz w:val="18"/>
          <w:szCs w:val="18"/>
          <w:color w:val="0000FF"/>
        </w:rPr>
      </w:pPr>
      <w:hyperlink w:anchor="page41">
        <w:r>
          <w:rPr>
            <w:rFonts w:ascii="Arial" w:cs="Arial" w:eastAsia="Arial" w:hAnsi="Arial"/>
            <w:sz w:val="18"/>
            <w:szCs w:val="18"/>
            <w:u w:val="single" w:color="auto"/>
            <w:color w:val="0000FF"/>
          </w:rPr>
          <w:t>31.2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Financial Officer pursuant to Rule 13a-14(a) under the Securities Exchange Act of 1934.</w:t>
      </w:r>
    </w:p>
    <w:p>
      <w:pPr>
        <w:spacing w:after="0" w:line="387" w:lineRule="exact"/>
        <w:rPr>
          <w:sz w:val="20"/>
          <w:szCs w:val="20"/>
          <w:color w:val="auto"/>
        </w:rPr>
      </w:pPr>
    </w:p>
    <w:p>
      <w:pPr>
        <w:ind w:left="460"/>
        <w:spacing w:after="0"/>
        <w:tabs>
          <w:tab w:leader="none" w:pos="1280" w:val="left"/>
        </w:tabs>
        <w:rPr>
          <w:rFonts w:ascii="Arial" w:cs="Arial" w:eastAsia="Arial" w:hAnsi="Arial"/>
          <w:sz w:val="18"/>
          <w:szCs w:val="18"/>
          <w:color w:val="0000FF"/>
        </w:rPr>
      </w:pPr>
      <w:hyperlink w:anchor="page42">
        <w:r>
          <w:rPr>
            <w:rFonts w:ascii="Arial" w:cs="Arial" w:eastAsia="Arial" w:hAnsi="Arial"/>
            <w:sz w:val="18"/>
            <w:szCs w:val="18"/>
            <w:u w:val="single" w:color="auto"/>
            <w:color w:val="0000FF"/>
          </w:rPr>
          <w:t>31.3</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 of Principal Accounting Officer pursuant to Rule 13a-14(a) under the Securities Exchange Act of 1934.</w:t>
      </w:r>
    </w:p>
    <w:p>
      <w:pPr>
        <w:spacing w:after="0" w:line="200" w:lineRule="exact"/>
        <w:rPr>
          <w:sz w:val="20"/>
          <w:szCs w:val="20"/>
          <w:color w:val="auto"/>
        </w:rPr>
      </w:pPr>
    </w:p>
    <w:p>
      <w:pPr>
        <w:spacing w:after="0" w:line="214" w:lineRule="exact"/>
        <w:rPr>
          <w:sz w:val="20"/>
          <w:szCs w:val="20"/>
          <w:color w:val="auto"/>
        </w:rPr>
      </w:pPr>
    </w:p>
    <w:p>
      <w:pPr>
        <w:ind w:left="480"/>
        <w:spacing w:after="0"/>
        <w:tabs>
          <w:tab w:leader="none" w:pos="1280" w:val="left"/>
        </w:tabs>
        <w:rPr>
          <w:rFonts w:ascii="Arial" w:cs="Arial" w:eastAsia="Arial" w:hAnsi="Arial"/>
          <w:sz w:val="18"/>
          <w:szCs w:val="18"/>
          <w:color w:val="0000FF"/>
        </w:rPr>
      </w:pPr>
      <w:hyperlink w:anchor="page43">
        <w:r>
          <w:rPr>
            <w:rFonts w:ascii="Arial" w:cs="Arial" w:eastAsia="Arial" w:hAnsi="Arial"/>
            <w:sz w:val="18"/>
            <w:szCs w:val="18"/>
            <w:u w:val="single" w:color="auto"/>
            <w:color w:val="0000FF"/>
          </w:rPr>
          <w:t>32</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Certifications pursuant to Rule 13a-14(b) under the Securities Exchange Act of 1934 and 18 U.S.C. § 1350.</w:t>
      </w:r>
    </w:p>
    <w:p>
      <w:pPr>
        <w:spacing w:after="0" w:line="333" w:lineRule="exact"/>
        <w:rPr>
          <w:sz w:val="20"/>
          <w:szCs w:val="20"/>
          <w:color w:val="auto"/>
        </w:rPr>
      </w:pPr>
    </w:p>
    <w:p>
      <w:pPr>
        <w:ind w:left="1300" w:hanging="839"/>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Formatted in XBRL (Extensible Business Reporting Language)</w:t>
      </w:r>
    </w:p>
    <w:p>
      <w:pPr>
        <w:spacing w:after="0" w:line="333"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8760" w:type="dxa"/>
            <w:vAlign w:val="bottom"/>
          </w:tcPr>
          <w:p>
            <w:pPr>
              <w:ind w:left="34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w:t>
            </w:r>
          </w:p>
        </w:tc>
      </w:tr>
      <w:tr>
        <w:trPr>
          <w:trHeight w:val="230"/>
        </w:trPr>
        <w:tc>
          <w:tcPr>
            <w:tcW w:w="1000" w:type="dxa"/>
            <w:vAlign w:val="bottom"/>
          </w:tcPr>
          <w:p>
            <w:pPr>
              <w:spacing w:after="0"/>
              <w:rPr>
                <w:sz w:val="20"/>
                <w:szCs w:val="20"/>
                <w:color w:val="auto"/>
              </w:rPr>
            </w:pPr>
          </w:p>
        </w:tc>
        <w:tc>
          <w:tcPr>
            <w:tcW w:w="8760" w:type="dxa"/>
            <w:vAlign w:val="bottom"/>
          </w:tcPr>
          <w:p>
            <w:pPr>
              <w:ind w:left="340"/>
              <w:spacing w:after="0"/>
              <w:rPr>
                <w:sz w:val="20"/>
                <w:szCs w:val="20"/>
                <w:color w:val="auto"/>
              </w:rPr>
            </w:pPr>
            <w:r>
              <w:rPr>
                <w:rFonts w:ascii="Arial" w:cs="Arial" w:eastAsia="Arial" w:hAnsi="Arial"/>
                <w:sz w:val="18"/>
                <w:szCs w:val="18"/>
                <w:color w:val="auto"/>
              </w:rPr>
              <w:t>are embedded within the Inline XBRL document</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8760" w:type="dxa"/>
            <w:vAlign w:val="bottom"/>
          </w:tcPr>
          <w:p>
            <w:pPr>
              <w:ind w:left="3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8760" w:type="dxa"/>
            <w:vAlign w:val="bottom"/>
          </w:tcPr>
          <w:p>
            <w:pPr>
              <w:ind w:left="3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8760" w:type="dxa"/>
            <w:vAlign w:val="bottom"/>
          </w:tcPr>
          <w:p>
            <w:pPr>
              <w:ind w:left="340"/>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8760" w:type="dxa"/>
            <w:vAlign w:val="bottom"/>
          </w:tcPr>
          <w:p>
            <w:pPr>
              <w:ind w:left="34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876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360" w:lineRule="exact"/>
        <w:rPr>
          <w:sz w:val="20"/>
          <w:szCs w:val="20"/>
          <w:color w:val="auto"/>
        </w:rPr>
      </w:pPr>
    </w:p>
    <w:p>
      <w:pPr>
        <w:jc w:val="both"/>
        <w:ind w:left="660" w:hanging="652"/>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SHENANDOAH TELECOMMUNICATIONS COMPANY</w:t>
      </w:r>
    </w:p>
    <w:p>
      <w:pPr>
        <w:spacing w:after="0" w:line="200" w:lineRule="exact"/>
        <w:rPr>
          <w:sz w:val="20"/>
          <w:szCs w:val="20"/>
          <w:color w:val="auto"/>
        </w:rPr>
      </w:pPr>
    </w:p>
    <w:p>
      <w:pPr>
        <w:spacing w:after="0" w:line="268" w:lineRule="exact"/>
        <w:rPr>
          <w:sz w:val="20"/>
          <w:szCs w:val="20"/>
          <w:color w:val="auto"/>
        </w:rPr>
      </w:pPr>
    </w:p>
    <w:p>
      <w:pPr>
        <w:ind w:left="1280"/>
        <w:spacing w:after="0"/>
        <w:rPr>
          <w:sz w:val="20"/>
          <w:szCs w:val="20"/>
          <w:color w:val="auto"/>
        </w:rPr>
      </w:pPr>
      <w:r>
        <w:rPr>
          <w:rFonts w:ascii="Arial" w:cs="Arial" w:eastAsia="Arial" w:hAnsi="Arial"/>
          <w:sz w:val="18"/>
          <w:szCs w:val="18"/>
          <w:u w:val="single" w:color="auto"/>
          <w:color w:val="auto"/>
        </w:rPr>
        <w:t>/s/James J. Volk</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James J. Volk</w:t>
      </w:r>
    </w:p>
    <w:p>
      <w:pPr>
        <w:spacing w:after="0" w:line="6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Senior Vice President - Chief Financial Officer</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i w:val="1"/>
          <w:iCs w:val="1"/>
          <w:color w:val="auto"/>
        </w:rPr>
        <w:t>(Principal Financial Officer)</w:t>
      </w:r>
    </w:p>
    <w:p>
      <w:pPr>
        <w:spacing w:after="0" w:line="4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Date: July 30, 2020</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600"/>
          </w:cols>
          <w:pgMar w:left="320" w:top="125" w:right="9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035"/>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Christopher E. French, certify that:</w:t>
      </w:r>
    </w:p>
    <w:p>
      <w:pPr>
        <w:spacing w:after="0" w:line="225"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60" w:hanging="32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 CHRISTOPHER E. FRENCH</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60" w:hanging="324"/>
        <w:spacing w:after="0" w:line="263" w:lineRule="auto"/>
        <w:tabs>
          <w:tab w:leader="none" w:pos="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2"/>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40" w:hanging="324"/>
        <w:spacing w:after="0" w:line="263" w:lineRule="auto"/>
        <w:tabs>
          <w:tab w:leader="none" w:pos="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571"/>
        <w:spacing w:after="0" w:line="342"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2"/>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60" w:hanging="324"/>
        <w:spacing w:after="0" w:line="277" w:lineRule="auto"/>
        <w:tabs>
          <w:tab w:leader="none" w:pos="9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/s/JAMES J. VOLK</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Chase L. Stobbe, certify that:</w:t>
      </w:r>
    </w:p>
    <w:p>
      <w:pPr>
        <w:spacing w:after="0" w:line="117"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Shenandoah Telecommunications Company;</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652"/>
        <w:spacing w:after="0" w:line="291"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Arial" w:cs="Arial" w:eastAsia="Arial" w:hAnsi="Arial"/>
          <w:sz w:val="16"/>
          <w:szCs w:val="16"/>
          <w:color w:val="auto"/>
        </w:rPr>
      </w:pPr>
      <w:r>
        <w:rPr>
          <w:rFonts w:ascii="Arial" w:cs="Arial" w:eastAsia="Arial" w:hAnsi="Arial"/>
          <w:sz w:val="18"/>
          <w:szCs w:val="18"/>
          <w:color w:val="auto"/>
        </w:rPr>
        <w:t>15d</w:t>
      </w:r>
      <w:r>
        <w:rPr>
          <w:rFonts w:ascii="MS PGothic" w:cs="MS PGothic" w:eastAsia="MS PGothic" w:hAnsi="MS PGothic"/>
          <w:sz w:val="18"/>
          <w:szCs w:val="18"/>
          <w:color w:val="auto"/>
        </w:rPr>
        <w:t>‑</w:t>
      </w:r>
      <w:r>
        <w:rPr>
          <w:rFonts w:ascii="Arial" w:cs="Arial" w:eastAsia="Arial" w:hAnsi="Arial"/>
          <w:sz w:val="18"/>
          <w:szCs w:val="18"/>
          <w:color w:val="auto"/>
        </w:rPr>
        <w:t>15(f)) for the registrant and have:</w:t>
      </w:r>
    </w:p>
    <w:p>
      <w:pPr>
        <w:spacing w:after="0" w:line="210" w:lineRule="exact"/>
        <w:rPr>
          <w:rFonts w:ascii="Arial" w:cs="Arial" w:eastAsia="Arial" w:hAnsi="Arial"/>
          <w:sz w:val="16"/>
          <w:szCs w:val="16"/>
          <w:color w:val="auto"/>
        </w:rPr>
      </w:pPr>
    </w:p>
    <w:p>
      <w:pPr>
        <w:ind w:left="980" w:right="60" w:hanging="324"/>
        <w:spacing w:after="0" w:line="263" w:lineRule="auto"/>
        <w:tabs>
          <w:tab w:leader="none" w:pos="9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2"/>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40" w:hanging="324"/>
        <w:spacing w:after="0" w:line="263" w:lineRule="auto"/>
        <w:tabs>
          <w:tab w:leader="none" w:pos="9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80" w:hanging="571"/>
        <w:spacing w:after="0" w:line="342"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80" w:val="left"/>
        </w:tabs>
        <w:numPr>
          <w:ilvl w:val="2"/>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460" w:hanging="324"/>
        <w:spacing w:after="0" w:line="277" w:lineRule="auto"/>
        <w:tabs>
          <w:tab w:leader="none" w:pos="98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/s/CHASE L. STOBBE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Chase L. Stobbe, Vice President - Chief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July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400"/>
                    </a:xfrm>
                    <a:prstGeom prst="rect">
                      <a:avLst/>
                    </a:prstGeom>
                    <a:noFill/>
                  </pic:spPr>
                </pic:pic>
              </a:graphicData>
            </a:graphic>
          </wp:anchor>
        </w:drawing>
        <w:t>EXHIBIT 32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Written Statement of Chief Executive Officer and Chief Financial Officer</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70" w:lineRule="exact"/>
        <w:rPr>
          <w:sz w:val="20"/>
          <w:szCs w:val="20"/>
          <w:color w:val="auto"/>
        </w:rPr>
      </w:pPr>
    </w:p>
    <w:p>
      <w:pPr>
        <w:ind w:right="140" w:firstLine="656"/>
        <w:spacing w:after="0" w:line="342" w:lineRule="auto"/>
        <w:tabs>
          <w:tab w:leader="none" w:pos="1218"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three months ended June 30, 2020 filed on the date hereof with the Securities and Exchange Commission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1220" w:hanging="564"/>
        <w:spacing w:after="0"/>
        <w:tabs>
          <w:tab w:leader="none" w:pos="12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Information contained in the Report fairly presents, in all material respects, the financial condition and result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73"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/s/CHRISTOPHER E. FRENCH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Christopher E. French</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(Principal Executive Officer)</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30, 2020</w:t>
      </w:r>
    </w:p>
    <w:p>
      <w:pPr>
        <w:spacing w:after="0" w:line="333"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/s/JAMES J. VOLK</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James J. Volk</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Senior Vice President – Chief Financial Officer</w:t>
      </w:r>
    </w:p>
    <w:p>
      <w:pPr>
        <w:spacing w:after="0" w:line="63"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Fincncial Officer)</w:t>
      </w:r>
    </w:p>
    <w:p>
      <w:pPr>
        <w:spacing w:after="0" w:line="63"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July 30, 2020</w:t>
      </w:r>
    </w:p>
    <w:p>
      <w:pPr>
        <w:spacing w:after="0" w:line="2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sectPr>
      <w:pgSz w:w="11900" w:h="16838" w:orient="portrait"/>
      <w:cols w:equalWidth="0" w:num="1">
        <w:col w:w="11220"/>
      </w:cols>
      <w:pgMar w:left="320" w:top="85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emdash "/>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57"/>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22"/>
    </w:lvl>
  </w:abstractNum>
  <w:abstractNum w:abstractNumId="14">
    <w:nsid w:val="2443A858"/>
    <w:multiLevelType w:val="hybridMultilevel"/>
    <w:lvl w:ilvl="0">
      <w:lvlJc w:val="left"/>
      <w:lvlText w:val="%1"/>
      <w:numFmt w:val="decimal"/>
      <w:start w:val="569"/>
    </w:lvl>
  </w:abstractNum>
  <w:abstractNum w:abstractNumId="15">
    <w:nsid w:val="2D1D5AE9"/>
    <w:multiLevelType w:val="hybridMultilevel"/>
    <w:lvl w:ilvl="0">
      <w:lvlJc w:val="left"/>
      <w:lvlText w:val="(%1)"/>
      <w:numFmt w:val="decimal"/>
      <w:start w:val="535"/>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613"/>
    </w:lvl>
  </w:abstractNum>
  <w:abstractNum w:abstractNumId="18">
    <w:nsid w:val="8EDBDAB"/>
    <w:multiLevelType w:val="hybridMultilevel"/>
    <w:lvl w:ilvl="0">
      <w:lvlJc w:val="left"/>
      <w:lvlText w:val="%1"/>
      <w:numFmt w:val="decimal"/>
      <w:start w:val="9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1)"/>
      <w:numFmt w:val="decimal"/>
      <w:start w:val="10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8">
    <w:nsid w:val="3A95F87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2020-07-30T07:06:44Z</dcterms:created>
  <dcterms:modified xsi:type="dcterms:W3CDTF">2020-07-30T07:06:44Z</dcterms:modified>
</cp:coreProperties>
</file>