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 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from__________ to 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000-09881 </w:t>
      </w:r>
    </w:p>
    <w:p>
      <w:pPr>
        <w:pStyle w:val="TextBody"/>
        <w:bidi w:val="0"/>
        <w:spacing w:before="0" w:after="0"/>
        <w:jc w:val="center"/>
        <w:rPr/>
      </w:pPr>
      <w:r>
        <w:rPr/>
      </w:r>
    </w:p>
    <w:p>
      <w:pPr>
        <w:pStyle w:val="TextBody"/>
        <w:bidi w:val="0"/>
        <w:spacing w:before="0" w:after="0"/>
        <w:jc w:val="center"/>
        <w:rPr/>
      </w:pPr>
      <w:r>
        <w:rPr/>
        <w:drawing>
          <wp:inline distT="0" distB="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SHENANDOAH TELECOMMUNICATIONS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54-1162807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500 Shentel Way, Edinburg, Virginia    22824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(540) 984-4141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4"/>
        <w:gridCol w:w="594"/>
        <w:gridCol w:w="596"/>
        <w:gridCol w:w="392"/>
        <w:gridCol w:w="392"/>
        <w:gridCol w:w="399"/>
        <w:gridCol w:w="804"/>
        <w:gridCol w:w="796"/>
        <w:gridCol w:w="798"/>
        <w:gridCol w:w="1390"/>
        <w:gridCol w:w="1390"/>
        <w:gridCol w:w="1980"/>
      </w:tblGrid>
      <w:tr>
        <w:trPr/>
        <w:tc>
          <w:tcPr>
            <w:tcW w:w="67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SHEN</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55,322,001</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Class)</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on April 24, 2026)</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8"/>
        <w:gridCol w:w="530"/>
        <w:gridCol w:w="109"/>
        <w:gridCol w:w="109"/>
        <w:gridCol w:w="109"/>
        <w:gridCol w:w="428"/>
        <w:gridCol w:w="428"/>
        <w:gridCol w:w="430"/>
        <w:gridCol w:w="109"/>
        <w:gridCol w:w="109"/>
        <w:gridCol w:w="109"/>
        <w:gridCol w:w="518"/>
        <w:gridCol w:w="518"/>
        <w:gridCol w:w="520"/>
        <w:gridCol w:w="109"/>
        <w:gridCol w:w="109"/>
        <w:gridCol w:w="109"/>
        <w:gridCol w:w="666"/>
        <w:gridCol w:w="666"/>
        <w:gridCol w:w="669"/>
        <w:gridCol w:w="109"/>
        <w:gridCol w:w="109"/>
        <w:gridCol w:w="109"/>
        <w:gridCol w:w="671"/>
        <w:gridCol w:w="671"/>
        <w:gridCol w:w="674"/>
        <w:gridCol w:w="109"/>
        <w:gridCol w:w="109"/>
        <w:gridCol w:w="161"/>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ind w:left="0" w:right="0" w:firstLine="900"/>
        <w:jc w:val="left"/>
        <w:rPr/>
      </w:pPr>
      <w:r>
        <w:rPr/>
      </w:r>
    </w:p>
    <w:tbl>
      <w:tblPr>
        <w:tblW w:w="9680" w:type="dxa"/>
        <w:jc w:val="left"/>
        <w:tblInd w:w="0" w:type="dxa"/>
        <w:tblLayout w:type="fixed"/>
        <w:tblCellMar>
          <w:top w:w="28" w:type="dxa"/>
          <w:left w:w="28" w:type="dxa"/>
          <w:bottom w:w="28" w:type="dxa"/>
          <w:right w:w="28" w:type="dxa"/>
        </w:tblCellMar>
      </w:tblPr>
      <w:tblGrid>
        <w:gridCol w:w="299"/>
        <w:gridCol w:w="262"/>
        <w:gridCol w:w="263"/>
        <w:gridCol w:w="2609"/>
        <w:gridCol w:w="2609"/>
        <w:gridCol w:w="2612"/>
        <w:gridCol w:w="109"/>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Numbers</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6">
              <w:r>
                <w:rPr>
                  <w:rStyle w:val="InternetLink"/>
                  <w:rFonts w:ascii="Times New Roman;serif" w:hAnsi="Times New Roman;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9">
              <w:r>
                <w:rPr>
                  <w:rStyle w:val="InternetLink"/>
                  <w:rFonts w:ascii="Times New Roman;serif" w:hAnsi="Times New Roman;serif"/>
                  <w:b w:val="false"/>
                  <w:color w:val="0000FF"/>
                  <w:sz w:val="20"/>
                  <w:u w:val="single"/>
                </w:rPr>
                <w:t>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Comprehensive Loss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22">
              <w:r>
                <w:rPr>
                  <w:rStyle w:val="InternetLink"/>
                  <w:rFonts w:ascii="Times New Roman;serif" w:hAnsi="Times New Roman;serif"/>
                  <w:b w:val="false"/>
                  <w:color w:val="0000FF"/>
                  <w:sz w:val="20"/>
                  <w:u w:val="single"/>
                </w:rPr>
                <w:t>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Temporary Equity and Shareholders’ Equity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25">
              <w:r>
                <w:rPr>
                  <w:rStyle w:val="InternetLink"/>
                  <w:rFonts w:ascii="Times New Roman;serif" w:hAnsi="Times New Roman;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Cash Flows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28">
              <w:r>
                <w:rPr>
                  <w:rStyle w:val="InternetLink"/>
                  <w:rFonts w:ascii="Times New Roman;serif" w:hAnsi="Times New Roman;serif"/>
                  <w:b w:val="false"/>
                  <w:color w:val="0000FF"/>
                  <w:sz w:val="20"/>
                  <w:u w:val="single"/>
                </w:rPr>
                <w:t>7</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31">
              <w:r>
                <w:rPr>
                  <w:rStyle w:val="InternetLink"/>
                  <w:rFonts w:ascii="Times New Roman;serif" w:hAnsi="Times New Roman;serif"/>
                  <w:b w:val="false"/>
                  <w:color w:val="0000FF"/>
                  <w:sz w:val="20"/>
                  <w:u w:val="single"/>
                </w:rPr>
                <w:t>8</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88">
              <w:r>
                <w:rPr>
                  <w:rStyle w:val="InternetLink"/>
                  <w:rFonts w:ascii="Times New Roman;serif" w:hAnsi="Times New Roman;serif"/>
                  <w:b w:val="false"/>
                  <w:color w:val="0000FF"/>
                  <w:sz w:val="20"/>
                  <w:u w:val="single"/>
                </w:rPr>
                <w:t>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06">
              <w:r>
                <w:rPr>
                  <w:rStyle w:val="InternetLink"/>
                  <w:rFonts w:ascii="Times New Roman;serif" w:hAnsi="Times New Roman;serif"/>
                  <w:b w:val="false"/>
                  <w:color w:val="0000FF"/>
                  <w:sz w:val="20"/>
                  <w:u w:val="single"/>
                </w:rPr>
                <w:t>29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09">
              <w:r>
                <w:rPr>
                  <w:rStyle w:val="InternetLink"/>
                  <w:rFonts w:ascii="Times New Roman;serif" w:hAnsi="Times New Roman;serif"/>
                  <w:b w:val="false"/>
                  <w:color w:val="0000FF"/>
                  <w:sz w:val="20"/>
                  <w:u w:val="single"/>
                </w:rPr>
                <w:t>29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15">
              <w:r>
                <w:rPr>
                  <w:rStyle w:val="InternetLink"/>
                  <w:rFonts w:ascii="Times New Roman;serif" w:hAnsi="Times New Roman;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18">
              <w:r>
                <w:rPr>
                  <w:rStyle w:val="InternetLink"/>
                  <w:rFonts w:ascii="Times New Roman;serif" w:hAnsi="Times New Roman;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21">
              <w:r>
                <w:rPr>
                  <w:rStyle w:val="InternetLink"/>
                  <w:rFonts w:ascii="Times New Roman;serif" w:hAnsi="Times New Roman;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24">
              <w:r>
                <w:rPr>
                  <w:rStyle w:val="InternetLink"/>
                  <w:rFonts w:ascii="Times New Roman;serif" w:hAnsi="Times New Roman;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27">
              <w:r>
                <w:rPr>
                  <w:rStyle w:val="InternetLink"/>
                  <w:rFonts w:ascii="Times New Roman;serif" w:hAnsi="Times New Roman;serif"/>
                  <w:b w:val="false"/>
                  <w:color w:val="0000FF"/>
                  <w:sz w:val="20"/>
                  <w:u w:val="single"/>
                </w:rPr>
                <w:t>31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1d9164a39d94c14ab042f85db92189b_130">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895"/>
        <w:gridCol w:w="2283"/>
        <w:gridCol w:w="2301"/>
        <w:gridCol w:w="196"/>
        <w:gridCol w:w="871"/>
        <w:gridCol w:w="109"/>
        <w:gridCol w:w="109"/>
        <w:gridCol w:w="109"/>
        <w:gridCol w:w="109"/>
        <w:gridCol w:w="196"/>
        <w:gridCol w:w="871"/>
        <w:gridCol w:w="156"/>
      </w:tblGrid>
      <w:tr>
        <w:trPr/>
        <w:tc>
          <w:tcPr>
            <w:tcW w:w="289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$1,096 and $829,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1,952,962 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unamortized loan fees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obligations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authorized 96,000; 55,302 and 54,899 issued and outstanding at March 31,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880,783 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1,952,962 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13"/>
        <w:gridCol w:w="1473"/>
        <w:gridCol w:w="1479"/>
        <w:gridCol w:w="220"/>
        <w:gridCol w:w="220"/>
        <w:gridCol w:w="220"/>
        <w:gridCol w:w="395"/>
        <w:gridCol w:w="1447"/>
        <w:gridCol w:w="220"/>
        <w:gridCol w:w="220"/>
        <w:gridCol w:w="220"/>
        <w:gridCol w:w="220"/>
        <w:gridCol w:w="395"/>
        <w:gridCol w:w="1447"/>
        <w:gridCol w:w="316"/>
      </w:tblGrid>
      <w:tr>
        <w:trPr/>
        <w:tc>
          <w:tcPr>
            <w:tcW w:w="171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UNAUDITED CONDENSED CONSOLIDATED STATEMENTS OF OPERATIONS</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92,153 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87,898 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102,622 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93,990 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(19,859)</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(10,251)</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(9,132)</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(17,328)</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(10,604)</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shareholders, basic and diluted:</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55,554 </w:t>
            </w:r>
          </w:p>
        </w:tc>
        <w:tc>
          <w:tcPr>
            <w:tcW w:w="22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54,959 </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95"/>
        <w:gridCol w:w="1304"/>
        <w:gridCol w:w="1304"/>
        <w:gridCol w:w="242"/>
        <w:gridCol w:w="242"/>
        <w:gridCol w:w="242"/>
        <w:gridCol w:w="436"/>
        <w:gridCol w:w="1595"/>
        <w:gridCol w:w="242"/>
        <w:gridCol w:w="242"/>
        <w:gridCol w:w="242"/>
        <w:gridCol w:w="242"/>
        <w:gridCol w:w="436"/>
        <w:gridCol w:w="1595"/>
        <w:gridCol w:w="346"/>
      </w:tblGrid>
      <w:tr>
        <w:trPr/>
        <w:tc>
          <w:tcPr>
            <w:tcW w:w="149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COMPREHENSIVE LOSS</w:t>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(9,132)</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loss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common shareholders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(17,328)</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tbl>
      <w:tblPr>
        <w:tblW w:w="10546" w:type="dxa"/>
        <w:jc w:val="left"/>
        <w:tblInd w:w="0" w:type="dxa"/>
        <w:tblLayout w:type="fixed"/>
        <w:tblCellMar>
          <w:top w:w="28" w:type="dxa"/>
          <w:left w:w="28" w:type="dxa"/>
          <w:bottom w:w="28" w:type="dxa"/>
          <w:right w:w="28" w:type="dxa"/>
        </w:tblCellMar>
      </w:tblPr>
      <w:tblGrid>
        <w:gridCol w:w="61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79"/>
        <w:gridCol w:w="267"/>
        <w:gridCol w:w="196"/>
        <w:gridCol w:w="109"/>
        <w:gridCol w:w="109"/>
        <w:gridCol w:w="109"/>
        <w:gridCol w:w="196"/>
        <w:gridCol w:w="736"/>
        <w:gridCol w:w="109"/>
        <w:gridCol w:w="109"/>
        <w:gridCol w:w="109"/>
        <w:gridCol w:w="109"/>
        <w:gridCol w:w="196"/>
        <w:gridCol w:w="736"/>
        <w:gridCol w:w="109"/>
        <w:gridCol w:w="109"/>
        <w:gridCol w:w="109"/>
        <w:gridCol w:w="109"/>
        <w:gridCol w:w="335"/>
        <w:gridCol w:w="694"/>
        <w:gridCol w:w="187"/>
        <w:gridCol w:w="109"/>
        <w:gridCol w:w="109"/>
        <w:gridCol w:w="109"/>
        <w:gridCol w:w="254"/>
        <w:gridCol w:w="748"/>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tc>
      </w:tr>
      <w:tr>
        <w:trPr/>
        <w:tc>
          <w:tcPr>
            <w:tcW w:w="1054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TEMPORARY EQUITY AND SHAREHOLDERS' EQUITY</w:t>
            </w:r>
          </w:p>
        </w:tc>
      </w:tr>
      <w:tr>
        <w:trPr/>
        <w:tc>
          <w:tcPr>
            <w:tcW w:w="1054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55,302 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866,958 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96"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91"/>
        <w:gridCol w:w="255"/>
        <w:gridCol w:w="256"/>
        <w:gridCol w:w="109"/>
        <w:gridCol w:w="109"/>
        <w:gridCol w:w="109"/>
        <w:gridCol w:w="196"/>
        <w:gridCol w:w="736"/>
        <w:gridCol w:w="109"/>
        <w:gridCol w:w="109"/>
        <w:gridCol w:w="109"/>
        <w:gridCol w:w="109"/>
        <w:gridCol w:w="196"/>
        <w:gridCol w:w="736"/>
        <w:gridCol w:w="109"/>
        <w:gridCol w:w="109"/>
        <w:gridCol w:w="109"/>
        <w:gridCol w:w="109"/>
        <w:gridCol w:w="276"/>
        <w:gridCol w:w="785"/>
        <w:gridCol w:w="155"/>
        <w:gridCol w:w="109"/>
        <w:gridCol w:w="109"/>
        <w:gridCol w:w="109"/>
        <w:gridCol w:w="208"/>
        <w:gridCol w:w="783"/>
        <w:gridCol w:w="16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54,605 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918,583 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54,857 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910,473 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tbl>
      <w:tblPr>
        <w:tblW w:w="9143" w:type="dxa"/>
        <w:jc w:val="left"/>
        <w:tblInd w:w="0" w:type="dxa"/>
        <w:tblLayout w:type="fixed"/>
        <w:tblCellMar>
          <w:top w:w="28" w:type="dxa"/>
          <w:left w:w="28" w:type="dxa"/>
          <w:bottom w:w="28" w:type="dxa"/>
          <w:right w:w="28" w:type="dxa"/>
        </w:tblCellMar>
      </w:tblPr>
      <w:tblGrid>
        <w:gridCol w:w="2463"/>
        <w:gridCol w:w="2164"/>
        <w:gridCol w:w="2167"/>
        <w:gridCol w:w="196"/>
        <w:gridCol w:w="721"/>
        <w:gridCol w:w="109"/>
        <w:gridCol w:w="109"/>
        <w:gridCol w:w="109"/>
        <w:gridCol w:w="109"/>
        <w:gridCol w:w="196"/>
        <w:gridCol w:w="64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CASH FLOWS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amount capitalized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deferrals and accruals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 borrowings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and amendment costs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equity award issuances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arrangements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net of amounts capitalized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refunds received</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following table provides a reconciliation of the cash, cash equivalents, and restricted cash balances as of </w:t>
      </w:r>
      <w:r>
        <w:rPr>
          <w:rFonts w:ascii="Times New Roman;serif" w:hAnsi="Times New Roman;serif"/>
          <w:b w:val="false"/>
          <w:color w:val="000000"/>
          <w:sz w:val="20"/>
        </w:rPr>
        <w:t>March 31, 2026 and December 31, 2025</w:t>
      </w:r>
      <w:r>
        <w:rPr>
          <w:color w:val="000000"/>
        </w:rPr>
        <w:t xml:space="preserve"> </w:t>
      </w:r>
      <w:r>
        <w:rPr>
          <w:rFonts w:ascii="Times New Roman;serif" w:hAnsi="Times New Roman;serif"/>
          <w:b w:val="false"/>
          <w:color w:val="000000"/>
          <w:sz w:val="18"/>
        </w:rPr>
        <w:t>as shown above:</w:t>
      </w:r>
    </w:p>
    <w:p>
      <w:pPr>
        <w:pStyle w:val="TextBody"/>
        <w:bidi w:val="0"/>
        <w:spacing w:before="0" w:after="0"/>
        <w:jc w:val="left"/>
        <w:rPr/>
      </w:pPr>
      <w:r>
        <w:rPr/>
      </w:r>
    </w:p>
    <w:tbl>
      <w:tblPr>
        <w:tblW w:w="5724" w:type="dxa"/>
        <w:jc w:val="left"/>
        <w:tblInd w:w="0" w:type="dxa"/>
        <w:tblLayout w:type="fixed"/>
        <w:tblCellMar>
          <w:top w:w="28" w:type="dxa"/>
          <w:left w:w="28" w:type="dxa"/>
          <w:bottom w:w="28" w:type="dxa"/>
          <w:right w:w="28" w:type="dxa"/>
        </w:tblCellMar>
      </w:tblPr>
      <w:tblGrid>
        <w:gridCol w:w="1129"/>
        <w:gridCol w:w="991"/>
        <w:gridCol w:w="999"/>
        <w:gridCol w:w="201"/>
        <w:gridCol w:w="662"/>
        <w:gridCol w:w="111"/>
        <w:gridCol w:w="109"/>
        <w:gridCol w:w="109"/>
        <w:gridCol w:w="109"/>
        <w:gridCol w:w="255"/>
        <w:gridCol w:w="846"/>
        <w:gridCol w:w="203"/>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71,078 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Basis of Presentation and 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(“HFC”) cable networks. We also lease dark fiber and provide Ethernet and Wavelength fiber optic services to enterprise and wholesale customers throughout the entirety of our service area. Shentel’s Broadband business also provides voice and digital subscriber line (“DSL”) services as a Rural Local Exchange Carrier (“RLEC”) to customers in Shenandoah County and portions of adjacent counties in Virginia, and in Ross County and portions of adjacent counties in Ohio. These integrated networks are connected by a fiber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 xml:space="preserve">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estimates and assumptions, including, but not limited to, revenue recognition, stock-based compensation, estimated useful lives of assets, impairment of goodwill and indefinite-lived intangible assets, realizability of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additional information is obtained, and as the Company’s operating environment changes. Management evaluates and updates assumptions and estimates on an ongoing basis.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In October 2023, the Financial Accounting Standards Board (“FASB”) issued Accounting Standards Update (“ASU”) 2023-06, “Disclosure Improvements: Codification Amendments in Response to the Securities and Exchange Commission’s (“SEC”) Disclosure Update and Simplification Initiative,” (“ASU 2023-06”), which aligns the disclosure and presentation requirements of a variety of the FASB’s </w:t>
      </w:r>
      <w:r>
        <w:rPr>
          <w:rFonts w:ascii="Times New Roman;serif" w:hAnsi="Times New Roman;serif"/>
          <w:b w:val="false"/>
          <w:color w:val="000000"/>
          <w:sz w:val="20"/>
        </w:rPr>
        <w:t>Accounting Standards Codification (“ASC”)</w:t>
      </w:r>
      <w:r>
        <w:rPr>
          <w:color w:val="212529"/>
        </w:rPr>
        <w:t xml:space="preserve"> </w:t>
      </w:r>
      <w:r>
        <w:rPr>
          <w:rFonts w:ascii="Times New Roman;serif" w:hAnsi="Times New Roman;serif"/>
          <w:b w:val="false"/>
          <w:color w:val="212529"/>
          <w:sz w:val="20"/>
        </w:rPr>
        <w:t>Topics with the requirements described in the SEC’s Disclosure Update and Simplification Initiative. ASU 2023-06 will become effective for each amendment on the effective date of the SEC’s corresponding disclosure rule changes; however, if by June 30, 2027, the SEC has not removed the applicable requirement from Regulation S-X or Regulation S-K, the pending content of the related amendment will be removed from the Codification and will not become effective for any entity. The Company is currently assessing the impact of adopting ASU 2023-06 on the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In November 2024, FASB issued ASU 2024-03 “Income Statement—Reporting Comprehensive Income—Expense Disaggregation Disclosures (Subtopic 220-40)” (“ASU 2024-03”). This accounting update requires disclosure of disaggregated expense in prescribed categories underlying any relevant income statement expense caption. The updated disclosure requirements are to be adopted for annual periods beginning after December 15, 2026, and interim reporting periods beginning after December 15, 2027. The Company is currently assessing the impact of adopting ASU 2024-03 on the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In December 2025, the FASB issued ASU 2025-10, “Government Grants (Topic 832): Accounting for Government Grants Received by Business Entities” (“ASU 2025-10”). This accounting update establishes guidance for the recognition, measurement, presentation and disclosure of government grants. The updated requirements are effective for public business entities for annual reporting periods beginning after December 15, 2028, and interim periods therein, with early adoption permitted. The Company is currently assessing the impact of adopting ASU 2025-10 on its consolidated financial statements and related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additional material developments related to recently issued accounting standards beyond those noted above, including the expected dates of adoption and estimated effects on the Company’s unaudited condensed consolidated financial statements and note disclosures from those disclosed in the Company’s Annual Report on Form 10-K for its fiscal year ended December 31, 2025, that would be expected to impact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2. Revenue from Contracts with Customers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by activity type were as follows:</w:t>
      </w:r>
    </w:p>
    <w:tbl>
      <w:tblPr>
        <w:tblW w:w="7236" w:type="dxa"/>
        <w:jc w:val="left"/>
        <w:tblInd w:w="0" w:type="dxa"/>
        <w:tblLayout w:type="fixed"/>
        <w:tblCellMar>
          <w:top w:w="28" w:type="dxa"/>
          <w:left w:w="28" w:type="dxa"/>
          <w:bottom w:w="28" w:type="dxa"/>
          <w:right w:w="28" w:type="dxa"/>
        </w:tblCellMar>
      </w:tblPr>
      <w:tblGrid>
        <w:gridCol w:w="1613"/>
        <w:gridCol w:w="1419"/>
        <w:gridCol w:w="1423"/>
        <w:gridCol w:w="109"/>
        <w:gridCol w:w="109"/>
        <w:gridCol w:w="109"/>
        <w:gridCol w:w="211"/>
        <w:gridCol w:w="721"/>
        <w:gridCol w:w="109"/>
        <w:gridCol w:w="109"/>
        <w:gridCol w:w="109"/>
        <w:gridCol w:w="109"/>
        <w:gridCol w:w="211"/>
        <w:gridCol w:w="72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Incumbent Broadband Markets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Glo Fiber Expansion Markets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1.Revenue from residential and small and medium business (“SMB”) customers in Incumbent Broadband Markets is primarily earned through the Company’s provision of data, video and voice services over primarily HFC cable and to a lesser extent FTTH networks in incumbent markets.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had $20.3 million and $19.5 million of gross trade receivables from customers as of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asset and contract liability balances and their respective locations in the unaudited condensed consolidated balance sheets:</w:t>
      </w:r>
    </w:p>
    <w:tbl>
      <w:tblPr>
        <w:tblW w:w="6138" w:type="dxa"/>
        <w:jc w:val="left"/>
        <w:tblInd w:w="0" w:type="dxa"/>
        <w:tblLayout w:type="fixed"/>
        <w:tblCellMar>
          <w:top w:w="28" w:type="dxa"/>
          <w:left w:w="28" w:type="dxa"/>
          <w:bottom w:w="28" w:type="dxa"/>
          <w:right w:w="28" w:type="dxa"/>
        </w:tblCellMar>
      </w:tblPr>
      <w:tblGrid>
        <w:gridCol w:w="1255"/>
        <w:gridCol w:w="1104"/>
        <w:gridCol w:w="1106"/>
        <w:gridCol w:w="211"/>
        <w:gridCol w:w="721"/>
        <w:gridCol w:w="109"/>
        <w:gridCol w:w="109"/>
        <w:gridCol w:w="109"/>
        <w:gridCol w:w="109"/>
        <w:gridCol w:w="253"/>
        <w:gridCol w:w="867"/>
        <w:gridCol w:w="185"/>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and customer deposits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 incurred $1.1 million and $0.9 million in amortization of capitalized commission expenses during the three months ended March 31, 2026 and 2025, respectively. This expense is recorded in selling, general and administrative expenses in the Company’s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include services that are billed in advance and recorded as deferred revenue, as well as installation fees that are charged upfront without transfer of commensurate goods or services to the customer. Shentel expects its current contract liability balances to be recognized as revenues during the twelve-month periods following the respective balance sheet dates. The majority of Shentel’s non-current contract liability balance is expected to be recognized as revenues within approximately 5 years. Revenues recognized related to contract liabilities existing at January 1, 2026 and 2025 were $10.7 million and $9.9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consisted of the following:</w:t>
      </w:r>
    </w:p>
    <w:tbl>
      <w:tblPr>
        <w:tblW w:w="5282" w:type="dxa"/>
        <w:jc w:val="left"/>
        <w:tblInd w:w="0" w:type="dxa"/>
        <w:tblLayout w:type="fixed"/>
        <w:tblCellMar>
          <w:top w:w="28" w:type="dxa"/>
          <w:left w:w="28" w:type="dxa"/>
          <w:bottom w:w="28" w:type="dxa"/>
          <w:right w:w="28" w:type="dxa"/>
        </w:tblCellMar>
      </w:tblPr>
      <w:tblGrid>
        <w:gridCol w:w="945"/>
        <w:gridCol w:w="831"/>
        <w:gridCol w:w="833"/>
        <w:gridCol w:w="211"/>
        <w:gridCol w:w="721"/>
        <w:gridCol w:w="109"/>
        <w:gridCol w:w="109"/>
        <w:gridCol w:w="109"/>
        <w:gridCol w:w="109"/>
        <w:gridCol w:w="253"/>
        <w:gridCol w:w="867"/>
        <w:gridCol w:w="18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 investments at fair value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SERP investments at fair value:</w:t>
      </w:r>
      <w:r>
        <w:rPr>
          <w:color w:val="000000"/>
        </w:rPr>
        <w:t xml:space="preserve"> </w:t>
      </w:r>
      <w:r>
        <w:rPr>
          <w:rFonts w:ascii="Times New Roman;serif" w:hAnsi="Times New Roman;serif"/>
          <w:b w:val="false"/>
          <w:color w:val="000000"/>
          <w:sz w:val="20"/>
        </w:rPr>
        <w:t>The fair value of the supplemental executive retirement plan (“SERP”) investments is based on unadjusted quoted prices in active markets and are classified as Level 1 of the fair value hierarchy.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Cost method investments</w:t>
      </w:r>
      <w:r>
        <w:rPr>
          <w:rFonts w:ascii="Times New Roman;serif" w:hAnsi="Times New Roman;serif"/>
          <w:b w:val="false"/>
          <w:color w:val="000000"/>
          <w:sz w:val="20"/>
        </w:rPr>
        <w:t>: Shentel’s primary cost method investment in CoBank’s Class A common stock, derived from the CoBank patronage program, represented substantially all of the Company’s cost method investments with a balance of $12.2 million and $12.6 million as of March 31, 2026 and December 31, 2025, respectively. As further described in Note 8, Debt, on December 5, 2025, Shentel completed a refinancing of the Company’s debt arrangements which resulted in the repayment of the outstanding long-term debt obligations under the Previous Credit Agreement. CoBank patronage income will no longer be earned beginning in 2026.</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w:t>
      </w:r>
    </w:p>
    <w:p>
      <w:pPr>
        <w:pStyle w:val="TextBody"/>
        <w:bidi w:val="0"/>
        <w:spacing w:lineRule="auto" w:line="288" w:before="0" w:after="0"/>
        <w:jc w:val="left"/>
        <w:rPr>
          <w:color w:val="000000"/>
        </w:rPr>
      </w:pPr>
      <w:r>
        <w:rPr>
          <w:color w:val="000000"/>
        </w:rPr>
        <w:t> </w:t>
      </w:r>
    </w:p>
    <w:tbl>
      <w:tblPr>
        <w:tblW w:w="9439" w:type="dxa"/>
        <w:jc w:val="left"/>
        <w:tblInd w:w="0" w:type="dxa"/>
        <w:tblLayout w:type="fixed"/>
        <w:tblCellMar>
          <w:top w:w="28" w:type="dxa"/>
          <w:left w:w="28" w:type="dxa"/>
          <w:bottom w:w="28" w:type="dxa"/>
          <w:right w:w="28" w:type="dxa"/>
        </w:tblCellMar>
      </w:tblPr>
      <w:tblGrid>
        <w:gridCol w:w="1488"/>
        <w:gridCol w:w="1308"/>
        <w:gridCol w:w="1313"/>
        <w:gridCol w:w="679"/>
        <w:gridCol w:w="679"/>
        <w:gridCol w:w="681"/>
        <w:gridCol w:w="109"/>
        <w:gridCol w:w="109"/>
        <w:gridCol w:w="109"/>
        <w:gridCol w:w="211"/>
        <w:gridCol w:w="976"/>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structures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and fiber</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12 - 30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plant in service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2,059,367 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under construction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1,601,609 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increased primarily due to capital expenditures to support the Company’s Glo Fiber market expansion. The Company’s accounts payable as of March 31, 2026 and December 31, 2025 included amounts associated with capital expenditures of approximately $48.4 million and $55.6 million, respectively. Depreciation and amortization expense was $31.7 million and $29.0 million during the three months ended March 31, 2026 and 2025, respectively. The Company wrote off $2.8 million plant under construction inventory assets during the three months ended March 31, 2026. The write-off primarily related to permitting and engineering costs for markets abandoned due to changing market returns. The amounts are presented in depreciation and amortization in the Company’s unaudited condensed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5. Goodwill and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 the following:</w:t>
      </w:r>
    </w:p>
    <w:tbl>
      <w:tblPr>
        <w:tblW w:w="10205" w:type="dxa"/>
        <w:jc w:val="left"/>
        <w:tblInd w:w="0" w:type="dxa"/>
        <w:tblLayout w:type="fixed"/>
        <w:tblCellMar>
          <w:top w:w="28" w:type="dxa"/>
          <w:left w:w="28" w:type="dxa"/>
          <w:bottom w:w="28" w:type="dxa"/>
          <w:right w:w="28" w:type="dxa"/>
        </w:tblCellMar>
      </w:tblPr>
      <w:tblGrid>
        <w:gridCol w:w="530"/>
        <w:gridCol w:w="466"/>
        <w:gridCol w:w="469"/>
        <w:gridCol w:w="211"/>
        <w:gridCol w:w="826"/>
        <w:gridCol w:w="109"/>
        <w:gridCol w:w="109"/>
        <w:gridCol w:w="109"/>
        <w:gridCol w:w="109"/>
        <w:gridCol w:w="267"/>
        <w:gridCol w:w="935"/>
        <w:gridCol w:w="140"/>
        <w:gridCol w:w="109"/>
        <w:gridCol w:w="109"/>
        <w:gridCol w:w="109"/>
        <w:gridCol w:w="211"/>
        <w:gridCol w:w="721"/>
        <w:gridCol w:w="109"/>
        <w:gridCol w:w="109"/>
        <w:gridCol w:w="109"/>
        <w:gridCol w:w="109"/>
        <w:gridCol w:w="211"/>
        <w:gridCol w:w="826"/>
        <w:gridCol w:w="109"/>
        <w:gridCol w:w="109"/>
        <w:gridCol w:w="109"/>
        <w:gridCol w:w="109"/>
        <w:gridCol w:w="267"/>
        <w:gridCol w:w="935"/>
        <w:gridCol w:w="140"/>
        <w:gridCol w:w="109"/>
        <w:gridCol w:w="109"/>
        <w:gridCol w:w="109"/>
        <w:gridCol w:w="211"/>
        <w:gridCol w:w="721"/>
        <w:gridCol w:w="156"/>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franchise rights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FCC Spectrum licenses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Railroad crossing rights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was $0.4 million and $0.5 million during the three months ended March 31, 2026 and 2025,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1, 2025, management concluded that the estimated fair value of the broadband reporting unit exceeded the carrying value by 8%. During the three months ended March 31, 2026, the Company performed goodwill impairment monitoring procedures and identified no indicators of impairment or triggering events. The Company will continue to monitor its reporting unit for any triggers that could impact recoverability of 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Other Assets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classified as current assets, included the following:</w:t>
      </w:r>
    </w:p>
    <w:tbl>
      <w:tblPr>
        <w:tblW w:w="5807" w:type="dxa"/>
        <w:jc w:val="left"/>
        <w:tblInd w:w="0" w:type="dxa"/>
        <w:tblLayout w:type="fixed"/>
        <w:tblCellMar>
          <w:top w:w="28" w:type="dxa"/>
          <w:left w:w="28" w:type="dxa"/>
          <w:bottom w:w="28" w:type="dxa"/>
          <w:right w:w="28" w:type="dxa"/>
        </w:tblCellMar>
      </w:tblPr>
      <w:tblGrid>
        <w:gridCol w:w="1134"/>
        <w:gridCol w:w="999"/>
        <w:gridCol w:w="1001"/>
        <w:gridCol w:w="211"/>
        <w:gridCol w:w="721"/>
        <w:gridCol w:w="109"/>
        <w:gridCol w:w="109"/>
        <w:gridCol w:w="109"/>
        <w:gridCol w:w="109"/>
        <w:gridCol w:w="253"/>
        <w:gridCol w:w="867"/>
        <w:gridCol w:w="185"/>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charges and other assets, classified as long-term assets, included the following:</w:t>
      </w:r>
    </w:p>
    <w:tbl>
      <w:tblPr>
        <w:tblW w:w="5808" w:type="dxa"/>
        <w:jc w:val="left"/>
        <w:tblInd w:w="0" w:type="dxa"/>
        <w:tblLayout w:type="fixed"/>
        <w:tblCellMar>
          <w:top w:w="28" w:type="dxa"/>
          <w:left w:w="28" w:type="dxa"/>
          <w:bottom w:w="28" w:type="dxa"/>
          <w:right w:w="28" w:type="dxa"/>
        </w:tblCellMar>
      </w:tblPr>
      <w:tblGrid>
        <w:gridCol w:w="1135"/>
        <w:gridCol w:w="999"/>
        <w:gridCol w:w="1001"/>
        <w:gridCol w:w="211"/>
        <w:gridCol w:w="721"/>
        <w:gridCol w:w="109"/>
        <w:gridCol w:w="109"/>
        <w:gridCol w:w="109"/>
        <w:gridCol w:w="109"/>
        <w:gridCol w:w="253"/>
        <w:gridCol w:w="867"/>
        <w:gridCol w:w="185"/>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18,652 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and other, classified as current liabilities, included the following:</w:t>
      </w:r>
    </w:p>
    <w:tbl>
      <w:tblPr>
        <w:tblW w:w="5102" w:type="dxa"/>
        <w:jc w:val="left"/>
        <w:tblInd w:w="0" w:type="dxa"/>
        <w:tblLayout w:type="fixed"/>
        <w:tblCellMar>
          <w:top w:w="28" w:type="dxa"/>
          <w:left w:w="28" w:type="dxa"/>
          <w:bottom w:w="28" w:type="dxa"/>
          <w:right w:w="28" w:type="dxa"/>
        </w:tblCellMar>
      </w:tblPr>
      <w:tblGrid>
        <w:gridCol w:w="879"/>
        <w:gridCol w:w="774"/>
        <w:gridCol w:w="776"/>
        <w:gridCol w:w="211"/>
        <w:gridCol w:w="721"/>
        <w:gridCol w:w="109"/>
        <w:gridCol w:w="109"/>
        <w:gridCol w:w="109"/>
        <w:gridCol w:w="109"/>
        <w:gridCol w:w="253"/>
        <w:gridCol w:w="867"/>
        <w:gridCol w:w="18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programming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liabilities, classified as long-term liabilities, included the following:</w:t>
      </w:r>
    </w:p>
    <w:tbl>
      <w:tblPr>
        <w:tblW w:w="5957" w:type="dxa"/>
        <w:jc w:val="left"/>
        <w:tblInd w:w="0" w:type="dxa"/>
        <w:tblLayout w:type="fixed"/>
        <w:tblCellMar>
          <w:top w:w="28" w:type="dxa"/>
          <w:left w:w="28" w:type="dxa"/>
          <w:bottom w:w="28" w:type="dxa"/>
          <w:right w:w="28" w:type="dxa"/>
        </w:tblCellMar>
      </w:tblPr>
      <w:tblGrid>
        <w:gridCol w:w="1189"/>
        <w:gridCol w:w="1046"/>
        <w:gridCol w:w="1049"/>
        <w:gridCol w:w="211"/>
        <w:gridCol w:w="721"/>
        <w:gridCol w:w="109"/>
        <w:gridCol w:w="109"/>
        <w:gridCol w:w="109"/>
        <w:gridCol w:w="109"/>
        <w:gridCol w:w="253"/>
        <w:gridCol w:w="867"/>
        <w:gridCol w:w="185"/>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deferred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Reduction in Force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February 23, 2026, the Company announced a reduction in force of approximately 10% of its employees to prepare and align the business with the wind-down of the Glo Fiber expansion phase that is expected to be substantially complete by end of 2026. During the three months ended March 31, 2026, Shentel recorded $2.1 million in expense primarily related to severance costs and retention bonuses, included in restructuring, integration and acquisition expense in the condensed consolidated statements of operations. No severance payments were made during this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various broadband network sites, fiber optic cable routes, warehouses, retail stores and office facilities for use in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p>
      <w:pPr>
        <w:pStyle w:val="TextBody"/>
        <w:bidi w:val="0"/>
        <w:spacing w:before="0" w:after="0"/>
        <w:jc w:val="both"/>
        <w:rPr/>
      </w:pPr>
      <w:r>
        <w:rPr/>
      </w:r>
    </w:p>
    <w:tbl>
      <w:tblPr>
        <w:tblW w:w="7625" w:type="dxa"/>
        <w:jc w:val="left"/>
        <w:tblInd w:w="0" w:type="dxa"/>
        <w:tblLayout w:type="fixed"/>
        <w:tblCellMar>
          <w:top w:w="28" w:type="dxa"/>
          <w:left w:w="28" w:type="dxa"/>
          <w:bottom w:w="28" w:type="dxa"/>
          <w:right w:w="28" w:type="dxa"/>
        </w:tblCellMar>
      </w:tblPr>
      <w:tblGrid>
        <w:gridCol w:w="895"/>
        <w:gridCol w:w="788"/>
        <w:gridCol w:w="791"/>
        <w:gridCol w:w="857"/>
        <w:gridCol w:w="857"/>
        <w:gridCol w:w="866"/>
        <w:gridCol w:w="109"/>
        <w:gridCol w:w="109"/>
        <w:gridCol w:w="109"/>
        <w:gridCol w:w="211"/>
        <w:gridCol w:w="616"/>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(1)Operating lease expense is presented in cost of services or selling, general and administrative expense based on the use of the relevant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maturity of lease liabilities as of March 31, 2026:</w:t>
      </w:r>
    </w:p>
    <w:tbl>
      <w:tblPr>
        <w:tblW w:w="7734" w:type="dxa"/>
        <w:jc w:val="left"/>
        <w:tblInd w:w="0" w:type="dxa"/>
        <w:tblLayout w:type="fixed"/>
        <w:tblCellMar>
          <w:top w:w="28" w:type="dxa"/>
          <w:left w:w="28" w:type="dxa"/>
          <w:bottom w:w="28" w:type="dxa"/>
          <w:right w:w="28" w:type="dxa"/>
        </w:tblCellMar>
      </w:tblPr>
      <w:tblGrid>
        <w:gridCol w:w="972"/>
        <w:gridCol w:w="855"/>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and finance leases was as follows:</w:t>
      </w:r>
    </w:p>
    <w:p>
      <w:pPr>
        <w:pStyle w:val="TextBody"/>
        <w:bidi w:val="0"/>
        <w:spacing w:before="0" w:after="0"/>
        <w:jc w:val="left"/>
        <w:rPr/>
      </w:pPr>
      <w:r>
        <w:rPr/>
      </w:r>
    </w:p>
    <w:tbl>
      <w:tblPr>
        <w:tblW w:w="6505" w:type="dxa"/>
        <w:jc w:val="left"/>
        <w:tblInd w:w="0" w:type="dxa"/>
        <w:tblLayout w:type="fixed"/>
        <w:tblCellMar>
          <w:top w:w="28" w:type="dxa"/>
          <w:left w:w="28" w:type="dxa"/>
          <w:bottom w:w="28" w:type="dxa"/>
          <w:right w:w="28" w:type="dxa"/>
        </w:tblCellMar>
      </w:tblPr>
      <w:tblGrid>
        <w:gridCol w:w="1410"/>
        <w:gridCol w:w="1243"/>
        <w:gridCol w:w="1246"/>
        <w:gridCol w:w="216"/>
        <w:gridCol w:w="216"/>
        <w:gridCol w:w="542"/>
        <w:gridCol w:w="109"/>
        <w:gridCol w:w="109"/>
        <w:gridCol w:w="109"/>
        <w:gridCol w:w="266"/>
        <w:gridCol w:w="266"/>
        <w:gridCol w:w="773"/>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1"/>
        <w:gridCol w:w="2408"/>
        <w:gridCol w:w="2414"/>
        <w:gridCol w:w="109"/>
        <w:gridCol w:w="109"/>
        <w:gridCol w:w="109"/>
        <w:gridCol w:w="211"/>
        <w:gridCol w:w="616"/>
        <w:gridCol w:w="109"/>
        <w:gridCol w:w="109"/>
        <w:gridCol w:w="109"/>
        <w:gridCol w:w="109"/>
        <w:gridCol w:w="211"/>
        <w:gridCol w:w="616"/>
        <w:gridCol w:w="155"/>
      </w:tblGrid>
      <w:tr>
        <w:trPr/>
        <w:tc>
          <w:tcPr>
            <w:tcW w:w="2811"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7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new lease liabilities (includes new leases or modification of existing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other operating lease arrangements which generate revenue from leasing the excess fiber capacity of its fiber network assets. Contract terms for these arrangements can range from 1 to 40 years and are billed monthly. Lease revenue from these arrangements was $1.7 million for both the three months ended March 31, 2026 and 2025. These amounts are presented in service revenue and other in the Company’s unaudited condensed consolidated statements of operations. Contractual minimum rental receipts expected under the lease agreements in place as of March 31, 2026 is as follows:</w:t>
      </w:r>
    </w:p>
    <w:tbl>
      <w:tblPr>
        <w:tblW w:w="4375"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317"/>
        <w:gridCol w:w="1086"/>
        <w:gridCol w:w="23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Shentel’s outstanding long-term debt obligations as of March 31, 2026 and December 31, 2025</w:t>
      </w:r>
      <w:r>
        <w:rPr>
          <w:color w:val="000000"/>
        </w:rPr>
        <w:t xml:space="preserve"> </w:t>
      </w:r>
      <w:r>
        <w:rPr>
          <w:rFonts w:ascii="Times New Roman;serif" w:hAnsi="Times New Roman;serif"/>
          <w:b w:val="false"/>
          <w:color w:val="000000"/>
          <w:sz w:val="20"/>
        </w:rPr>
        <w:t>are as follows:</w:t>
      </w:r>
    </w:p>
    <w:p>
      <w:pPr>
        <w:pStyle w:val="TextBody"/>
        <w:bidi w:val="0"/>
        <w:spacing w:before="0" w:after="0"/>
        <w:jc w:val="both"/>
        <w:rPr/>
      </w:pPr>
      <w:r>
        <w:rPr/>
      </w:r>
    </w:p>
    <w:tbl>
      <w:tblPr>
        <w:tblW w:w="8878" w:type="dxa"/>
        <w:jc w:val="left"/>
        <w:tblInd w:w="0" w:type="dxa"/>
        <w:tblLayout w:type="fixed"/>
        <w:tblCellMar>
          <w:top w:w="28" w:type="dxa"/>
          <w:left w:w="28" w:type="dxa"/>
          <w:bottom w:w="28" w:type="dxa"/>
          <w:right w:w="28" w:type="dxa"/>
        </w:tblCellMar>
      </w:tblPr>
      <w:tblGrid>
        <w:gridCol w:w="1635"/>
        <w:gridCol w:w="1438"/>
        <w:gridCol w:w="1442"/>
        <w:gridCol w:w="419"/>
        <w:gridCol w:w="419"/>
        <w:gridCol w:w="421"/>
        <w:gridCol w:w="109"/>
        <w:gridCol w:w="109"/>
        <w:gridCol w:w="109"/>
        <w:gridCol w:w="211"/>
        <w:gridCol w:w="826"/>
        <w:gridCol w:w="109"/>
        <w:gridCol w:w="109"/>
        <w:gridCol w:w="109"/>
        <w:gridCol w:w="109"/>
        <w:gridCol w:w="231"/>
        <w:gridCol w:w="905"/>
        <w:gridCol w:w="168"/>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A-2 Notes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489,142 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B Notes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Variable Funding Note ("VFN")</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Broadband Revolving Credit Facility ("RCF")</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642,405 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loan fees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loan fees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628,237 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VFN bears interest at one-month term SOFR plus a fixed margin. This interest rate was 5.41% at March 31, 2026.</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The RCF bears interest at one-month term SOFR plus a margin. The margin is variable and determined by the Company’s net leverage ratio. This interest rate was 6.16% at March 31, 2026 and 6.19% at December 31,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Broadband, an indirect wholly owned subsidiary of Shentel, had a credit agreement which contained (i) a $150 million revolving credit facility (the “Revolver”) and $525 million in delayed draw amortizing term loans (the “Term Loans” and collectively with Revolver, the “Previous Credit Agreement”). On December 5, 2025, Shentel completed a refinancing of the Previous Credit Agreement with an Asset Backed Securitization (“ABS”) financing, secured by most of our fiber businesses, which resulted in the issuance of the Class A-2 Notes, Class B notes, and the VFN (collectively, the “ABS Notes”) and the RCF loans and the repayment of the outstanding long-term debt obligation under the Previous Credit Agreement. The ABS Notes include $489.1 million and $78.3 million in borrowed Class A-2 Notes and Class B Notes, respectively. In connection with the same ABS Indenture, Shentel Issuer issued the VFN which has a borrowing capacity of $175.0 million, of which Shentel has borrowed $40.0 million in the quarter ended March 31, 2026. As of March 31, 2026, the available capacity of the VFN was $17.8 million. The available capacity of the VFN will increase based on the secured fiber network revenue growth from Shentel Asset Entity I LLC and Shentel Asset Entity II LLC (each a bankruptcy-remote subsidiary of the Company), multiplied by (i) a margin as defined in the agreements governing the VFN (the “ABS Indenture”) and (ii) 6.25x multiple. Also, in connection with the same ABS Indenture, Shentel Issuer issued the Liquidity Funding Note (“LFN”) which has an undrawn borrowing commitment of $25.0 million. Shentel Issuer may draw on the LFN solely for the purpose of funding amounts due and payable for certain Priority of Payments as defined in the ABS Indenture and when restricted cash funds required by ABS Indenture are insufficient. The RCF, as amended March 20, 2026, has a borrowing capacity of $175.0 million, of which Shentel has borrowed $100.0 million as of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long-term debt under the Previous Credit Agreements, which had floating interest rates, approximated their fair values. Similarly, the carrying amount of the Company’s RCF, which has a floating interest rate, approximates its fair value. The estimated fair values of Shentel’s Class A-2 Notes and Class B Notes were based on Level 2 inputs that use interest rates available to us for debt with similar terms and remaining maturities. The fair values of Shentel’s the Class A-2 Notes and Class B Notes were as follows:</w:t>
      </w:r>
    </w:p>
    <w:tbl>
      <w:tblPr>
        <w:tblW w:w="5357" w:type="dxa"/>
        <w:jc w:val="left"/>
        <w:tblInd w:w="0" w:type="dxa"/>
        <w:tblLayout w:type="fixed"/>
        <w:tblCellMar>
          <w:top w:w="28" w:type="dxa"/>
          <w:left w:w="28" w:type="dxa"/>
          <w:bottom w:w="28" w:type="dxa"/>
          <w:right w:w="28" w:type="dxa"/>
        </w:tblCellMar>
      </w:tblPr>
      <w:tblGrid>
        <w:gridCol w:w="934"/>
        <w:gridCol w:w="822"/>
        <w:gridCol w:w="824"/>
        <w:gridCol w:w="211"/>
        <w:gridCol w:w="826"/>
        <w:gridCol w:w="109"/>
        <w:gridCol w:w="109"/>
        <w:gridCol w:w="109"/>
        <w:gridCol w:w="109"/>
        <w:gridCol w:w="231"/>
        <w:gridCol w:w="905"/>
        <w:gridCol w:w="168"/>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A-2 Notes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494,278 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B Notes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Commitment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charged commitment fees on unutilized portions of its debt. The Company recorded $0.3 million and $0.2 million related to these fees for the three months ended March 31, 2026 and 2025, respectively, which are included in interest expense in the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pays interest on a monthly basis. Interest expense recorded in Shentel’s unaudited condensed consolidated statements of operations consisted of the following:</w:t>
      </w:r>
    </w:p>
    <w:tbl>
      <w:tblPr>
        <w:tblW w:w="6246" w:type="dxa"/>
        <w:jc w:val="left"/>
        <w:tblInd w:w="0" w:type="dxa"/>
        <w:tblLayout w:type="fixed"/>
        <w:tblCellMar>
          <w:top w:w="28" w:type="dxa"/>
          <w:left w:w="28" w:type="dxa"/>
          <w:bottom w:w="28" w:type="dxa"/>
          <w:right w:w="28" w:type="dxa"/>
        </w:tblCellMar>
      </w:tblPr>
      <w:tblGrid>
        <w:gridCol w:w="1293"/>
        <w:gridCol w:w="1137"/>
        <w:gridCol w:w="1140"/>
        <w:gridCol w:w="109"/>
        <w:gridCol w:w="109"/>
        <w:gridCol w:w="109"/>
        <w:gridCol w:w="211"/>
        <w:gridCol w:w="721"/>
        <w:gridCol w:w="109"/>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Maturity Dates and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Broadband’s debt includes various covenants, including total net leverage ratio and debt service coverage ratio financial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ABS Notes have a contractually stated anticipated repayment date (“ARD”) of December 2030 with the exception of the VFN described below. The legal final maturity date of each class of the ABS Notes is in December 2055. If Shentel has not repaid or refinanced any of the ABS Notes prior to the relevant ARD, the ABS Indenture requires mandatory prepayment of Note principle on each payment date on a pro-rata basis based on the alphanumerical designation of each class of Notes and additional interest (2.0% per annum on Class A-2 Notes, 2.4% per annum on Class B Notes, and 5.0% per annum on VFN) will be charged until the Notes are refinanced or fully redeemed. Amortization on Shentel Issuer’s ABS Notes could be required prior to ARD if Shentel Issuer’s debt service coverage ratio is below certain thresholds in the ABS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Issuer has not made any borrowings under its LFN as of March 31, 2026. Amounts borrowed under the LFN do not have an anticipated repayment date and have a final maturity date of December 2055.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Issuer’s VFN matures on December 5, 2029 which may be extended, at the option of Shentel, to December 5, 2030, subject to the satisfaction of certain conditions. No principal payments on Shentel’s VFN are required prior to the final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Broadband’s RCF matures on December 5, 2030. No principal payments on Shentel Broadband’s RCF are required prior to the final maturity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 has executed letter of credit arrangements totaling $7.2 million that reduce the available balance of the RCF. The letter of credit arrangements were executed primarily pursuant to the requirements of the National Telecommunications and Information government grant program, discussed further in Note 12,</w:t>
      </w:r>
      <w:r>
        <w:rPr>
          <w:color w:val="000000"/>
        </w:rPr>
        <w:t xml:space="preserve"> </w:t>
      </w:r>
      <w:r>
        <w:rPr>
          <w:rFonts w:ascii="Times New Roman;serif" w:hAnsi="Times New Roman;serif"/>
          <w:b w:val="false"/>
          <w:i/>
          <w:color w:val="000000"/>
          <w:sz w:val="20"/>
        </w:rPr>
        <w:t>Government Grants</w:t>
      </w:r>
      <w:r>
        <w:rPr>
          <w:rFonts w:ascii="Times New Roman;serif" w:hAnsi="Times New Roman;serif"/>
          <w:b w:val="false"/>
          <w:color w:val="000000"/>
          <w:sz w:val="20"/>
        </w:rPr>
        <w:t>. These amounts are not considered borrowed, as no cash has been disbursed to Shentel or other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 Notes and the VFN are guaranteed by Shentel Asset Entity I LLC, Shentel Asset Entity II LLC and the ABS Issuer’s parent, Shentel Guarantor LLC (each, a “Notes Guarantor” and together with Shentel Issuer LLC, the “ABS Entities”), and such guarantees and the ABS Notes are secured by security interests in the equity interests the ABS Issuer and substantially all of the assets of the ABS Issuer and the other ABS Entities. The ABS Entities are not in any way liable for the obligations of Shentel Broadband or its non-ABS Entities. Likewise, Shentel and its non-ABS Entities have no recourse to the loans of the 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RCF is fully secured by a pledge and unconditional guarantee from substantially all of Shentel Broadband’s subsidiaries, excluding the ABS Entities. This provides the lenders a security interest in substantially all of the assets of the Company, excluding assets held by the 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Under the ASC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(“ASC 810”), the ABS Entities are considered, as a whole, a variable interest entity (“VIE”) and are consolidated in Shentel’s consolidated financial statements because the Company is the primary beneficiary with both the power to direct the activities of the entity that most significantly impact the entity’s performance and the obligation to absorb losses or the right to receive benefits of the entity. Therefore, the assets and liabilities owned by the ABS Entities and related to Shentel’s VIE arrangements are used to service the obligations under Shentel's ABS Notes and may not be freely transferred to the Non-ABS Entities. Additionally, certain cash and cash equivalent amounts may be restricted from general use by Shentel based on covenants related to the ABS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related to Shentel’s VIE arrangements included in the Company’s unaudited condensed consolidated balance sheets were as follows:</w:t>
      </w:r>
    </w:p>
    <w:p>
      <w:pPr>
        <w:pStyle w:val="TextBody"/>
        <w:bidi w:val="0"/>
        <w:spacing w:before="0" w:after="0"/>
        <w:jc w:val="both"/>
        <w:rPr/>
      </w:pPr>
      <w:r>
        <w:rPr/>
      </w:r>
    </w:p>
    <w:tbl>
      <w:tblPr>
        <w:tblW w:w="7934" w:type="dxa"/>
        <w:jc w:val="left"/>
        <w:tblInd w:w="0" w:type="dxa"/>
        <w:tblLayout w:type="fixed"/>
        <w:tblCellMar>
          <w:top w:w="28" w:type="dxa"/>
          <w:left w:w="28" w:type="dxa"/>
          <w:bottom w:w="28" w:type="dxa"/>
          <w:right w:w="28" w:type="dxa"/>
        </w:tblCellMar>
      </w:tblPr>
      <w:tblGrid>
        <w:gridCol w:w="1787"/>
        <w:gridCol w:w="1572"/>
        <w:gridCol w:w="1575"/>
        <w:gridCol w:w="109"/>
        <w:gridCol w:w="109"/>
        <w:gridCol w:w="109"/>
        <w:gridCol w:w="196"/>
        <w:gridCol w:w="736"/>
        <w:gridCol w:w="109"/>
        <w:gridCol w:w="109"/>
        <w:gridCol w:w="109"/>
        <w:gridCol w:w="109"/>
        <w:gridCol w:w="235"/>
        <w:gridCol w:w="885"/>
        <w:gridCol w:w="185"/>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608,324 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9. Income Taxes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files U.S. federal income tax returns and various state income tax returns. The Company is currently involved in one state income tax audit and no federal income tax audits as of March 31, 2026. The Company’s income tax returns are generally open to examination from 2022 forward. The net operating losses acquired from Horizon are open to examination from 2013 forward.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March 31, 2026 and 2025, differ from the statutory U.S. federal income tax rate of 21% primarily due to the state income taxes, excess tax benefits and other discrete items.</w:t>
      </w:r>
    </w:p>
    <w:tbl>
      <w:tblPr>
        <w:tblW w:w="9051" w:type="dxa"/>
        <w:jc w:val="left"/>
        <w:tblInd w:w="0" w:type="dxa"/>
        <w:tblLayout w:type="fixed"/>
        <w:tblCellMar>
          <w:top w:w="28" w:type="dxa"/>
          <w:left w:w="28" w:type="dxa"/>
          <w:bottom w:w="28" w:type="dxa"/>
          <w:right w:w="28" w:type="dxa"/>
        </w:tblCellMar>
      </w:tblPr>
      <w:tblGrid>
        <w:gridCol w:w="2292"/>
        <w:gridCol w:w="2016"/>
        <w:gridCol w:w="2022"/>
        <w:gridCol w:w="109"/>
        <w:gridCol w:w="109"/>
        <w:gridCol w:w="109"/>
        <w:gridCol w:w="211"/>
        <w:gridCol w:w="691"/>
        <w:gridCol w:w="109"/>
        <w:gridCol w:w="109"/>
        <w:gridCol w:w="109"/>
        <w:gridCol w:w="109"/>
        <w:gridCol w:w="211"/>
        <w:gridCol w:w="691"/>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benefit at federal statutory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benefit, net of federal 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deficiency from share-based compensation and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made no payments and received no refunds for income taxes during the three months ended March 31, 2026. The Company made no cash payments for income taxes owed during the three months ended March 31, 2025. The Company received $0.2 million in refunds for income taxes for the three months ended March 31,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Redeemable Noncontrolling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2023, Shentel Broadband Holding Inc. (“Shentel Broadband”), a wholly-owned subsidiary of Shentel, entered into an investment agreement (the “Investment Agreement”) with ECP Fiber Holdings, LP, a Delaware limited partnership (“ECP Investor”), and, solely for the limited purposes set forth therein, Hill City Holdings, LP, a Delaware limited partnership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affiliated with ECP Investor. Subject to the terms and conditions set forth in the Investment Agreement, on April 1, 2024, Shentel Broadband issued to ECP Investor 81,000 shares of Shentel Broadband’s 7% Series A Participating Exchangeable Perpetual Preferred Stock, par value $0.01 per share (the “Series A Preferred Stock”), at a purchase price of $1,000 per share in exchange for $81 million in cash. As of March 31, 2026, 100,000 shares of the Series A Preferred Stock were authorized for issuance and 81,000 shares of the Series A Preferred Stock were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is exchangeable at the option of the Investor in certain circumstances for shares of Common Stock at an exchange price of $24.50 per share, which may be adjusted pursuant to the terms of the Investment Agreement. As of March 31, 2026, the Series A Preferred Stock was exchangeable for 3,743,003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accrue at 7% per annum compounded and payable quarterly in arrears, and, at Shentel’s option, may be paid in cash or in kind (such dividends paid in kind, “PIK Dividends”). The Company has historically elected to issue PIK Dividends which increase the liquidation preference of the Series A Preferred Stock. As of March 31, 2026, the Series A Preferred Stock had a liquidation preference of $91.7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Stock Compensation and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equity compensation, which includes the Company’s restricted stock units (“RSUs”) and performance stock units (“PSUs”),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2025</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March 31, 2026</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was $5.5 million during the three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Relative Total Shareholder Return RSUs (“RTSRs”)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2025</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March 31, 2026</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as follows:</w:t>
      </w:r>
    </w:p>
    <w:p>
      <w:pPr>
        <w:pStyle w:val="TextBody"/>
        <w:bidi w:val="0"/>
        <w:spacing w:before="0" w:after="0"/>
        <w:jc w:val="both"/>
        <w:rPr/>
      </w:pPr>
      <w:r>
        <w:rPr/>
      </w:r>
    </w:p>
    <w:tbl>
      <w:tblPr>
        <w:tblW w:w="5390" w:type="dxa"/>
        <w:jc w:val="left"/>
        <w:tblInd w:w="0" w:type="dxa"/>
        <w:tblLayout w:type="fixed"/>
        <w:tblCellMar>
          <w:top w:w="28" w:type="dxa"/>
          <w:left w:w="28" w:type="dxa"/>
          <w:bottom w:w="28" w:type="dxa"/>
          <w:right w:w="28" w:type="dxa"/>
        </w:tblCellMar>
      </w:tblPr>
      <w:tblGrid>
        <w:gridCol w:w="1021"/>
        <w:gridCol w:w="897"/>
        <w:gridCol w:w="901"/>
        <w:gridCol w:w="109"/>
        <w:gridCol w:w="109"/>
        <w:gridCol w:w="109"/>
        <w:gridCol w:w="211"/>
        <w:gridCol w:w="616"/>
        <w:gridCol w:w="109"/>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$12.0 million of total unrecognized compensation cost related to non-vested RSUs and RTSRs which is expected to be recognized over weighted average period of 2.7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computation of basic and diluted earnings (loss) per share:</w:t>
      </w:r>
    </w:p>
    <w:p>
      <w:pPr>
        <w:pStyle w:val="TextBody"/>
        <w:bidi w:val="0"/>
        <w:spacing w:before="0" w:after="0"/>
        <w:jc w:val="both"/>
        <w:rPr/>
      </w:pPr>
      <w:r>
        <w:rPr/>
      </w:r>
    </w:p>
    <w:tbl>
      <w:tblPr>
        <w:tblW w:w="7521" w:type="dxa"/>
        <w:jc w:val="left"/>
        <w:tblInd w:w="0" w:type="dxa"/>
        <w:tblLayout w:type="fixed"/>
        <w:tblCellMar>
          <w:top w:w="28" w:type="dxa"/>
          <w:left w:w="28" w:type="dxa"/>
          <w:bottom w:w="28" w:type="dxa"/>
          <w:right w:w="28" w:type="dxa"/>
        </w:tblCellMar>
      </w:tblPr>
      <w:tblGrid>
        <w:gridCol w:w="1660"/>
        <w:gridCol w:w="1460"/>
        <w:gridCol w:w="1470"/>
        <w:gridCol w:w="109"/>
        <w:gridCol w:w="109"/>
        <w:gridCol w:w="109"/>
        <w:gridCol w:w="211"/>
        <w:gridCol w:w="796"/>
        <w:gridCol w:w="109"/>
        <w:gridCol w:w="109"/>
        <w:gridCol w:w="109"/>
        <w:gridCol w:w="109"/>
        <w:gridCol w:w="211"/>
        <w:gridCol w:w="796"/>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of net loss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share amounts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the two-class method when computing net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dilutive impact of the Series A Preferred Stock (on an as-converted basis) and the equity awards by applying the if-converted method and the treasury stock method, respectively. The following table presents potentially dilutive instruments:</w:t>
      </w:r>
    </w:p>
    <w:p>
      <w:pPr>
        <w:pStyle w:val="TextBody"/>
        <w:bidi w:val="0"/>
        <w:spacing w:before="0" w:after="0"/>
        <w:jc w:val="both"/>
        <w:rPr/>
      </w:pPr>
      <w:r>
        <w:rPr/>
      </w:r>
    </w:p>
    <w:tbl>
      <w:tblPr>
        <w:tblW w:w="8002" w:type="dxa"/>
        <w:jc w:val="left"/>
        <w:tblInd w:w="0" w:type="dxa"/>
        <w:tblLayout w:type="fixed"/>
        <w:tblCellMar>
          <w:top w:w="28" w:type="dxa"/>
          <w:left w:w="28" w:type="dxa"/>
          <w:bottom w:w="28" w:type="dxa"/>
          <w:right w:w="28" w:type="dxa"/>
        </w:tblCellMar>
      </w:tblPr>
      <w:tblGrid>
        <w:gridCol w:w="1933"/>
        <w:gridCol w:w="1701"/>
        <w:gridCol w:w="1705"/>
        <w:gridCol w:w="109"/>
        <w:gridCol w:w="109"/>
        <w:gridCol w:w="109"/>
        <w:gridCol w:w="308"/>
        <w:gridCol w:w="308"/>
        <w:gridCol w:w="204"/>
        <w:gridCol w:w="204"/>
        <w:gridCol w:w="204"/>
        <w:gridCol w:w="204"/>
        <w:gridCol w:w="308"/>
        <w:gridCol w:w="308"/>
        <w:gridCol w:w="288"/>
      </w:tblGrid>
      <w:tr>
        <w:trPr/>
        <w:tc>
          <w:tcPr>
            <w:tcW w:w="19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related to the 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instruments were excluded from the calculation of diluted weighted average shares outstanding due to the fact that they were anti-dilutive as a result of the Company’s income loss for the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Government Grants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awarded $152.4 million in grants to build broadband services to unserved residencies in Virginia, Maryland, West Virginia and Ohio and upgrade the middle mile network in Ohio. The Company has substantially completed its grant obligations in Virginia and expects to complete the remaining obligations in 2026. During the three months ended March 31, 2026, the Company was awarded additional grants of $1.1 million to build broadband services to additional unserved residences in Ohio.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purpose of the grant programs described above was to subsidize the expansion of the Company’s broadband network; therefore, most amounts recognized under these programs have been recorded as a reduction to the related property, plant and equipment and cash receipts are presented as cash flows from investing activities in the Company’s unaudited condensed consolidated statements of cash flows. One government grant allows reimbursements for direct capital expenditures and indirect operating expenses. The portion of government grant reimbursements related to indirect expenses are recorded as reductions of the related cost of service expense or selling, general and administrative expense in the Company’s unaudited condensed consolidated statements of operations and are presented as cash flows from operating activities in the Company’s unaudited condensed consolidated statements of cash flows.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grant receivables at the time it becomes probable that the Company will be eligible to receive the grant, which is estimated to correspond with the date when specified build-out milestones are achieved. As a result of these programs, the Company received $12.9 million and $6.9 million in cash receipts during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and 2025, respectively, and had approximately $5.1 million and $10.5 million in accounts receivable as of March 31, 2026 and December 31,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are committed to make payments to satisfy our lease liabilities. The scheduled payments under those obligations are summarized in Note 7, </w:t>
      </w:r>
      <w:r>
        <w:rPr>
          <w:rFonts w:ascii="Times New Roman;serif" w:hAnsi="Times New Roman;serif"/>
          <w:b w:val="false"/>
          <w:i/>
          <w:color w:val="000000"/>
          <w:sz w:val="20"/>
        </w:rPr>
        <w:t>Leases</w:t>
      </w:r>
      <w:r>
        <w:rPr>
          <w:rFonts w:ascii="Times New Roman;serif" w:hAnsi="Times New Roman;serif"/>
          <w:b w:val="false"/>
          <w:color w:val="000000"/>
          <w:sz w:val="20"/>
        </w:rPr>
        <w:t>. We also have outstanding unconditional purchase commitments to procure marketing services and IT software licenses through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operates as one segment. The accounting policies of the Company’s segment are the same as those described in the summary of significant accounting policies as described in </w:t>
      </w:r>
      <w:r>
        <w:rPr>
          <w:rFonts w:ascii="Times New Roman;serif" w:hAnsi="Times New Roman;serif"/>
          <w:b w:val="false"/>
          <w:color w:val="212529"/>
          <w:sz w:val="20"/>
        </w:rPr>
        <w:t xml:space="preserve">our Annual Report on Form 10-K for the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assesses company performance at a consolidated level and decides how to allocate resources based on Earnings before Interest, Taxes, Depreciation and Amortization, as adjusted for certain non-recurring items, (“Adjusted EBITDA”) from operations of the Broadband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 uses (loss) income from operations and Adjusted EBITDA to evaluate income generated from segment assets (return on assets) in deciding whether to reinvest profits into the operations of the Company or for other purposes, such as for acquisitions or to pay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The Company defines Adjusted EBITDA as income or loss from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 loss from operations, Adjusted EBITDA and significant expenses:</w:t>
      </w:r>
    </w:p>
    <w:tbl>
      <w:tblPr>
        <w:tblW w:w="9036" w:type="dxa"/>
        <w:jc w:val="left"/>
        <w:tblInd w:w="0" w:type="dxa"/>
        <w:tblLayout w:type="fixed"/>
        <w:tblCellMar>
          <w:top w:w="28" w:type="dxa"/>
          <w:left w:w="28" w:type="dxa"/>
          <w:bottom w:w="28" w:type="dxa"/>
          <w:right w:w="28" w:type="dxa"/>
        </w:tblCellMar>
      </w:tblPr>
      <w:tblGrid>
        <w:gridCol w:w="2239"/>
        <w:gridCol w:w="1967"/>
        <w:gridCol w:w="1974"/>
        <w:gridCol w:w="109"/>
        <w:gridCol w:w="109"/>
        <w:gridCol w:w="109"/>
        <w:gridCol w:w="211"/>
        <w:gridCol w:w="796"/>
        <w:gridCol w:w="109"/>
        <w:gridCol w:w="109"/>
        <w:gridCol w:w="109"/>
        <w:gridCol w:w="109"/>
        <w:gridCol w:w="211"/>
        <w:gridCol w:w="721"/>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 and other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exclusive of 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 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primarily includes patronage income, interest income, and benefit plan gains.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in the Company</w:t>
      </w:r>
      <w:r>
        <w:rPr>
          <w:color w:val="000000"/>
        </w:rPr>
        <w:t>’</w:t>
      </w:r>
      <w:r>
        <w:rPr>
          <w:rFonts w:ascii="Times New Roman;serif" w:hAnsi="Times New Roman;serif"/>
          <w:b w:val="false"/>
          <w:i/>
          <w:color w:val="000000"/>
          <w:sz w:val="20"/>
        </w:rPr>
        <w:t>s Annual Report on Form 10-K for its fiscal year ended December 31, 2025 (“2025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should be read in conjunction with the Company’s 2025 Form 10-K, including the consolidated financial statements and related notes included therein.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Shenandoah Telecommunications Company (“Shentel”, “we”, “our”, “us”, or the “Company”) is a provider of a comprehensive range of broadband communication services in eight contiguous states in the eastern United States.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Three Months Ended March 31, 2026 Compared with the Three Months Ended March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unaudited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057"/>
        <w:gridCol w:w="715"/>
        <w:gridCol w:w="718"/>
        <w:gridCol w:w="109"/>
        <w:gridCol w:w="109"/>
        <w:gridCol w:w="109"/>
        <w:gridCol w:w="211"/>
        <w:gridCol w:w="758"/>
        <w:gridCol w:w="109"/>
        <w:gridCol w:w="342"/>
        <w:gridCol w:w="277"/>
        <w:gridCol w:w="551"/>
        <w:gridCol w:w="109"/>
        <w:gridCol w:w="109"/>
        <w:gridCol w:w="109"/>
        <w:gridCol w:w="211"/>
        <w:gridCol w:w="758"/>
        <w:gridCol w:w="109"/>
        <w:gridCol w:w="342"/>
        <w:gridCol w:w="277"/>
        <w:gridCol w:w="551"/>
        <w:gridCol w:w="109"/>
        <w:gridCol w:w="109"/>
        <w:gridCol w:w="109"/>
        <w:gridCol w:w="211"/>
        <w:gridCol w:w="653"/>
        <w:gridCol w:w="109"/>
        <w:gridCol w:w="109"/>
        <w:gridCol w:w="109"/>
        <w:gridCol w:w="109"/>
        <w:gridCol w:w="305"/>
        <w:gridCol w:w="311"/>
        <w:gridCol w:w="322"/>
      </w:tblGrid>
      <w:tr>
        <w:trPr/>
        <w:tc>
          <w:tcPr>
            <w:tcW w:w="105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residential and small and medium business (“SMB”) customers in Incumbent Broadband Markets is primarily earned through the Company’s provision of data, video and voice services over primarily HFC cable and to a lesser extent FTTH networks in incumbent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$2.2 million, or 5.1%. The decrease was primarily due to a 14.6% decline in video RGUs and a 1.6% decline in data ARPU driven by the Company’s new rate card in a portion of its passings with another broadband provider.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by $6.4 million, or 34.6%. The increase was primarily due to a 33.7% increase in data RGUs driven by the Company’s increase in penetration rates and increase in passings.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Commercial Fiber revenue is primarily earned through the Company’s provision of high-speed Ethernet, dedicated internet access, wavelength services, dark fiber leasing and managed services over fiber optic networks to commercial customers.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Fiber revenue increased by $0.9 million, or 4.7%. The increase was primarily due to increases in recurring revenue from additional circuit services sold to existing customers.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RLEC &amp; Other revenue is primarily earned through the Company’s provision of voice and DSL telephone services over copper networks, primarily in Shenandoah County, Virginia and Ross County, Ohio. Shentel also earns governmental support revenue through the federal USF.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decreased by $0.8 million, or 13.0%. The decrease was primarily due to a 28.0% decrease in DSL RGUs and $0.3 million decrease in government support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primarily consist of costs to acquire and deliver video programming, internal labor to maintain our network and service our customers, third party network maintenance, and line expenses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decreased by $1.2 million, or 3.7%. The decrease was primarily due to government grant reimbursements of certain indirect operating costs and a decrease in video programming costs driven by declining video RGUs.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employee compensation, advertising, software maintenance, stock-based compensation, and operating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increased by $2.4 million, or 7.7%. The increase was primarily due to an increase in advertising costs and payroll costs driven by expansion of the Glo Fiber homes passed and higher stock compensation.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increased by $1.9 million, or 378.4% and primarily relates to accrued severance costs associated with the previously announced reduction in force.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$5.5 million, or 18.7%. The increase was primarily due to the Company’s expansion of its Glo Fiber network and a $2.8 million write-off of project costs under construction for markets that construction was cancelled due to higher costs to build.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$4.5 million, or 92.9%. The increase was primarily due to an increase in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$0.7 million, or 93.9%. The decrease was primarily due to lower patronage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$3.0 million, or 267.1%. The increase was primarily due to higher pre-tax loss.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Dedicated Internet Access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19,400 route miles of fiber.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indicates selected operating statistics. </w:t>
      </w:r>
    </w:p>
    <w:tbl>
      <w:tblPr>
        <w:tblW w:w="7452" w:type="dxa"/>
        <w:jc w:val="left"/>
        <w:tblInd w:w="0" w:type="dxa"/>
        <w:tblLayout w:type="fixed"/>
        <w:tblCellMar>
          <w:top w:w="28" w:type="dxa"/>
          <w:left w:w="28" w:type="dxa"/>
          <w:bottom w:w="28" w:type="dxa"/>
          <w:right w:w="28" w:type="dxa"/>
        </w:tblCellMar>
      </w:tblPr>
      <w:tblGrid>
        <w:gridCol w:w="1541"/>
        <w:gridCol w:w="1357"/>
        <w:gridCol w:w="1361"/>
        <w:gridCol w:w="109"/>
        <w:gridCol w:w="109"/>
        <w:gridCol w:w="109"/>
        <w:gridCol w:w="220"/>
        <w:gridCol w:w="756"/>
        <w:gridCol w:w="271"/>
        <w:gridCol w:w="109"/>
        <w:gridCol w:w="109"/>
        <w:gridCol w:w="109"/>
        <w:gridCol w:w="220"/>
        <w:gridCol w:w="75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and businesses passed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252,654 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240,788 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449,147 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362,861 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homes and businesses passed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701,801 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603,649 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RGUs: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111,357 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111,860 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93,922 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70,565 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205,279 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182,425 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Residential &amp; SMB RGUs (excludes RLEC)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266,986 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246,857 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Penetration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ARPU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77.42 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Fiber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fiber miles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2,021,546 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1,893,402 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(2)Penetration is calculated by dividing the number of users by the number of passings or available homes, as appropriate.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(3)ARPU calculation = (Residential &amp; SMB Revenue) / average RGUs / 3 months.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fiber miles are measured by taking the number of fiber strands in a cable and multiplying that number by the route distance. For example, a 10 mile route with 144 fiber strands would equal 1,440 fiber miles.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Condition, Liquidity and Capital Resources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Sources and Uses of Cash: </w:t>
      </w:r>
      <w:r>
        <w:rPr>
          <w:rFonts w:ascii="Times New Roman;serif" w:hAnsi="Times New Roman;serif"/>
          <w:b w:val="false"/>
          <w:color w:val="000000"/>
          <w:sz w:val="20"/>
        </w:rPr>
        <w:t>Shentel’s principal sources of liquidity are our cash and cash equivalents, restricted cash, cash generated from operations, government grants and borrowing capacity available under the Company’s VFN and RCF.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the American Rescue Plan Act and the Infrastructure Investment and Jobs Act to subsidize the deployment of high-speed broadband internet access in unserved areas. We have been awarded approximately $152.3 million in grants to serve approximately 27,900 unserved homes in the states of Virginia, Ohio, Maryland and West Virginia and to upgrade the capacity of the Ohio middle mile network. The grants will be paid to the Company as certain milestones are completed. As of March 31, 2026, the Company had received a total of $114.5 million in cash receipts and had $37.8 million in remaining reimbursements available under these grant programs. The Company expects to fulfill the majority of its obligations under these programs by the end of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total available liquidity was $194.5 million, consisting of (i) unrestricted cash and cash equivalents totaling $43.8 million; (ii) restricted cash as required by the ABS indenture totaling $27.3 million (iii) $67.8 million of availability under Shentel Broadband’s RCF; (iv) $17.8 million under Shentel Issuer’s VFN; and (v) an aggregate of $37.8 million remaining reimbursements available under government grants, which reimbursements are subject to fulfilling the terms of the underlying agreements. In addition, the Company has $117.2 million of VFN commitments that are not available to draw as of March 31, 2026. The available capacity of the VFN will increase based on the secured fiber network revenue growth from the ABS Entities multiplied by (i) a margin as defined in the ABS Indenture and (ii) 6.25x multiple.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operations was approximately $24.4 million during the three months ended March 31, 2026, representing an increase of $3.8 million compared with the prior year period, primarily driven by increases in revenue and timing of changes in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from operations was approximately $64.1 million during the three months ended March 31, 2026, representing a decrease of $12.2 million compared with the prior year period, primarily driven by a $7.4 million decrease in capital expenditures as Shentel approaches the completion of its major Glo Fiber market expansion project and a $4.6 million increase in cash receipts from government grant programs.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from operations was approximately $62.6 million during the three months ended March 31, 2026, representing a decrease of $34.4 million compared with the prior year period, primarily driven by a decrease in borrowings under various debt facilities.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Indebtedness</w:t>
      </w:r>
      <w:r>
        <w:rPr>
          <w:rFonts w:ascii="Times New Roman;serif" w:hAnsi="Times New Roman;serif"/>
          <w:b w:val="false"/>
          <w:color w:val="000000"/>
          <w:sz w:val="20"/>
        </w:rPr>
        <w:t>: As of March 31, 2026, the Company’s net indebtedness was approximately $693.9 million, including $707.4 million in outstanding ABS Notes, the VFN, and the RCF, net of unamortized loan fees of $13.5 million. The borrowed Class A-2 Notes and the Class B Notes incur interest at 5.64% and 6.03%, respectively. The borrowed VFN and RCF bear interest at a variable rate determined by one-month term SOFR, plus a margin based on net leverage. The weighted-average interest rate was 5.74% for the ABS Notes, VFN, and RCF at March 31,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ABS Notes, which include Class A-2 Notes and Class B Notes, have outstanding balances of $489.1 million and $78.3 million, respectively. Shentel Issuer’s VFN has an outstanding balance of $40.0 million. Shentel’s RCF has an outstanding balance of $100.0 million. The ABS Notes have a contractually stated anticipated repayment date (“ARD”) of December 2030 with the exception of the VFN. The initial anticipated repayment date for the VFN is December 2029 which may be extended, at the option of Shentel, to December 2030, subject to the satisfaction of certain conditions. Shentel has not made any borrowings under its LFN as of March 31, 2026. Amounts borrowed under the LFN do not have an anticipated repayment date. The legal final maturity date of each class of the ABS Notes is in December 2055. If Shentel has not repaid or refinanced any Series 2025-1 Notes prior to the relevant ARD, additional interest will accrue on outstanding principal. Shentel Broadband’s RCF matures on December 5, 2030. No principal payments on Shentel Broadband’s RCF are required prior to the final maturity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 and its non-ABS Entities have no recourse of the loans of the ABS Entities. Likewise, the ABS Entities have no recourse of the loans of Shentel Broadband.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Refer to Note 8, </w:t>
      </w:r>
      <w:r>
        <w:rPr>
          <w:rFonts w:ascii="Times New Roman;serif" w:hAnsi="Times New Roman;serif"/>
          <w:b w:val="false"/>
          <w:i/>
          <w:color w:val="000000"/>
          <w:sz w:val="20"/>
        </w:rPr>
        <w:t>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the Company’s unaudited condensed consolidated financial statements within this Form 10-Q and Note 10, </w:t>
      </w:r>
      <w:r>
        <w:rPr>
          <w:rFonts w:ascii="Times New Roman;serif" w:hAnsi="Times New Roman;serif"/>
          <w:b w:val="false"/>
          <w:i/>
          <w:color w:val="000000"/>
          <w:sz w:val="20"/>
        </w:rPr>
        <w:t>Debt</w:t>
      </w:r>
      <w:r>
        <w:rPr>
          <w:rFonts w:ascii="Times New Roman;serif" w:hAnsi="Times New Roman;serif"/>
          <w:b w:val="false"/>
          <w:color w:val="000000"/>
          <w:sz w:val="20"/>
        </w:rPr>
        <w:t>, in the Company’s consolidated financial statements in the Company’s 2025 Form 10-K</w:t>
      </w:r>
      <w:r>
        <w:rPr>
          <w:color w:val="000000"/>
        </w:rPr>
        <w:t xml:space="preserve"> </w:t>
      </w:r>
      <w:r>
        <w:rPr>
          <w:rFonts w:ascii="Times New Roman;serif" w:hAnsi="Times New Roman;serif"/>
          <w:b w:val="false"/>
          <w:color w:val="000000"/>
          <w:sz w:val="20"/>
        </w:rPr>
        <w:t>for more information about the outstanding debt.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was in compliance with the financial covenants related to our outstanding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cash on hand, restricted cash, cash flows from operations, availability of funds from our RCF and VFN agreements and government grants will be sufficient to meet our anticipated liquidity needs for business operations for the next twelve months. There can be no assurance that we will continue to generate cash flows at or above current levels.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our capital expenditures of $75.8 million exceeded our net cash provided by operating activities by $51.5 million, and we expect our capital expenditures to exceed the cash flows provided from operations through 2026, as we expand our Glo Fiber broadband network.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Shentel formed Shentel Guarantor LLC, Shentel Issuer LLC, Shentel Asset Entity I LLC and Shentel Asset Entity II LLC (collectively, the “ABS Entities”), each a bankruptcy-remote subsidiary of the Company. The ABS Entities were formed as part of a securitization transaction, pursuant to which certain of the Company’s fiber network assets and related customer contracts primarily in Virginia, Ohio, Pennsylvania, Indiana, Maryland and West Virginia were contributed to Shentel Asset Entity I LLC and Shentel Asset Entity II LLC (collectively, the “ABS Asset Entities”). As of March 31, 2026, all of the Company’s commercial fiber network assets and approximately 307,000 Glo Fiber passings were contributed to the ABS Asset Entities. The cash flow from these contributed assets are used to service the obligations under Shentel’s ABS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RCF requires consolidated financial statements of restricted subsidiaries under the RCF (the “Non-ABS Entities” or the “Restricted Subsidiaries”) and unrestricted subsidiaries (the “ABS Entities” or the “Unrestricted Subsidiaries”). Below is the unaudited condensed consolidating balance sheet as of March 31, 2026 and December 31, 2025, and the unaudited condensed consolidating statement of operations for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1297"/>
        <w:gridCol w:w="817"/>
        <w:gridCol w:w="737"/>
        <w:gridCol w:w="109"/>
        <w:gridCol w:w="109"/>
        <w:gridCol w:w="109"/>
        <w:gridCol w:w="329"/>
        <w:gridCol w:w="1241"/>
        <w:gridCol w:w="185"/>
        <w:gridCol w:w="109"/>
        <w:gridCol w:w="109"/>
        <w:gridCol w:w="109"/>
        <w:gridCol w:w="304"/>
        <w:gridCol w:w="1352"/>
        <w:gridCol w:w="169"/>
        <w:gridCol w:w="109"/>
        <w:gridCol w:w="109"/>
        <w:gridCol w:w="109"/>
        <w:gridCol w:w="222"/>
        <w:gridCol w:w="854"/>
        <w:gridCol w:w="125"/>
        <w:gridCol w:w="109"/>
        <w:gridCol w:w="109"/>
        <w:gridCol w:w="109"/>
        <w:gridCol w:w="202"/>
        <w:gridCol w:w="899"/>
        <w:gridCol w:w="164"/>
      </w:tblGrid>
      <w:tr>
        <w:trPr/>
        <w:tc>
          <w:tcPr>
            <w:tcW w:w="12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373,769 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(357,656)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806,243 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822,965 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1,629,208 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148,481 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(118,012)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995,885 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1,443,117 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(486,040)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1,952,962 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54,278 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20,942 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(11,341)</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594,305 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693,887 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129,905 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(117,043)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283,415 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(117,043)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346,538 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878,076 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(357,656)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866,958 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995,885 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1,443,117 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(486,040)</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1,952,962 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97"/>
        <w:gridCol w:w="817"/>
        <w:gridCol w:w="737"/>
        <w:gridCol w:w="109"/>
        <w:gridCol w:w="109"/>
        <w:gridCol w:w="109"/>
        <w:gridCol w:w="329"/>
        <w:gridCol w:w="1241"/>
        <w:gridCol w:w="185"/>
        <w:gridCol w:w="109"/>
        <w:gridCol w:w="109"/>
        <w:gridCol w:w="109"/>
        <w:gridCol w:w="304"/>
        <w:gridCol w:w="1352"/>
        <w:gridCol w:w="169"/>
        <w:gridCol w:w="109"/>
        <w:gridCol w:w="109"/>
        <w:gridCol w:w="109"/>
        <w:gridCol w:w="222"/>
        <w:gridCol w:w="854"/>
        <w:gridCol w:w="125"/>
        <w:gridCol w:w="109"/>
        <w:gridCol w:w="109"/>
        <w:gridCol w:w="109"/>
        <w:gridCol w:w="202"/>
        <w:gridCol w:w="899"/>
        <w:gridCol w:w="164"/>
      </w:tblGrid>
      <w:tr>
        <w:trPr/>
        <w:tc>
          <w:tcPr>
            <w:tcW w:w="12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392,737 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807,735 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156,891 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(118,777)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1,440,323 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(510,372)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108,496 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554,288 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(117,665)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288,777 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(117,665)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204,740 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884,523 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880,783 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1,440,323 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(510,372)</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121"/>
        <w:gridCol w:w="925"/>
        <w:gridCol w:w="929"/>
        <w:gridCol w:w="109"/>
        <w:gridCol w:w="109"/>
        <w:gridCol w:w="109"/>
        <w:gridCol w:w="368"/>
        <w:gridCol w:w="1215"/>
        <w:gridCol w:w="205"/>
        <w:gridCol w:w="109"/>
        <w:gridCol w:w="109"/>
        <w:gridCol w:w="109"/>
        <w:gridCol w:w="343"/>
        <w:gridCol w:w="1133"/>
        <w:gridCol w:w="191"/>
        <w:gridCol w:w="109"/>
        <w:gridCol w:w="109"/>
        <w:gridCol w:w="109"/>
        <w:gridCol w:w="243"/>
        <w:gridCol w:w="821"/>
        <w:gridCol w:w="137"/>
        <w:gridCol w:w="109"/>
        <w:gridCol w:w="109"/>
        <w:gridCol w:w="109"/>
        <w:gridCol w:w="244"/>
        <w:gridCol w:w="824"/>
        <w:gridCol w:w="198"/>
      </w:tblGrid>
      <w:tr>
        <w:trPr/>
        <w:tc>
          <w:tcPr>
            <w:tcW w:w="11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62,297 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(6,285)</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73,290 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102,622 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(10,993)</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(8,128)</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(19,859)</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(8,374)</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previously disclosed in Part II, Item 8 of our 2025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has an outstanding debt balance of $707.4 million, which includes ABS Notes, VFN, and the RCF. Shentel’s ABS Notes, which include Class A-2 Notes and Class B Notes, have outstanding balances of $489.1 million and $78.3 million, respectively. The borrowed Class A-2 Notes and the Class B Notes incur interest at the fixed rate 5.64% and 6.03%, respectively; therefore, the Class A-2 and the Class B Notes are not subject to fluctuations in market interest rates. The borrowed RCF bears interest at a variable rate determined by one-month term SOFR, plus a margin based on net leverage. The borrowed VFN bears interest at a variable rate determined by a one-month term SOFR, plus a fixed margin.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$40.0 million and $100.0 million of gross variable rate debt outstanding under the VFN and RCF, respectively. The interest rate was 5.41% and 6.16% for the VFN and RCF, respectively, at March 31, 2026. An increase in market interest rates of 1.00% would add approximately $1.4 million to annual interest expense.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March 31, 2026. Our certifying officers concluded that our disclosure controls and procedures were effective as of March 31,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fiscal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discuss in our Annual Report on Form 10-K various risks that may materially affect our business. We use this section to update this discussion to reflect material developments since our Form 10-K was filed. As of March 31, 2026, the Company has identified an additional risk factor due to ongoing global geopolitical conflicts, including conflicts impacting energy</w:t>
        <w:noBreakHyphen/>
        <w:t>producing regions, contributing to increased volatility in global oil and fuel markets. Actions taken by governments globally in response to such conflicts, including sanctions and trade restrictions, have increased uncertainty regarding global oil and fuel supply and pricing.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Continued geopolitical instability or further governmental actions globally could result in additional increases in oil and fuel costs, which may adversely affect our operating expenses and financial results.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Ongoing geopolitical tensions and military conflicts in the Middle East, including the conflict involving Iran, may adversely affect our operations. Escalating conflict in or near major oil</w:t>
        <w:noBreakHyphen/>
        <w:t>producing or shipping corridors could lead to higher fuel and energy prices, increasing our transportation and other operational costs. Any sustained increase in fuel prices could negatively impact our margins and may have an adverse effect on our business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or Affiliated Purchasers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March 31, 2026, to settle employee tax withholding obligations related to the vesting of stock awards.</w:t>
      </w:r>
    </w:p>
    <w:p>
      <w:pPr>
        <w:pStyle w:val="TextBody"/>
        <w:bidi w:val="0"/>
        <w:spacing w:before="0" w:after="0"/>
        <w:jc w:val="both"/>
        <w:rPr/>
      </w:pPr>
      <w:r>
        <w:rPr/>
      </w:r>
    </w:p>
    <w:tbl>
      <w:tblPr>
        <w:tblW w:w="6805" w:type="dxa"/>
        <w:jc w:val="left"/>
        <w:tblInd w:w="0" w:type="dxa"/>
        <w:tblLayout w:type="fixed"/>
        <w:tblCellMar>
          <w:top w:w="28" w:type="dxa"/>
          <w:left w:w="28" w:type="dxa"/>
          <w:bottom w:w="28" w:type="dxa"/>
          <w:right w:w="28" w:type="dxa"/>
        </w:tblCellMar>
      </w:tblPr>
      <w:tblGrid>
        <w:gridCol w:w="1248"/>
        <w:gridCol w:w="1097"/>
        <w:gridCol w:w="1104"/>
        <w:gridCol w:w="539"/>
        <w:gridCol w:w="539"/>
        <w:gridCol w:w="541"/>
        <w:gridCol w:w="109"/>
        <w:gridCol w:w="109"/>
        <w:gridCol w:w="109"/>
        <w:gridCol w:w="413"/>
        <w:gridCol w:w="413"/>
        <w:gridCol w:w="58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to January 31</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to February 28</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12.98</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to March 31</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1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officers or directors adopted or terminated any “Rule 10b5-1 trading arrangement” or any “non-Rule 10b5-1 trading arrangement” as each term is defined in Item 408 of Regulation S-K.</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color w:val="000000"/>
        </w:rPr>
        <w:t>    </w:t>
      </w:r>
      <w:r>
        <w:rPr>
          <w:rFonts w:ascii="Times New Roman;serif" w:hAnsi="Times New Roman;serif"/>
          <w:b/>
          <w:color w:val="000000"/>
          <w:sz w:val="20"/>
        </w:rPr>
        <w:t>Exhibits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4"/>
        <w:gridCol w:w="993"/>
        <w:gridCol w:w="993"/>
        <w:gridCol w:w="981"/>
        <w:gridCol w:w="1204"/>
        <w:gridCol w:w="946"/>
        <w:gridCol w:w="946"/>
        <w:gridCol w:w="946"/>
        <w:gridCol w:w="946"/>
        <w:gridCol w:w="1392"/>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101amendmentno1202.htm">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Amendment No. 1 to Credit Agreement, dated March 20, 2026, among Shentel Broadband Operations LLC, as borrower, Shentel Broadband Holding Inc., as Holdco and a guarantor, certain subsidiaries of Holdco, as guarantors, the lenders party thereto and Bank of America, N.A., as administrative agent.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103312026.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under the Securities Exchange Act of 1934.</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203312026.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under the Securities Exchange Act of 1934.</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303312026.htm">
              <w:r>
                <w:rPr>
                  <w:rStyle w:val="InternetLink"/>
                  <w:rFonts w:ascii="Times New Roman;serif" w:hAnsi="Times New Roman;serif"/>
                  <w:b w:val="false"/>
                  <w:color w:val="0000FF"/>
                  <w:sz w:val="20"/>
                  <w:u w:val="single"/>
                </w:rPr>
                <w:t>31.3</w:t>
              </w:r>
            </w:hyperlink>
            <w:r>
              <w:rPr>
                <w:rFonts w:ascii="Times New Roman;serif" w:hAnsi="Times New Roman;serif"/>
                <w:b w:val="false"/>
                <w:color w:val="000000"/>
                <w:sz w:val="20"/>
              </w:rPr>
              <w:t>*</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Rule 13a-14(a) under the Securities Exchange Act of 1934.</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203312026.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pursuant to Rule 13a-14(b) under the Securities Exchange Act of 1934 and 18 U.S.C. § 1350.</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Formatted in Inline XBRL (Extensible Business Reporting Language)</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32" w:space="0" w:color="4444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1d9164a39d94c14ab042f85db92189b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124"/>
        <w:gridCol w:w="109"/>
        <w:gridCol w:w="109"/>
        <w:gridCol w:w="1218"/>
        <w:gridCol w:w="1218"/>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1" w:name="shenex101amendmentno1202.htm"/>
      <w:bookmarkStart w:id="2" w:name="ksshenex101amendmentno1202"/>
      <w:bookmarkEnd w:id="1"/>
      <w:bookmarkEnd w:id="2"/>
      <w:r>
        <w:rPr/>
        <w:drawing>
          <wp:inline distT="0" distB="0" distL="0" distR="0">
            <wp:extent cx="10048875" cy="1300162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jc w:val="center"/>
        <w:rPr>
          <w:color w:val="FFFFFF"/>
          <w:sz w:val="2"/>
        </w:rPr>
      </w:pPr>
      <w:r>
        <w:rPr>
          <w:color w:val="FFFFFF"/>
          <w:sz w:val="2"/>
        </w:rPr>
        <w:t xml:space="preserve">EXECUTION VERSION 14663250v2 AMENDMENT NO. 1 TO CREDIT AGREEMENT This AMENDMENT NO. 1 TO CREDIT AGREEMENT (this “Amendment”) is entered into as of March 20, 2026, by and among SHENTEL BROADBAND OPERATIONS LLC, a Delaware limited liability company (the “Borrower”), SHENTEL BROADBAND HOLDING INC., a Delaware corporation (“Holdco”), the other Guarantors party hereto, the Lenders party hereto and BANK OF AMERICA, N.A., as Administrative Agent. Capitalized terms used herein without definition shall have the meanings given to them in the Credit Agreement (as defined below). WHEREAS, pursuant to that certain Credit Agreement, dated as of December 5, 2025 (the “Credit Agreement”), among the Borrower, Holdco, the other Guarantors party thereto, the Lenders party thereto, Bank of America, N.A., as Administrative Agent, Swingline Lender and L/C Issuer, and the other L/C Issuers party thereto, the Lenders agreed to provide the Borrower with the credit facilities provided for therein; and WHEREAS, the Borrower has requested, and the Administrative Agent and the Lenders party hereto have agreed, to amend the Credit Agreement. NOW THEREFORE, in consideration of the mutual covenants and agreements herein contained, the parties hereto covenant and agree as follows: 1. Amendments to Credit Agreement. Subject to the satisfaction of the condition set forth in Section 3, Section 7.06(e) and Section 7.06(f) of the Credit Agreement are hereby amended to add the double-underlined text (indicated textually in the same manner as the following example: double- underlined text) as follows: (e) the Borrower may make distributions to Holdco, for further distribution by Holdco to the Parent (or, solely in the case of distributions to the holders of the Preferred Stock, the Borrower may make distributions to Holdco, for further distribution by Holdco to the holders of the Preferred Stock), with the proceeds of distributions received from the ABS Entities; (f) so long as (x) no Default shall exist at the time of such declaration or could reasonably be expected to result from such Restricted Payment (tested solely at the time of declaration of any such Restricted Payment) and (y) the Loan Parties shall be in compliance with the covenants set forth in Section 7.20 after giving effect to any such Restricted Payment on a Pro Forma Basis for the four fiscal quarter period most recently then ended for which financial statements have been delivered (tested solely at the time of declaration of any such Restricted Payment), the Borrower may make, declare and pay Restricted Payments to Holdco, for further distribution by Holdco to Parent (or, solely in the case of distributions to the holders of the Preferred Stock, the Borrower may make, declare and pay Restricted Payments to Holdco, for further distribution by Holdco to the holders of the Preferred Stock), (i) in any fiscal year, in an amount not to exceed $7,500,000 for ultimate distribution to the holders of common stock of the Parent and (ii) when the Total Net Leverage Ratio is less than or equal to 2.50:1.00 on a Pro Forma Basis, an unlimited amount; and 2. Representations and Warranties. Each Loan Party represents and warrants to the Administrative Agent and the Lenders as of the date hereof that: (a) after giving effect to this Amendment, the representations and warranties of each Loan Party contained in Article V of the Credit Agreement or any other Loan Document, or which are contained in any document furnished at any time under or in connection therewith, shall (i)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14663250v2 respect to representations and warranties that contain a materiality qualification, be true and correct on and as of the date hereof and (ii) with respect to representations and warranties that do not contain a materiality qualification, be true and correct in all material respects on and as of the date hereof, in each case, except to the extent that such representations and warranties specifically refer to an earlier date, in which case they shall be true and correct in all material respects (or in all respects if any such representation or warranty is already qualified by materiality) as of such earlier date; (b) each Loan Party has the full power to enter into, execute, deliver and carry out this Amendment and to perform its obligations hereunder, and all such actions have been duly authorized by all necessary proceedings on its part; (c) this Amendment has been duly and validly executed and delivered by each Loan Party and constitutes legal, valid and binding obligations of each Loan Party, enforceable against such Loan Party in accordance with its terms, subject only to limitations on enforceability imposed by applicable bankruptcy, insolvency, reorganization, moratorium or similar laws affecting creditors’ rights generally and general equitable principles; and (d) no Default exists or is continuing, or would result immediately after giving effect to this Amendment. 3. Condition to Effectiveness. The effectiveness of this Amendment is subject to receipt by the Administrative Agent of counterparts of this Amendment duly executed by a Responsible Officer of each Loan Party, duly authorized officers or representatives of Lenders constituting the Required Lenders, and a duly authorized officer of the Administrative Agent. 4. Reaffirmations. The Borrower and each Guarantor hereby acknowledges its receipt of a copy of this Amendment and its review of the terms and conditions hereof and consents to the terms and conditions of this Amendment and the transactions contemplated hereby. The Borrower and each Guarantor, as applicable, (a) affirms and confirms its guarantees, pledges, grants and other undertakings under the Credit Agreement (as amended by this Amendment) and the other Loan Documents to which it is a party and (b) agrees that (i) each Loan Document to which it is a party shall continue to be in full force and effect and (ii) all guarantees, pledges, grants and other undertakings thereunder shall continue to be in full force and effect and shall accrue to the benefit of the Secured Parties, including the Administrative Agent. 5. Expenses; Indemnity; Damage Waiver. Section 11.04 of the Credit Agreement is hereby incorporated, mutatis mutandis, by reference as if such section was set forth in full herein. 6. Miscellaneous. (a) Electronic Execution; Electronic Records; Counterparts. Subject to the provisions of Section 11.18 of the Credit Agreement, (i) this Amendment may be in the form of an Electronic Record and may be executed using Electronic Signatures, and (ii) this Amendment may be executed in as many counterparts as necessary or convenient, including both paper and electronic counterparts, but all such counterparts are one and the same Amendment. For the avoidance of doubt, the authorization under this Section 6(a) may include use or acceptance of a manually signed paper Amendment which has been converted into electronic form (such as scanned into .pdf), or an electronically signed Amendment converted into another format, for transmission, delivery and/or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14663250v2 (b) Successors and Assigns. This Amendment shall be binding upon and inure to the benefit of the Loan Parties, the Lenders, the Administrative Agent, and their respective successors and assigns, except that no Loan Party may assign or transfer its rights or obligations hereunder without the prior written consent of the Administrative Agent and each Lender. (c) GOVERNING LAW.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(d) Severability. If any provision of this Amendment is held to be illegal, invalid or unenforceable, (i) the legality, validity and enforceability of the remaining provisions of this Amendment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(e) Headings. Section headings in this Amendment are included for convenience of reference only and shall not affect the interpretation of this Amendment. (f) SUBMISSION TO JURISDICTION; WAIVER OF VENUE; WAIVER OF JURY TRIAL. The terms of Sections 11.14 and 11.15 of the Credit Agreement with respect to submission to jurisdiction, waiver of venue, and waiver of jury trial are incorporated herein by reference, mutatis mutandis, and the parties hereto agree to such terms. (g) Loan Document. This Amendment is a Loan Document and subject to the terms of the Credit Agreement. (h) Effect on Credit Agreement and other Loan Documents. Except as expressly set forth herein, this Amendment shall not by implication or otherwise limit, impair, constitute a waiver of, or otherwise affect the rights and remedies of any Secured Party under the Credit Agreement or any other Loan Document, and shall not alter, modify, amend or in any way affect any of the terms, conditions, obligations, covenants or agreements contained in the Credit Agreement or any other Loan Document.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The Loan Documents and any and all other documents heretofore, now or hereafter executed and delivered pursuant to the terms of the Credit Agreement are hereby amended so that any reference to the Credit Agreement shall mean a reference to the Credit Agreement (as amended by this Amendment). The Credit Agreement (as amended by this Amendment) is not a novation of the Credit Agreement. [remainder of page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IN WITNESS WHEREOF, the parties hereto have caused this Amendment to be duly executed as of the date first above written. BORROWER: SHENTEL BROADBAND OPERATIONS LLC, a Delaware limited liability company By: /s/ James J. Volk Name: James J. Volk Title: Senior Vice President and Chief Financial Officer GUARANTORS: SHENTEL BROADBAND HOLDING INC., a Delaware corporation SHENANDOAH PERSONAL COMMUNICATIONS, LLC, a Virginia limited liability company SHENANDOAH MOBILE, LLC, a Virginia limited liability company SHENTEL MANAGEMENT COMPANY, a Virginia corporation SHENANDOAH CABLE TELEVISION, LLC, a Virginia limited liability company HORIZON ACQUISITION PARENT LLC, a Delaware limited liability company HORIZON TELCOM, INC., an Ohio corporation THE CHILLICOTHE TELEPHONE COMPANY, an Ohio corporation HORIZON SERVICES, INC., an Ohio corporation HORIZON TECHNOLOGY, INC., an Ohio corporation URBANSYSTEMS, LLC, an Indiana limited liability company INFINITY FIBER, LLC, an Indiana limited liability company By: /s/ James J. Volk Name: James J. Volk Title: Senior Vice President and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ADMINSITRATIVE AGENT: BANK OF AMERICA, N.A., as Administrative Agent By: /s/ Christine Trotter Name: Christine Trotter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LENDERS: BANK OF AMERICA, N.A., as a Lender, L/C Issuer and Swingline Lender By: /s/ Matthew R. Alles Name: Matthew R. Alles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CITIZENS BANK, N.A., as a Lender By: /s/ Robert Maddox Name: Robert Maddox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FIFTH THIRD BANK, NATIONAL ASSOCIATION, as a Lender By: /s/ Nick Meece Name: Nick Meece Title: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TRUIST BANK, as a Lender By: /s/ J. Matthew Rowand Name: J. Matthew Rowand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MORGAN STANLEY SENIOR FUNDING, INC., as a Lender By: /s/ Atu Koffie-Lart Name: Atu Koffie-Lart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(Shentel) COBANK, ACB, as a Lender and, solely with respect to the Existing Letters of Credit, as L/C Issuer By: /s/ K. Cameron Dawkins Name: K. Cameron Dawkins Title: Managing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H. McKay, certify that:</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w:t>
      </w:r>
      <w:r>
        <w:rPr>
          <w:color w:val="000000"/>
        </w:rPr>
        <w:t> </w:t>
      </w:r>
      <w:r>
        <w:rPr>
          <w:rFonts w:ascii="Times New Roman;serif" w:hAnsi="Times New Roman;serif"/>
          <w:b w:val="false"/>
          <w:color w:val="000000"/>
          <w:sz w:val="20"/>
        </w:rPr>
        <w:t>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EDWARD H. MCKAY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Edward H. McKay, President and Chief Executive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May 1,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James J. Volk,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James J. Volk, Senior Vice President – Chief Financial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May 1,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Tracy Willis,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WILLIS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Tracy Willis, Vice President - Chief Accounting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three months ended March 31, 2026 filed on the date hereof with the Securities and Exchange Commission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Report fairly presents, in all material respects, the financial condition and result of operations of the Company.</w:t>
      </w:r>
    </w:p>
    <w:p>
      <w:pPr>
        <w:pStyle w:val="TextBody"/>
        <w:bidi w:val="0"/>
        <w:spacing w:before="0" w:after="0"/>
        <w:jc w:val="left"/>
        <w:rPr/>
      </w:pPr>
      <w:r>
        <w:rPr/>
      </w:r>
    </w:p>
    <w:tbl>
      <w:tblPr>
        <w:tblW w:w="4286" w:type="dxa"/>
        <w:jc w:val="left"/>
        <w:tblInd w:w="0" w:type="dxa"/>
        <w:tblLayout w:type="fixed"/>
        <w:tblCellMar>
          <w:top w:w="28" w:type="dxa"/>
          <w:left w:w="28" w:type="dxa"/>
          <w:bottom w:w="28" w:type="dxa"/>
          <w:right w:w="28" w:type="dxa"/>
        </w:tblCellMar>
      </w:tblPr>
      <w:tblGrid>
        <w:gridCol w:w="124"/>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15685</Words>
  <Characters>89254</Characters>
  <CharactersWithSpaces>103758</CharactersWithSpaces>
  <Paragraphs>2444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shenex101amendmentno1202</dc:title>
</cp:coreProperties>
</file>