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 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6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600" w:right="2140" w:hanging="565"/>
        <w:spacing w:after="0" w:line="496" w:lineRule="auto"/>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2016</w:t>
      </w:r>
    </w:p>
    <w:p>
      <w:pPr>
        <w:spacing w:after="0" w:line="171" w:lineRule="exact"/>
        <w:rPr>
          <w:sz w:val="24"/>
          <w:szCs w:val="24"/>
          <w:color w:val="auto"/>
        </w:rPr>
      </w:pPr>
    </w:p>
    <w:p>
      <w:pPr>
        <w:ind w:left="600" w:right="2120" w:hanging="565"/>
        <w:spacing w:after="0" w:line="496" w:lineRule="auto"/>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14605</wp:posOffset>
            </wp:positionV>
            <wp:extent cx="203263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71"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771" w:right="239" w:bottom="1440" w:gutter="0" w:footer="0" w:header="0"/>
          <w:type w:val="continuous"/>
        </w:sectPr>
      </w:pPr>
    </w:p>
    <w:p>
      <w:pPr>
        <w:spacing w:after="0" w:line="64"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771" w:right="2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771"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40"/>
        <w:spacing w:after="0" w:line="207" w:lineRule="exact"/>
        <w:tabs>
          <w:tab w:leader="none" w:pos="2880" w:val="left"/>
          <w:tab w:leader="none" w:pos="5720" w:val="left"/>
          <w:tab w:leader="none" w:pos="85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on October 27, 2016 was 48,915,405.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2629535</wp:posOffset>
            </wp:positionH>
            <wp:positionV relativeFrom="paragraph">
              <wp:posOffset>177800</wp:posOffset>
            </wp:positionV>
            <wp:extent cx="20066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660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10"/>
          </w:tcPr>
          <w:p>
            <w:pPr>
              <w:jc w:val="center"/>
              <w:ind w:right="340"/>
              <w:spacing w:after="0"/>
              <w:rPr>
                <w:sz w:val="20"/>
                <w:szCs w:val="20"/>
                <w:color w:val="auto"/>
              </w:rPr>
            </w:pPr>
            <w:r>
              <w:rPr>
                <w:rFonts w:ascii="Arial" w:cs="Arial" w:eastAsia="Arial" w:hAnsi="Arial"/>
                <w:sz w:val="18"/>
                <w:szCs w:val="18"/>
                <w:color w:val="auto"/>
                <w:w w:val="85"/>
              </w:rPr>
              <w:t>Page</w:t>
            </w:r>
          </w:p>
        </w:tc>
      </w:tr>
      <w:tr>
        <w:trPr>
          <w:trHeight w:val="230"/>
        </w:trPr>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12"/>
          </w:tcPr>
          <w:p>
            <w:pPr>
              <w:jc w:val="center"/>
              <w:ind w:right="60"/>
              <w:spacing w:after="0"/>
              <w:rPr>
                <w:sz w:val="20"/>
                <w:szCs w:val="20"/>
                <w:color w:val="auto"/>
              </w:rPr>
            </w:pPr>
            <w:r>
              <w:rPr>
                <w:rFonts w:ascii="Arial" w:cs="Arial" w:eastAsia="Arial" w:hAnsi="Arial"/>
                <w:sz w:val="18"/>
                <w:szCs w:val="18"/>
                <w:color w:val="auto"/>
                <w:w w:val="90"/>
              </w:rPr>
              <w:t>Numbers</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PART I.</w:t>
            </w:r>
          </w:p>
        </w:tc>
        <w:tc>
          <w:tcPr>
            <w:tcW w:w="9500" w:type="dxa"/>
            <w:vAlign w:val="bottom"/>
            <w:gridSpan w:val="16"/>
          </w:tcPr>
          <w:p>
            <w:pPr>
              <w:spacing w:after="0"/>
              <w:rPr>
                <w:sz w:val="20"/>
                <w:szCs w:val="20"/>
                <w:color w:val="auto"/>
              </w:rPr>
            </w:pPr>
            <w:r>
              <w:rPr>
                <w:rFonts w:ascii="Arial" w:cs="Arial" w:eastAsia="Arial" w:hAnsi="Arial"/>
                <w:sz w:val="18"/>
                <w:szCs w:val="18"/>
                <w:color w:val="auto"/>
              </w:rPr>
              <w:t>FINANCIAL INFORMATION</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0"/>
        </w:trPr>
        <w:tc>
          <w:tcPr>
            <w:tcW w:w="840" w:type="dxa"/>
            <w:vAlign w:val="bottom"/>
          </w:tcPr>
          <w:p>
            <w:pPr>
              <w:ind w:left="40"/>
              <w:spacing w:after="0"/>
              <w:rPr>
                <w:sz w:val="20"/>
                <w:szCs w:val="20"/>
                <w:color w:val="auto"/>
              </w:rPr>
            </w:pPr>
            <w:r>
              <w:rPr>
                <w:rFonts w:ascii="Arial" w:cs="Arial" w:eastAsia="Arial" w:hAnsi="Arial"/>
                <w:sz w:val="18"/>
                <w:szCs w:val="18"/>
                <w:color w:val="auto"/>
              </w:rPr>
              <w:t>Item 1.</w:t>
            </w:r>
          </w:p>
        </w:tc>
        <w:tc>
          <w:tcPr>
            <w:tcW w:w="950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50"/>
        </w:trPr>
        <w:tc>
          <w:tcPr>
            <w:tcW w:w="840" w:type="dxa"/>
            <w:vAlign w:val="bottom"/>
            <w:shd w:val="clear" w:color="auto" w:fill="CCEEFF"/>
          </w:tcPr>
          <w:p>
            <w:pPr>
              <w:spacing w:after="0"/>
              <w:rPr>
                <w:sz w:val="21"/>
                <w:szCs w:val="21"/>
                <w:color w:val="auto"/>
              </w:rPr>
            </w:pPr>
          </w:p>
        </w:tc>
        <w:tc>
          <w:tcPr>
            <w:tcW w:w="9500" w:type="dxa"/>
            <w:vAlign w:val="bottom"/>
            <w:gridSpan w:val="16"/>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September 30, 2016 and December 31, 2015</w:t>
              </w:r>
            </w:hyperlink>
          </w:p>
        </w:tc>
        <w:tc>
          <w:tcPr>
            <w:tcW w:w="4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1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ind w:lef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3"/>
        </w:trPr>
        <w:tc>
          <w:tcPr>
            <w:tcW w:w="840" w:type="dxa"/>
            <w:vAlign w:val="bottom"/>
            <w:shd w:val="clear" w:color="auto" w:fill="CCEEFF"/>
          </w:tcPr>
          <w:p>
            <w:pPr>
              <w:spacing w:after="0"/>
              <w:rPr>
                <w:sz w:val="17"/>
                <w:szCs w:val="17"/>
                <w:color w:val="auto"/>
              </w:rPr>
            </w:pPr>
          </w:p>
        </w:tc>
        <w:tc>
          <w:tcPr>
            <w:tcW w:w="9500" w:type="dxa"/>
            <w:vAlign w:val="bottom"/>
            <w:gridSpan w:val="16"/>
            <w:shd w:val="clear" w:color="auto" w:fill="CCEEFF"/>
          </w:tcPr>
          <w:p>
            <w:pPr>
              <w:spacing w:after="0" w:line="202"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Consolidated Statements of Operations and Comprehensive Income (Loss) for the Three and Nine Months</w:t>
              </w:r>
            </w:hyperlink>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44"/>
        </w:trPr>
        <w:tc>
          <w:tcPr>
            <w:tcW w:w="840" w:type="dxa"/>
            <w:vAlign w:val="bottom"/>
            <w:tcBorders>
              <w:top w:val="single" w:sz="8" w:color="CCEEFF"/>
            </w:tcBorders>
            <w:shd w:val="clear" w:color="auto" w:fill="CCEEFF"/>
          </w:tcPr>
          <w:p>
            <w:pPr>
              <w:spacing w:after="0"/>
              <w:rPr>
                <w:sz w:val="21"/>
                <w:szCs w:val="21"/>
                <w:color w:val="auto"/>
              </w:rPr>
            </w:pPr>
          </w:p>
        </w:tc>
        <w:tc>
          <w:tcPr>
            <w:tcW w:w="930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September 30, 2016 and 2015</w:t>
              </w:r>
            </w:hyperlink>
          </w:p>
        </w:tc>
        <w:tc>
          <w:tcPr>
            <w:tcW w:w="2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gridSpan w:val="3"/>
            <w:shd w:val="clear" w:color="auto" w:fill="CCEEFF"/>
          </w:tcPr>
          <w:p>
            <w:pPr>
              <w:jc w:val="cente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3"/>
        </w:trPr>
        <w:tc>
          <w:tcPr>
            <w:tcW w:w="840" w:type="dxa"/>
            <w:vAlign w:val="bottom"/>
            <w:shd w:val="clear" w:color="auto" w:fill="CCEEFF"/>
          </w:tcPr>
          <w:p>
            <w:pPr>
              <w:spacing w:after="0"/>
              <w:rPr>
                <w:sz w:val="17"/>
                <w:szCs w:val="17"/>
                <w:color w:val="auto"/>
              </w:rPr>
            </w:pPr>
          </w:p>
        </w:tc>
        <w:tc>
          <w:tcPr>
            <w:tcW w:w="9500" w:type="dxa"/>
            <w:vAlign w:val="bottom"/>
            <w:gridSpan w:val="16"/>
            <w:shd w:val="clear" w:color="auto" w:fill="CCEEFF"/>
          </w:tcPr>
          <w:p>
            <w:pPr>
              <w:spacing w:after="0" w:line="202"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Statements of Shareholders’ Equity for the Nine Months Ended September 30, 2016 and the</w:t>
              </w:r>
            </w:hyperlink>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44"/>
        </w:trPr>
        <w:tc>
          <w:tcPr>
            <w:tcW w:w="840" w:type="dxa"/>
            <w:vAlign w:val="bottom"/>
            <w:tcBorders>
              <w:top w:val="single" w:sz="8" w:color="CCEEFF"/>
            </w:tcBorders>
            <w:shd w:val="clear" w:color="auto" w:fill="CCEEFF"/>
          </w:tcPr>
          <w:p>
            <w:pPr>
              <w:spacing w:after="0"/>
              <w:rPr>
                <w:sz w:val="21"/>
                <w:szCs w:val="21"/>
                <w:color w:val="auto"/>
              </w:rPr>
            </w:pPr>
          </w:p>
        </w:tc>
        <w:tc>
          <w:tcPr>
            <w:tcW w:w="926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Year Ended December 31, 2015</w:t>
              </w:r>
            </w:hyperlink>
          </w:p>
        </w:tc>
        <w:tc>
          <w:tcPr>
            <w:tcW w:w="240" w:type="dxa"/>
            <w:vAlign w:val="bottom"/>
            <w:tcBorders>
              <w:top w:val="single" w:sz="8" w:color="CCEEFF"/>
            </w:tcBorders>
            <w:gridSpan w:val="2"/>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gridSpan w:val="3"/>
            <w:shd w:val="clear" w:color="auto" w:fill="CCEEFF"/>
          </w:tcPr>
          <w:p>
            <w:pPr>
              <w:jc w:val="center"/>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spacing w:after="0"/>
              <w:rPr>
                <w:sz w:val="21"/>
                <w:szCs w:val="21"/>
                <w:color w:val="auto"/>
              </w:rPr>
            </w:pPr>
          </w:p>
        </w:tc>
        <w:tc>
          <w:tcPr>
            <w:tcW w:w="9500" w:type="dxa"/>
            <w:vAlign w:val="bottom"/>
            <w:gridSpan w:val="16"/>
            <w:shd w:val="clear" w:color="auto" w:fill="CCEEFF"/>
          </w:tcPr>
          <w:p>
            <w:pPr>
              <w:spacing w:after="0" w:line="20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Unaudited Condensed Consolidated Statements of Cash Flows for the Nine Months Ended September 30, 2016 and 2015</w:t>
              </w:r>
            </w:hyperlink>
          </w:p>
        </w:tc>
        <w:tc>
          <w:tcPr>
            <w:tcW w:w="4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1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gridSpan w:val="3"/>
            <w:shd w:val="clear" w:color="auto" w:fill="CCEEFF"/>
          </w:tcPr>
          <w:p>
            <w:pPr>
              <w:ind w:lef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740" w:type="dxa"/>
            <w:vAlign w:val="bottom"/>
            <w:tcBorders>
              <w:top w:val="single" w:sz="8" w:color="0000EE"/>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spacing w:after="0"/>
              <w:rPr>
                <w:sz w:val="21"/>
                <w:szCs w:val="21"/>
                <w:color w:val="auto"/>
              </w:rPr>
            </w:pPr>
          </w:p>
        </w:tc>
        <w:tc>
          <w:tcPr>
            <w:tcW w:w="9500" w:type="dxa"/>
            <w:vAlign w:val="bottom"/>
            <w:gridSpan w:val="16"/>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4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1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gridSpan w:val="4"/>
            <w:shd w:val="clear" w:color="auto" w:fill="CCEEFF"/>
          </w:tcPr>
          <w:p>
            <w:pPr>
              <w:ind w:lef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9500" w:type="dxa"/>
            <w:vAlign w:val="bottom"/>
            <w:gridSpan w:val="16"/>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c>
          <w:tcPr>
            <w:tcW w:w="1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40" w:type="dxa"/>
            <w:vAlign w:val="bottom"/>
            <w:gridSpan w:val="4"/>
            <w:shd w:val="clear" w:color="auto" w:fill="CCEEFF"/>
          </w:tcPr>
          <w:p>
            <w:pPr>
              <w:ind w:lef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500" w:type="dxa"/>
            <w:vAlign w:val="bottom"/>
            <w:gridSpan w:val="16"/>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9500" w:type="dxa"/>
            <w:vAlign w:val="bottom"/>
            <w:gridSpan w:val="16"/>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48</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 II.</w:t>
            </w:r>
          </w:p>
        </w:tc>
        <w:tc>
          <w:tcPr>
            <w:tcW w:w="950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500" w:type="dxa"/>
            <w:vAlign w:val="bottom"/>
            <w:gridSpan w:val="16"/>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9500" w:type="dxa"/>
            <w:vAlign w:val="bottom"/>
            <w:gridSpan w:val="16"/>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6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500" w:type="dxa"/>
            <w:vAlign w:val="bottom"/>
            <w:gridSpan w:val="16"/>
            <w:shd w:val="clear" w:color="auto" w:fill="CCEEFF"/>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50"/>
        </w:trPr>
        <w:tc>
          <w:tcPr>
            <w:tcW w:w="840" w:type="dxa"/>
            <w:vAlign w:val="bottom"/>
            <w:shd w:val="clear" w:color="auto" w:fill="CCEEFF"/>
          </w:tcPr>
          <w:p>
            <w:pPr>
              <w:spacing w:after="0"/>
              <w:rPr>
                <w:sz w:val="21"/>
                <w:szCs w:val="21"/>
                <w:color w:val="auto"/>
              </w:rPr>
            </w:pPr>
          </w:p>
        </w:tc>
        <w:tc>
          <w:tcPr>
            <w:tcW w:w="9500" w:type="dxa"/>
            <w:vAlign w:val="bottom"/>
            <w:gridSpan w:val="16"/>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70"/>
        </w:trPr>
        <w:tc>
          <w:tcPr>
            <w:tcW w:w="840" w:type="dxa"/>
            <w:vAlign w:val="bottom"/>
            <w:tcBorders>
              <w:top w:val="single" w:sz="8" w:color="CCEEFF"/>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0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7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3"/>
        </w:trPr>
        <w:tc>
          <w:tcPr>
            <w:tcW w:w="840" w:type="dxa"/>
            <w:vAlign w:val="bottom"/>
            <w:shd w:val="clear" w:color="auto" w:fill="CCEEFF"/>
          </w:tcPr>
          <w:p>
            <w:pPr>
              <w:spacing w:after="0"/>
              <w:rPr>
                <w:sz w:val="17"/>
                <w:szCs w:val="17"/>
                <w:color w:val="auto"/>
              </w:rPr>
            </w:pPr>
          </w:p>
        </w:tc>
        <w:tc>
          <w:tcPr>
            <w:tcW w:w="9500" w:type="dxa"/>
            <w:vAlign w:val="bottom"/>
            <w:gridSpan w:val="16"/>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Exhibit Index</w:t>
              </w:r>
            </w:hyperlink>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gridSpan w:val="4"/>
            <w:shd w:val="clear" w:color="auto" w:fill="CCEEFF"/>
          </w:tcPr>
          <w:p>
            <w:pPr>
              <w:jc w:val="center"/>
              <w:ind w:right="4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8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89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80"/>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w w:val="91"/>
              </w:rPr>
              <w:t>September 30,</w:t>
            </w:r>
          </w:p>
        </w:tc>
        <w:tc>
          <w:tcPr>
            <w:tcW w:w="260" w:type="dxa"/>
            <w:vAlign w:val="bottom"/>
          </w:tcPr>
          <w:p>
            <w:pPr>
              <w:spacing w:after="0"/>
              <w:rPr>
                <w:sz w:val="24"/>
                <w:szCs w:val="24"/>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r>
      <w:tr>
        <w:trPr>
          <w:trHeight w:val="230"/>
        </w:trPr>
        <w:tc>
          <w:tcPr>
            <w:tcW w:w="40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4"/>
        </w:trPr>
        <w:tc>
          <w:tcPr>
            <w:tcW w:w="400" w:type="dxa"/>
            <w:vAlign w:val="bottom"/>
            <w:tcBorders>
              <w:bottom w:val="single" w:sz="8" w:color="auto"/>
            </w:tcBorders>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56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4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27,531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76,812</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2,167</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79,944</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29,778</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7,694</w:t>
            </w:r>
          </w:p>
        </w:tc>
      </w:tr>
      <w:tr>
        <w:trPr>
          <w:trHeight w:val="27"/>
        </w:trPr>
        <w:tc>
          <w:tcPr>
            <w:tcW w:w="4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14,128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17,759</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8,573</w:t>
            </w:r>
          </w:p>
        </w:tc>
      </w:tr>
      <w:tr>
        <w:trPr>
          <w:trHeight w:val="27"/>
        </w:trPr>
        <w:tc>
          <w:tcPr>
            <w:tcW w:w="4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r>
      <w:tr>
        <w:trPr>
          <w:trHeight w:val="284"/>
        </w:trPr>
        <w:tc>
          <w:tcPr>
            <w:tcW w:w="83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141,529</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127,947</w:t>
            </w:r>
          </w:p>
        </w:tc>
      </w:tr>
      <w:tr>
        <w:trPr>
          <w:trHeight w:val="291"/>
        </w:trPr>
        <w:tc>
          <w:tcPr>
            <w:tcW w:w="400" w:type="dxa"/>
            <w:vAlign w:val="bottom"/>
            <w:shd w:val="clear" w:color="auto" w:fill="CCEEFF"/>
          </w:tcPr>
          <w:p>
            <w:pPr>
              <w:spacing w:after="0"/>
              <w:rPr>
                <w:sz w:val="24"/>
                <w:szCs w:val="24"/>
                <w:color w:val="auto"/>
              </w:rPr>
            </w:pPr>
          </w:p>
        </w:tc>
        <w:tc>
          <w:tcPr>
            <w:tcW w:w="7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Investments, including $2,889 and $2,654 carried at fair value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10,113</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10,679</w:t>
            </w:r>
          </w:p>
        </w:tc>
      </w:tr>
      <w:tr>
        <w:trPr>
          <w:trHeight w:val="27"/>
        </w:trPr>
        <w:tc>
          <w:tcPr>
            <w:tcW w:w="4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7"/>
        </w:trPr>
        <w:tc>
          <w:tcPr>
            <w:tcW w:w="400" w:type="dxa"/>
            <w:vAlign w:val="bottom"/>
            <w:shd w:val="clear" w:color="auto" w:fill="CCEEFF"/>
          </w:tcPr>
          <w:p>
            <w:pPr>
              <w:spacing w:after="0"/>
              <w:rPr>
                <w:sz w:val="24"/>
                <w:szCs w:val="24"/>
                <w:color w:val="auto"/>
              </w:rPr>
            </w:pPr>
          </w:p>
        </w:tc>
        <w:tc>
          <w:tcPr>
            <w:tcW w:w="7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Building held for sale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4,950</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667,741</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410,018</w:t>
            </w:r>
          </w:p>
        </w:tc>
      </w:tr>
      <w:tr>
        <w:trPr>
          <w:trHeight w:val="324"/>
        </w:trPr>
        <w:tc>
          <w:tcPr>
            <w:tcW w:w="4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458,401</w:t>
            </w:r>
          </w:p>
        </w:tc>
        <w:tc>
          <w:tcPr>
            <w:tcW w:w="2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66,993</w:t>
            </w:r>
          </w:p>
        </w:tc>
      </w:tr>
      <w:tr>
        <w:trPr>
          <w:trHeight w:val="27"/>
        </w:trPr>
        <w:tc>
          <w:tcPr>
            <w:tcW w:w="40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145,413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84"/>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Deferred charges and other assets, net</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5,478</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11,504</w:t>
            </w:r>
          </w:p>
        </w:tc>
      </w:tr>
      <w:tr>
        <w:trPr>
          <w:trHeight w:val="271"/>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Other assets, net</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609,292</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78,507</w:t>
            </w:r>
          </w:p>
        </w:tc>
      </w:tr>
      <w:tr>
        <w:trPr>
          <w:trHeight w:val="264"/>
        </w:trPr>
        <w:tc>
          <w:tcPr>
            <w:tcW w:w="83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1,433,625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627,151</w:t>
            </w:r>
          </w:p>
        </w:tc>
      </w:tr>
      <w:tr>
        <w:trPr>
          <w:trHeight w:val="20"/>
        </w:trPr>
        <w:tc>
          <w:tcPr>
            <w:tcW w:w="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512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BALANCE SHEETS </w:t>
      </w:r>
      <w:r>
        <w:rPr>
          <w:rFonts w:ascii="Arial" w:cs="Arial" w:eastAsia="Arial" w:hAnsi="Arial"/>
          <w:sz w:val="18"/>
          <w:szCs w:val="18"/>
          <w:b w:val="1"/>
          <w:bCs w:val="1"/>
          <w:i w:val="1"/>
          <w:i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3620" w:type="dxa"/>
            <w:vAlign w:val="bottom"/>
          </w:tcPr>
          <w:p>
            <w:pPr>
              <w:jc w:val="center"/>
              <w:ind w:left="1970"/>
              <w:spacing w:after="0"/>
              <w:rPr>
                <w:sz w:val="20"/>
                <w:szCs w:val="20"/>
                <w:color w:val="auto"/>
              </w:rPr>
            </w:pPr>
            <w:r>
              <w:rPr>
                <w:rFonts w:ascii="Arial" w:cs="Arial" w:eastAsia="Arial" w:hAnsi="Arial"/>
                <w:sz w:val="18"/>
                <w:szCs w:val="18"/>
                <w:color w:val="auto"/>
                <w:w w:val="88"/>
              </w:rPr>
              <w:t>September 30,</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December 31,</w:t>
            </w:r>
          </w:p>
        </w:tc>
      </w:tr>
      <w:tr>
        <w:trPr>
          <w:trHeight w:val="230"/>
        </w:trPr>
        <w:tc>
          <w:tcPr>
            <w:tcW w:w="6260" w:type="dxa"/>
            <w:vAlign w:val="bottom"/>
          </w:tcPr>
          <w:p>
            <w:pPr>
              <w:spacing w:after="0"/>
              <w:rPr>
                <w:sz w:val="20"/>
                <w:szCs w:val="20"/>
                <w:color w:val="auto"/>
              </w:rPr>
            </w:pPr>
          </w:p>
        </w:tc>
        <w:tc>
          <w:tcPr>
            <w:tcW w:w="362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4"/>
        </w:trPr>
        <w:tc>
          <w:tcPr>
            <w:tcW w:w="62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right="2720"/>
        <w:spacing w:after="0" w:line="313" w:lineRule="auto"/>
        <w:rPr>
          <w:sz w:val="20"/>
          <w:szCs w:val="20"/>
          <w:color w:val="auto"/>
        </w:rPr>
      </w:pPr>
      <w:r>
        <w:rPr>
          <w:rFonts w:ascii="Arial" w:cs="Arial" w:eastAsia="Arial" w:hAnsi="Arial"/>
          <w:sz w:val="18"/>
          <w:szCs w:val="18"/>
          <w:color w:val="auto"/>
        </w:rPr>
        <w:t>Current maturities of long-term debt, net of unamortized loan fees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Advanced billings and customer deposits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taxes payable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liabilities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 less current maturities, net of unamortized loan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lease payable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liabilities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stock</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Accumulated other comprehensive income (loss), net of taxes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25,972</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22,492</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34,974</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13,009</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21,979</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11,674</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6,817</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5,915</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14,189</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31,533</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7,639</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135,464</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60,729</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67"/>
        </w:trPr>
        <w:tc>
          <w:tcPr>
            <w:tcW w:w="4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783,595</w:t>
            </w:r>
          </w:p>
        </w:tc>
        <w:tc>
          <w:tcPr>
            <w:tcW w:w="5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177,169</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837"/>
        </w:trPr>
        <w:tc>
          <w:tcPr>
            <w:tcW w:w="44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146,966</w:t>
            </w:r>
          </w:p>
        </w:tc>
        <w:tc>
          <w:tcPr>
            <w:tcW w:w="5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74,868</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10,869</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8,142</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15,828</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7,266</w:t>
            </w:r>
          </w:p>
        </w:tc>
      </w:tr>
      <w:tr>
        <w:trPr>
          <w:trHeight w:val="270"/>
        </w:trPr>
        <w:tc>
          <w:tcPr>
            <w:tcW w:w="44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42,597</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9,039</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216,260</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99,315</w:t>
            </w:r>
          </w:p>
        </w:tc>
      </w:tr>
      <w:tr>
        <w:trPr>
          <w:trHeight w:val="34"/>
        </w:trPr>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8"/>
          <w:szCs w:val="18"/>
          <w:color w:val="auto"/>
        </w:rPr>
        <w:t>44,427</w:t>
      </w:r>
      <w:r>
        <w:rPr>
          <w:sz w:val="20"/>
          <w:szCs w:val="20"/>
          <w:color w:val="auto"/>
        </w:rPr>
        <w:tab/>
      </w:r>
      <w:r>
        <w:rPr>
          <w:rFonts w:ascii="Arial" w:cs="Arial" w:eastAsia="Arial" w:hAnsi="Arial"/>
          <w:sz w:val="18"/>
          <w:szCs w:val="18"/>
          <w:color w:val="auto"/>
        </w:rPr>
        <w:t>32,776</w:t>
      </w:r>
    </w:p>
    <w:p>
      <w:pPr>
        <w:spacing w:after="0" w:line="63" w:lineRule="exact"/>
        <w:rPr>
          <w:sz w:val="20"/>
          <w:szCs w:val="20"/>
          <w:color w:val="auto"/>
        </w:rPr>
      </w:pPr>
    </w:p>
    <w:p>
      <w:pPr>
        <w:ind w:left="780"/>
        <w:spacing w:after="0"/>
        <w:tabs>
          <w:tab w:leader="none" w:pos="2340" w:val="left"/>
        </w:tabs>
        <w:rPr>
          <w:sz w:val="20"/>
          <w:szCs w:val="20"/>
          <w:color w:val="auto"/>
        </w:rPr>
      </w:pPr>
      <w:r>
        <w:rPr>
          <w:rFonts w:ascii="Arial" w:cs="Arial" w:eastAsia="Arial" w:hAnsi="Arial"/>
          <w:sz w:val="18"/>
          <w:szCs w:val="18"/>
          <w:color w:val="auto"/>
        </w:rPr>
        <w:t>256,037</w:t>
      </w:r>
      <w:r>
        <w:rPr>
          <w:sz w:val="20"/>
          <w:szCs w:val="20"/>
          <w:color w:val="auto"/>
        </w:rPr>
        <w:tab/>
      </w:r>
      <w:r>
        <w:rPr>
          <w:rFonts w:ascii="Arial" w:cs="Arial" w:eastAsia="Arial" w:hAnsi="Arial"/>
          <w:sz w:val="18"/>
          <w:szCs w:val="18"/>
          <w:color w:val="auto"/>
        </w:rPr>
        <w:t>256,747</w:t>
      </w:r>
    </w:p>
    <w:p>
      <w:pPr>
        <w:spacing w:after="0" w:line="63" w:lineRule="exact"/>
        <w:rPr>
          <w:sz w:val="20"/>
          <w:szCs w:val="20"/>
          <w:color w:val="auto"/>
        </w:rPr>
      </w:pPr>
    </w:p>
    <w:p>
      <w:pPr>
        <w:ind w:left="900"/>
        <w:spacing w:after="0"/>
        <w:tabs>
          <w:tab w:leader="none" w:pos="2660" w:val="left"/>
        </w:tabs>
        <w:rPr>
          <w:sz w:val="20"/>
          <w:szCs w:val="20"/>
          <w:color w:val="auto"/>
        </w:rPr>
      </w:pPr>
      <w:r>
        <w:rPr>
          <w:rFonts w:ascii="Arial" w:cs="Arial" w:eastAsia="Arial" w:hAnsi="Arial"/>
          <w:sz w:val="18"/>
          <w:szCs w:val="18"/>
          <w:color w:val="auto"/>
        </w:rPr>
        <w:t>(2,158)</w:t>
      </w:r>
      <w:r>
        <w:rPr>
          <w:sz w:val="20"/>
          <w:szCs w:val="20"/>
          <w:color w:val="auto"/>
        </w:rPr>
        <w:tab/>
      </w:r>
      <w:r>
        <w:rPr>
          <w:rFonts w:ascii="Arial" w:cs="Arial" w:eastAsia="Arial" w:hAnsi="Arial"/>
          <w:sz w:val="18"/>
          <w:szCs w:val="18"/>
          <w:color w:val="auto"/>
        </w:rPr>
        <w:t>415</w:t>
      </w:r>
    </w:p>
    <w:p>
      <w:pPr>
        <w:spacing w:after="0" w:line="90" w:lineRule="exact"/>
        <w:rPr>
          <w:sz w:val="20"/>
          <w:szCs w:val="20"/>
          <w:color w:val="auto"/>
        </w:rPr>
      </w:pPr>
    </w:p>
    <w:p>
      <w:pPr>
        <w:ind w:left="780"/>
        <w:spacing w:after="0"/>
        <w:tabs>
          <w:tab w:leader="none" w:pos="2340" w:val="left"/>
        </w:tabs>
        <w:rPr>
          <w:sz w:val="20"/>
          <w:szCs w:val="20"/>
          <w:color w:val="auto"/>
        </w:rPr>
      </w:pPr>
      <w:r>
        <w:rPr>
          <w:rFonts w:ascii="Arial" w:cs="Arial" w:eastAsia="Arial" w:hAnsi="Arial"/>
          <w:sz w:val="18"/>
          <w:szCs w:val="18"/>
          <w:color w:val="auto"/>
        </w:rPr>
        <w:t>298,306</w:t>
      </w:r>
      <w:r>
        <w:rPr>
          <w:sz w:val="20"/>
          <w:szCs w:val="20"/>
          <w:color w:val="auto"/>
        </w:rPr>
        <w:tab/>
      </w:r>
      <w:r>
        <w:rPr>
          <w:rFonts w:ascii="Arial" w:cs="Arial" w:eastAsia="Arial" w:hAnsi="Arial"/>
          <w:sz w:val="18"/>
          <w:szCs w:val="18"/>
          <w:color w:val="auto"/>
        </w:rPr>
        <w:t>289,938</w:t>
      </w:r>
    </w:p>
    <w:p>
      <w:pPr>
        <w:spacing w:after="0" w:line="209" w:lineRule="exact"/>
        <w:rPr>
          <w:sz w:val="20"/>
          <w:szCs w:val="20"/>
          <w:color w:val="auto"/>
        </w:rPr>
      </w:pPr>
    </w:p>
    <w:p>
      <w:pPr>
        <w:sectPr>
          <w:pgSz w:w="11900" w:h="16838" w:orient="portrait"/>
          <w:cols w:equalWidth="0" w:num="2">
            <w:col w:w="7640" w:space="720"/>
            <w:col w:w="3060"/>
          </w:cols>
          <w:pgMar w:left="240" w:top="125" w:right="239" w:bottom="1440" w:gutter="0" w:footer="0" w:header="0"/>
          <w:type w:val="continuous"/>
        </w:sectPr>
      </w:pPr>
    </w:p>
    <w:p>
      <w:pPr>
        <w:spacing w:after="0" w:line="205" w:lineRule="exact"/>
        <w:rPr>
          <w:sz w:val="20"/>
          <w:szCs w:val="20"/>
          <w:color w:val="auto"/>
        </w:rPr>
      </w:pPr>
    </w:p>
    <w:p>
      <w:pPr>
        <w:ind w:left="380"/>
        <w:spacing w:after="0"/>
        <w:tabs>
          <w:tab w:leader="none" w:pos="8360" w:val="left"/>
          <w:tab w:leader="none" w:pos="9000" w:val="left"/>
          <w:tab w:leader="none" w:pos="9960" w:val="left"/>
          <w:tab w:leader="none" w:pos="10700" w:val="left"/>
        </w:tabs>
        <w:rPr>
          <w:sz w:val="20"/>
          <w:szCs w:val="20"/>
          <w:color w:val="auto"/>
        </w:rPr>
      </w:pPr>
      <w:r>
        <w:rPr>
          <w:rFonts w:ascii="Arial" w:cs="Arial" w:eastAsia="Arial" w:hAnsi="Arial"/>
          <w:sz w:val="18"/>
          <w:szCs w:val="18"/>
          <w:b w:val="1"/>
          <w:bCs w:val="1"/>
          <w:color w:val="auto"/>
        </w:rPr>
        <w:t>Total liabilities and shareholders’ equity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1,433,625</w:t>
        <w:tab/>
        <w:t>$</w:t>
      </w:r>
      <w:r>
        <w:rPr>
          <w:sz w:val="20"/>
          <w:szCs w:val="20"/>
          <w:color w:val="auto"/>
        </w:rPr>
        <w:tab/>
      </w:r>
      <w:r>
        <w:rPr>
          <w:rFonts w:ascii="Arial" w:cs="Arial" w:eastAsia="Arial" w:hAnsi="Arial"/>
          <w:sz w:val="16"/>
          <w:szCs w:val="16"/>
          <w:color w:val="auto"/>
        </w:rPr>
        <w:t>627,151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31750</wp:posOffset>
            </wp:positionV>
            <wp:extent cx="1946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691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48895</wp:posOffset>
            </wp:positionV>
            <wp:extent cx="19469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INCOME(LOSS)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8"/>
                <w:szCs w:val="18"/>
                <w:color w:val="auto"/>
              </w:rPr>
            </w:pPr>
          </w:p>
        </w:tc>
        <w:tc>
          <w:tcPr>
            <w:tcW w:w="2340" w:type="dxa"/>
            <w:vAlign w:val="bottom"/>
            <w:gridSpan w:val="3"/>
          </w:tcPr>
          <w:p>
            <w:pPr>
              <w:jc w:val="right"/>
              <w:ind w:right="490"/>
              <w:spacing w:after="0"/>
              <w:rPr>
                <w:sz w:val="20"/>
                <w:szCs w:val="20"/>
                <w:color w:val="auto"/>
              </w:rPr>
            </w:pPr>
            <w:r>
              <w:rPr>
                <w:rFonts w:ascii="Arial" w:cs="Arial" w:eastAsia="Arial" w:hAnsi="Arial"/>
                <w:sz w:val="18"/>
                <w:szCs w:val="18"/>
                <w:color w:val="auto"/>
              </w:rPr>
              <w:t>Nine Months Ended</w:t>
            </w:r>
          </w:p>
        </w:tc>
      </w:tr>
      <w:tr>
        <w:trPr>
          <w:trHeight w:val="230"/>
        </w:trPr>
        <w:tc>
          <w:tcPr>
            <w:tcW w:w="4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3"/>
          </w:tcPr>
          <w:p>
            <w:pPr>
              <w:jc w:val="right"/>
              <w:ind w:right="690"/>
              <w:spacing w:after="0"/>
              <w:rPr>
                <w:sz w:val="20"/>
                <w:szCs w:val="20"/>
                <w:color w:val="auto"/>
              </w:rPr>
            </w:pPr>
            <w:r>
              <w:rPr>
                <w:rFonts w:ascii="Arial" w:cs="Arial" w:eastAsia="Arial" w:hAnsi="Arial"/>
                <w:sz w:val="18"/>
                <w:szCs w:val="18"/>
                <w:color w:val="auto"/>
              </w:rPr>
              <w:t>September 30,</w:t>
            </w:r>
          </w:p>
        </w:tc>
      </w:tr>
      <w:tr>
        <w:trPr>
          <w:trHeight w:val="34"/>
        </w:trPr>
        <w:tc>
          <w:tcPr>
            <w:tcW w:w="4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4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7"/>
        </w:trPr>
        <w:tc>
          <w:tcPr>
            <w:tcW w:w="4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156,836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85,212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379,716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255,202</w:t>
            </w:r>
          </w:p>
        </w:tc>
      </w:tr>
      <w:tr>
        <w:trPr>
          <w:trHeight w:val="297"/>
        </w:trPr>
        <w:tc>
          <w:tcPr>
            <w:tcW w:w="434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4340" w:type="dxa"/>
            <w:vAlign w:val="bottom"/>
          </w:tcPr>
          <w:p>
            <w:pPr>
              <w:ind w:left="180"/>
              <w:spacing w:after="0"/>
              <w:rPr>
                <w:sz w:val="20"/>
                <w:szCs w:val="20"/>
                <w:color w:val="auto"/>
              </w:rPr>
            </w:pPr>
            <w:r>
              <w:rPr>
                <w:rFonts w:ascii="Arial" w:cs="Arial" w:eastAsia="Arial" w:hAnsi="Arial"/>
                <w:sz w:val="18"/>
                <w:szCs w:val="18"/>
                <w:color w:val="auto"/>
                <w:w w:val="90"/>
              </w:rPr>
              <w:t>Cost of goods and services, exclusive of depreciation and</w:t>
            </w: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amortization shown</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34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58,317</w:t>
            </w:r>
          </w:p>
        </w:tc>
        <w:tc>
          <w:tcPr>
            <w:tcW w:w="3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30,570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140,354</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91,541</w:t>
            </w:r>
          </w:p>
        </w:tc>
      </w:tr>
      <w:tr>
        <w:trPr>
          <w:trHeight w:val="27"/>
        </w:trPr>
        <w:tc>
          <w:tcPr>
            <w:tcW w:w="6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6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Selling, general and administrative, exclusive of depreciation and amortization</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shown separately below</w:t>
            </w:r>
          </w:p>
        </w:tc>
        <w:tc>
          <w:tcPr>
            <w:tcW w:w="17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40,369</w:t>
            </w: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96,263</w:t>
            </w: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55,024</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Integration and acquisition expenses</w:t>
            </w:r>
          </w:p>
        </w:tc>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15,272</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35,801</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3,153</w:t>
            </w:r>
          </w:p>
        </w:tc>
      </w:tr>
      <w:tr>
        <w:trPr>
          <w:trHeight w:val="27"/>
        </w:trPr>
        <w:tc>
          <w:tcPr>
            <w:tcW w:w="4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46,807</w:t>
            </w:r>
          </w:p>
        </w:tc>
        <w:tc>
          <w:tcPr>
            <w:tcW w:w="3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19,118</w:t>
            </w:r>
          </w:p>
        </w:tc>
        <w:tc>
          <w:tcPr>
            <w:tcW w:w="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96,961</w:t>
            </w:r>
          </w:p>
        </w:tc>
        <w:tc>
          <w:tcPr>
            <w:tcW w:w="3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53,119</w:t>
            </w:r>
          </w:p>
        </w:tc>
      </w:tr>
      <w:tr>
        <w:trPr>
          <w:trHeight w:val="284"/>
        </w:trPr>
        <w:tc>
          <w:tcPr>
            <w:tcW w:w="4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17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160,765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70,123</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369,379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202,837</w:t>
            </w:r>
          </w:p>
        </w:tc>
      </w:tr>
      <w:tr>
        <w:trPr>
          <w:trHeight w:val="271"/>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income (loss)</w:t>
            </w:r>
          </w:p>
        </w:tc>
        <w:tc>
          <w:tcPr>
            <w:tcW w:w="1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(3,929)</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15,089</w:t>
            </w: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10,337</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52,365</w:t>
            </w:r>
          </w:p>
        </w:tc>
      </w:tr>
      <w:tr>
        <w:trPr>
          <w:trHeight w:val="297"/>
        </w:trPr>
        <w:tc>
          <w:tcPr>
            <w:tcW w:w="4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(8,845)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(16,369)</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(5,663)</w:t>
            </w:r>
          </w:p>
        </w:tc>
      </w:tr>
      <w:tr>
        <w:trPr>
          <w:trHeight w:val="27"/>
        </w:trPr>
        <w:tc>
          <w:tcPr>
            <w:tcW w:w="4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investments, net</w:t>
            </w:r>
          </w:p>
        </w:tc>
        <w:tc>
          <w:tcPr>
            <w:tcW w:w="1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84"/>
        </w:trPr>
        <w:tc>
          <w:tcPr>
            <w:tcW w:w="4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Non-operating income, net</w:t>
            </w:r>
          </w:p>
        </w:tc>
        <w:tc>
          <w:tcPr>
            <w:tcW w:w="17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1,400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2,910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1,265</w:t>
            </w:r>
          </w:p>
        </w:tc>
      </w:tr>
      <w:tr>
        <w:trPr>
          <w:trHeight w:val="244"/>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Income (loss) before income taxes</w:t>
            </w:r>
          </w:p>
        </w:tc>
        <w:tc>
          <w:tcPr>
            <w:tcW w:w="1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47,955</w:t>
            </w:r>
          </w:p>
        </w:tc>
      </w:tr>
      <w:tr>
        <w:trPr>
          <w:trHeight w:val="297"/>
        </w:trPr>
        <w:tc>
          <w:tcPr>
            <w:tcW w:w="4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(3,651)</w:t>
            </w:r>
          </w:p>
        </w:tc>
        <w:tc>
          <w:tcPr>
            <w:tcW w:w="3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5,465</w:t>
            </w:r>
          </w:p>
        </w:tc>
        <w:tc>
          <w:tcPr>
            <w:tcW w:w="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c>
          <w:tcPr>
            <w:tcW w:w="3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19,199</w:t>
            </w:r>
          </w:p>
        </w:tc>
      </w:tr>
      <w:tr>
        <w:trPr>
          <w:trHeight w:val="237"/>
        </w:trPr>
        <w:tc>
          <w:tcPr>
            <w:tcW w:w="4340" w:type="dxa"/>
            <w:vAlign w:val="bottom"/>
          </w:tcPr>
          <w:p>
            <w:pPr>
              <w:ind w:left="500"/>
              <w:spacing w:after="0"/>
              <w:rPr>
                <w:sz w:val="20"/>
                <w:szCs w:val="20"/>
                <w:color w:val="auto"/>
              </w:rPr>
            </w:pPr>
            <w:r>
              <w:rPr>
                <w:rFonts w:ascii="Arial" w:cs="Arial" w:eastAsia="Arial" w:hAnsi="Arial"/>
                <w:sz w:val="18"/>
                <w:szCs w:val="18"/>
                <w:b w:val="1"/>
                <w:bCs w:val="1"/>
                <w:color w:val="auto"/>
              </w:rPr>
              <w:t>Net income (loss)</w:t>
            </w: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(7,596)</w:t>
            </w:r>
          </w:p>
        </w:tc>
        <w:tc>
          <w:tcPr>
            <w:tcW w:w="3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7,996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(711)</w:t>
            </w:r>
          </w:p>
        </w:tc>
        <w:tc>
          <w:tcPr>
            <w:tcW w:w="3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28,756</w:t>
            </w:r>
          </w:p>
        </w:tc>
      </w:tr>
      <w:tr>
        <w:trPr>
          <w:trHeight w:val="27"/>
        </w:trPr>
        <w:tc>
          <w:tcPr>
            <w:tcW w:w="4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43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Unrealized gain (loss) on interest rate hedge, net of tax</w:t>
            </w:r>
          </w:p>
        </w:tc>
        <w:tc>
          <w:tcPr>
            <w:tcW w:w="17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1,712</w:t>
            </w:r>
          </w:p>
        </w:tc>
        <w:tc>
          <w:tcPr>
            <w:tcW w:w="3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(2,573)</w:t>
            </w:r>
          </w:p>
        </w:tc>
        <w:tc>
          <w:tcPr>
            <w:tcW w:w="3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r>
      <w:tr>
        <w:trPr>
          <w:trHeight w:val="304"/>
        </w:trPr>
        <w:tc>
          <w:tcPr>
            <w:tcW w:w="4340" w:type="dxa"/>
            <w:vAlign w:val="bottom"/>
          </w:tcPr>
          <w:p>
            <w:pPr>
              <w:ind w:left="500"/>
              <w:spacing w:after="0"/>
              <w:rPr>
                <w:sz w:val="20"/>
                <w:szCs w:val="20"/>
                <w:color w:val="auto"/>
              </w:rPr>
            </w:pPr>
            <w:r>
              <w:rPr>
                <w:rFonts w:ascii="Arial" w:cs="Arial" w:eastAsia="Arial" w:hAnsi="Arial"/>
                <w:sz w:val="18"/>
                <w:szCs w:val="18"/>
                <w:b w:val="1"/>
                <w:bCs w:val="1"/>
                <w:color w:val="auto"/>
              </w:rPr>
              <w:t>Comprehensive income (loss)</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(5,884)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(3,284)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27,196</w:t>
            </w:r>
          </w:p>
        </w:tc>
      </w:tr>
      <w:tr>
        <w:trPr>
          <w:trHeight w:val="284"/>
        </w:trPr>
        <w:tc>
          <w:tcPr>
            <w:tcW w:w="4340" w:type="dxa"/>
            <w:vAlign w:val="bottom"/>
            <w:tcBorders>
              <w:top w:val="single" w:sz="8" w:color="CCEEFF"/>
            </w:tcBorders>
            <w:shd w:val="clear" w:color="auto" w:fill="CCEEFF"/>
          </w:tcPr>
          <w:p>
            <w:pPr>
              <w:spacing w:after="0"/>
              <w:rPr>
                <w:sz w:val="24"/>
                <w:szCs w:val="24"/>
                <w:color w:val="auto"/>
              </w:rPr>
            </w:pPr>
          </w:p>
        </w:tc>
        <w:tc>
          <w:tcPr>
            <w:tcW w:w="174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0.59</w:t>
            </w: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0.59</w:t>
            </w:r>
          </w:p>
        </w:tc>
      </w:tr>
      <w:tr>
        <w:trPr>
          <w:trHeight w:val="27"/>
        </w:trPr>
        <w:tc>
          <w:tcPr>
            <w:tcW w:w="4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shares outstanding, basic</w:t>
            </w:r>
          </w:p>
        </w:tc>
        <w:tc>
          <w:tcPr>
            <w:tcW w:w="1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48,909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48,768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48,364</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Weighted average shares outstanding, diluted</w:t>
            </w:r>
          </w:p>
        </w:tc>
        <w:tc>
          <w:tcPr>
            <w:tcW w:w="1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48,909</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49,071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48,768</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48,967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right="376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 except per share amounts)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95"/>
              </w:rPr>
              <w:t>Accumulated</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89"/>
              </w:rPr>
              <w:t>Other</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89"/>
              </w:rPr>
              <w:t>Comprehensive</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color w:val="auto"/>
              </w:rPr>
              <w:t>Common</w:t>
            </w:r>
          </w:p>
        </w:tc>
        <w:tc>
          <w:tcPr>
            <w:tcW w:w="280" w:type="dxa"/>
            <w:vAlign w:val="bottom"/>
          </w:tcPr>
          <w:p>
            <w:pPr>
              <w:spacing w:after="0"/>
              <w:rPr>
                <w:sz w:val="17"/>
                <w:szCs w:val="17"/>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color w:val="auto"/>
              </w:rPr>
              <w:t>Retained</w:t>
            </w: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94"/>
              </w:rPr>
              <w:t>Income (Loss),</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4700" w:type="dxa"/>
            <w:vAlign w:val="bottom"/>
          </w:tcPr>
          <w:p>
            <w:pPr>
              <w:spacing w:after="0"/>
              <w:rPr>
                <w:sz w:val="17"/>
                <w:szCs w:val="17"/>
                <w:color w:val="auto"/>
              </w:rPr>
            </w:pPr>
          </w:p>
        </w:tc>
        <w:tc>
          <w:tcPr>
            <w:tcW w:w="1080" w:type="dxa"/>
            <w:vAlign w:val="bottom"/>
          </w:tcPr>
          <w:p>
            <w:pPr>
              <w:jc w:val="right"/>
              <w:ind w:right="250"/>
              <w:spacing w:after="0"/>
              <w:rPr>
                <w:sz w:val="20"/>
                <w:szCs w:val="20"/>
                <w:color w:val="auto"/>
              </w:rPr>
            </w:pPr>
            <w:r>
              <w:rPr>
                <w:rFonts w:ascii="Arial" w:cs="Arial" w:eastAsia="Arial" w:hAnsi="Arial"/>
                <w:sz w:val="16"/>
                <w:szCs w:val="16"/>
                <w:color w:val="auto"/>
              </w:rPr>
              <w:t>Shares</w:t>
            </w:r>
          </w:p>
        </w:tc>
        <w:tc>
          <w:tcPr>
            <w:tcW w:w="300" w:type="dxa"/>
            <w:vAlign w:val="bottom"/>
          </w:tcPr>
          <w:p>
            <w:pPr>
              <w:spacing w:after="0"/>
              <w:rPr>
                <w:sz w:val="17"/>
                <w:szCs w:val="17"/>
                <w:color w:val="auto"/>
              </w:rPr>
            </w:pPr>
          </w:p>
        </w:tc>
        <w:tc>
          <w:tcPr>
            <w:tcW w:w="1080" w:type="dxa"/>
            <w:vAlign w:val="bottom"/>
          </w:tcPr>
          <w:p>
            <w:pPr>
              <w:jc w:val="right"/>
              <w:ind w:right="411"/>
              <w:spacing w:after="0"/>
              <w:rPr>
                <w:sz w:val="20"/>
                <w:szCs w:val="20"/>
                <w:color w:val="auto"/>
              </w:rPr>
            </w:pPr>
            <w:r>
              <w:rPr>
                <w:rFonts w:ascii="Arial" w:cs="Arial" w:eastAsia="Arial" w:hAnsi="Arial"/>
                <w:sz w:val="16"/>
                <w:szCs w:val="16"/>
                <w:color w:val="auto"/>
              </w:rPr>
              <w:t>Stock</w:t>
            </w:r>
          </w:p>
        </w:tc>
        <w:tc>
          <w:tcPr>
            <w:tcW w:w="280" w:type="dxa"/>
            <w:vAlign w:val="bottom"/>
          </w:tcPr>
          <w:p>
            <w:pPr>
              <w:spacing w:after="0"/>
              <w:rPr>
                <w:sz w:val="17"/>
                <w:szCs w:val="17"/>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color w:val="auto"/>
              </w:rPr>
              <w:t>Earnings</w:t>
            </w:r>
          </w:p>
        </w:tc>
        <w:tc>
          <w:tcPr>
            <w:tcW w:w="240" w:type="dxa"/>
            <w:vAlign w:val="bottom"/>
          </w:tcPr>
          <w:p>
            <w:pPr>
              <w:spacing w:after="0"/>
              <w:rPr>
                <w:sz w:val="17"/>
                <w:szCs w:val="17"/>
                <w:color w:val="auto"/>
              </w:rPr>
            </w:pPr>
          </w:p>
        </w:tc>
        <w:tc>
          <w:tcPr>
            <w:tcW w:w="1340" w:type="dxa"/>
            <w:vAlign w:val="bottom"/>
          </w:tcPr>
          <w:p>
            <w:pPr>
              <w:jc w:val="center"/>
              <w:ind w:right="132"/>
              <w:spacing w:after="0"/>
              <w:rPr>
                <w:sz w:val="20"/>
                <w:szCs w:val="20"/>
                <w:color w:val="auto"/>
              </w:rPr>
            </w:pPr>
            <w:r>
              <w:rPr>
                <w:rFonts w:ascii="Arial" w:cs="Arial" w:eastAsia="Arial" w:hAnsi="Arial"/>
                <w:sz w:val="16"/>
                <w:szCs w:val="16"/>
                <w:color w:val="auto"/>
                <w:w w:val="91"/>
              </w:rPr>
              <w:t>net of tax</w:t>
            </w:r>
          </w:p>
        </w:tc>
        <w:tc>
          <w:tcPr>
            <w:tcW w:w="360" w:type="dxa"/>
            <w:vAlign w:val="bottom"/>
          </w:tcPr>
          <w:p>
            <w:pPr>
              <w:spacing w:after="0"/>
              <w:rPr>
                <w:sz w:val="17"/>
                <w:szCs w:val="17"/>
                <w:color w:val="auto"/>
              </w:rPr>
            </w:pPr>
          </w:p>
        </w:tc>
        <w:tc>
          <w:tcPr>
            <w:tcW w:w="960" w:type="dxa"/>
            <w:vAlign w:val="bottom"/>
          </w:tcPr>
          <w:p>
            <w:pPr>
              <w:jc w:val="right"/>
              <w:ind w:right="370"/>
              <w:spacing w:after="0"/>
              <w:rPr>
                <w:sz w:val="20"/>
                <w:szCs w:val="20"/>
                <w:color w:val="auto"/>
              </w:rPr>
            </w:pPr>
            <w:r>
              <w:rPr>
                <w:rFonts w:ascii="Arial" w:cs="Arial" w:eastAsia="Arial" w:hAnsi="Arial"/>
                <w:sz w:val="16"/>
                <w:szCs w:val="16"/>
                <w:color w:val="auto"/>
              </w:rPr>
              <w:t>Total</w:t>
            </w:r>
          </w:p>
        </w:tc>
      </w:tr>
      <w:tr>
        <w:trPr>
          <w:trHeight w:val="40"/>
        </w:trPr>
        <w:tc>
          <w:tcPr>
            <w:tcW w:w="47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48,265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29,712</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227,512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258,346</w:t>
            </w:r>
          </w:p>
        </w:tc>
      </w:tr>
      <w:tr>
        <w:trPr>
          <w:trHeight w:val="324"/>
        </w:trPr>
        <w:tc>
          <w:tcPr>
            <w:tcW w:w="4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40,864</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40,864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(707)</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($0.24 per share)</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(11,629)</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Dividends reinvested in common stock</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544</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2,719</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issued through exercise of incentive stock</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options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996</w:t>
            </w:r>
          </w:p>
        </w:tc>
        <w:tc>
          <w:tcPr>
            <w:tcW w:w="28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996</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 for share awards</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issued</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(1,885)</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excess tax benefit from stock options exercised</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679</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679</w:t>
            </w:r>
          </w:p>
        </w:tc>
      </w:tr>
      <w:tr>
        <w:trPr>
          <w:trHeight w:val="34"/>
        </w:trPr>
        <w:tc>
          <w:tcPr>
            <w:tcW w:w="4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48,475</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32,776</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256,747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415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289,938</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(2,573)</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2,980</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2,980</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exercised</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3,362</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Common stock issued for share awards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Common stock issued to acquire non-controlling interests of</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nTelos</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10,400</w:t>
            </w:r>
          </w:p>
        </w:tc>
        <w:tc>
          <w:tcPr>
            <w:tcW w:w="280" w:type="dxa"/>
            <w:vAlign w:val="bottom"/>
          </w:tcPr>
          <w:p>
            <w:pPr>
              <w:spacing w:after="0"/>
              <w:rPr>
                <w:sz w:val="20"/>
                <w:szCs w:val="20"/>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10,400</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repurchased</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(5,097)</w:t>
            </w: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(5,097)</w:t>
            </w:r>
          </w:p>
        </w:tc>
      </w:tr>
      <w:tr>
        <w:trPr>
          <w:trHeight w:val="243"/>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September 30, 2016</w:t>
            </w: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48,915</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44,427</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256,037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(2,158)</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298,306</w:t>
            </w:r>
          </w:p>
        </w:tc>
      </w:tr>
      <w:tr>
        <w:trPr>
          <w:trHeight w:val="27"/>
        </w:trPr>
        <w:tc>
          <w:tcPr>
            <w:tcW w:w="4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488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STATEMENTS OF CASH FLOWS </w:t>
      </w:r>
      <w:r>
        <w:rPr>
          <w:rFonts w:ascii="Arial" w:cs="Arial" w:eastAsia="Arial" w:hAnsi="Arial"/>
          <w:sz w:val="18"/>
          <w:szCs w:val="18"/>
          <w:i w:val="1"/>
          <w:iCs w:val="1"/>
          <w:color w:val="auto"/>
        </w:rPr>
        <w:t>(in thousands)</w:t>
      </w:r>
    </w:p>
    <w:p>
      <w:pPr>
        <w:spacing w:after="0" w:line="342"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September 30,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r>
      <w:tr>
        <w:trPr>
          <w:trHeight w:val="34"/>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28,756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84,256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51,985</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Amortization reflected as operating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12,705</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reflected as contra revenue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8,883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Provision for bad debt</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1,278</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Straight line adjustment to management fee revenue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7,687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Stock based compensation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2,570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Excess tax benefits on stock awards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(57,196)</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(7,463)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(gain) loss on disposal of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Unrealized (gain) loss on investments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Realized loss on disposal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gains from patronage and equity investments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long term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1,634</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(Increase) decrease in:</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7,903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r>
      <w:tr>
        <w:trPr>
          <w:trHeight w:val="243"/>
        </w:trPr>
        <w:tc>
          <w:tcPr>
            <w:tcW w:w="8800" w:type="dxa"/>
            <w:vAlign w:val="bottom"/>
          </w:tcPr>
          <w:p>
            <w:pPr>
              <w:ind w:left="820"/>
              <w:spacing w:after="0"/>
              <w:rPr>
                <w:sz w:val="20"/>
                <w:szCs w:val="20"/>
                <w:color w:val="auto"/>
              </w:rPr>
            </w:pPr>
            <w:r>
              <w:rPr>
                <w:rFonts w:ascii="Arial" w:cs="Arial" w:eastAsia="Arial" w:hAnsi="Arial"/>
                <w:sz w:val="18"/>
                <w:szCs w:val="18"/>
                <w:color w:val="auto"/>
              </w:rPr>
              <w:t>Inventory, net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(6,134)</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Income taxes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8,294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14,752</w:t>
            </w:r>
          </w:p>
        </w:tc>
      </w:tr>
      <w:tr>
        <w:trPr>
          <w:trHeight w:val="243"/>
        </w:trPr>
        <w:tc>
          <w:tcPr>
            <w:tcW w:w="8800" w:type="dxa"/>
            <w:vAlign w:val="bottom"/>
          </w:tcPr>
          <w:p>
            <w:pPr>
              <w:ind w:left="8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2,619</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8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3,551</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(4,174)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16,225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1,675</w:t>
            </w:r>
          </w:p>
        </w:tc>
      </w:tr>
      <w:tr>
        <w:trPr>
          <w:trHeight w:val="243"/>
        </w:trPr>
        <w:tc>
          <w:tcPr>
            <w:tcW w:w="8800" w:type="dxa"/>
            <w:vAlign w:val="bottom"/>
          </w:tcPr>
          <w:p>
            <w:pPr>
              <w:ind w:left="820"/>
              <w:spacing w:after="0"/>
              <w:rPr>
                <w:sz w:val="20"/>
                <w:szCs w:val="20"/>
                <w:color w:val="auto"/>
              </w:rPr>
            </w:pPr>
            <w:r>
              <w:rPr>
                <w:rFonts w:ascii="Arial" w:cs="Arial" w:eastAsia="Arial" w:hAnsi="Arial"/>
                <w:sz w:val="18"/>
                <w:szCs w:val="18"/>
                <w:color w:val="auto"/>
              </w:rPr>
              <w:t>Deferred lease payable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2,728</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Other deferrals and accruals</w:t>
            </w: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7,767</w:t>
            </w:r>
          </w:p>
        </w:tc>
        <w:tc>
          <w:tcPr>
            <w:tcW w:w="3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84"/>
        </w:trPr>
        <w:tc>
          <w:tcPr>
            <w:tcW w:w="8800" w:type="dxa"/>
            <w:vAlign w:val="bottom"/>
            <w:tcBorders>
              <w:bottom w:val="single" w:sz="8" w:color="CCEEFF"/>
            </w:tcBorders>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105,846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83,123</w:t>
            </w:r>
          </w:p>
        </w:tc>
      </w:tr>
      <w:tr>
        <w:trPr>
          <w:trHeight w:val="291"/>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(102,850)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(39,644)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Proceeds from sale of equipment</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287</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distributions from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2,796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8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disbursed for acquisition, net of cash acquired</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(665,990)</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(765,757)</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right="4880"/>
        <w:spacing w:after="0" w:line="266" w:lineRule="auto"/>
        <w:rPr>
          <w:sz w:val="20"/>
          <w:szCs w:val="20"/>
          <w:color w:val="auto"/>
        </w:rPr>
      </w:pPr>
      <w:r>
        <w:rPr>
          <w:rFonts w:ascii="Arial" w:cs="Arial" w:eastAsia="Arial" w:hAnsi="Arial"/>
          <w:sz w:val="18"/>
          <w:szCs w:val="18"/>
          <w:b w:val="1"/>
          <w:bCs w:val="1"/>
          <w:color w:val="auto"/>
        </w:rPr>
        <w:t xml:space="preserve">SHENANDOAH TELECOMMUNICATIONS COMPANY AND SUBSIDIARIES UNAUDITED CONDENSED CONSOLIDATED STATEMENTS OF CASH FLOWS </w:t>
      </w:r>
      <w:r>
        <w:rPr>
          <w:rFonts w:ascii="Arial" w:cs="Arial" w:eastAsia="Arial" w:hAnsi="Arial"/>
          <w:sz w:val="18"/>
          <w:szCs w:val="18"/>
          <w:i w:val="1"/>
          <w:iCs w:val="1"/>
          <w:color w:val="auto"/>
        </w:rPr>
        <w:t>(in thousands)</w:t>
      </w:r>
    </w:p>
    <w:p>
      <w:pPr>
        <w:spacing w:after="0" w:line="342"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September 30,</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(207,816)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Amounts borrowed under debt agreements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835,000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Excess tax benefits on stock awards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Proceeds from issuances of common stock</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3,368</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1"/>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610,630</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97"/>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(49,281)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18,371</w:t>
            </w:r>
          </w:p>
        </w:tc>
        <w:tc>
          <w:tcPr>
            <w:tcW w:w="0" w:type="dxa"/>
            <w:vAlign w:val="bottom"/>
          </w:tcPr>
          <w:p>
            <w:pPr>
              <w:spacing w:after="0"/>
              <w:rPr>
                <w:sz w:val="1"/>
                <w:szCs w:val="1"/>
                <w:color w:val="auto"/>
              </w:rPr>
            </w:pPr>
          </w:p>
        </w:tc>
      </w:tr>
      <w:tr>
        <w:trPr>
          <w:trHeight w:val="297"/>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Beginning</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76,812</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68,917</w:t>
            </w: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27,531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87,288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payments for:</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14,671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paid, net of refunds received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23,851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10,235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20" w:firstLine="324"/>
        <w:spacing w:after="0" w:line="308" w:lineRule="auto"/>
        <w:rPr>
          <w:sz w:val="20"/>
          <w:szCs w:val="20"/>
          <w:color w:val="auto"/>
        </w:rPr>
      </w:pPr>
      <w:r>
        <w:rPr>
          <w:rFonts w:ascii="Arial" w:cs="Arial" w:eastAsia="Arial" w:hAnsi="Arial"/>
          <w:sz w:val="17"/>
          <w:szCs w:val="17"/>
          <w:color w:val="auto"/>
        </w:rPr>
        <w:t>At September 30, 2016 and 2015, accounts payable included approximately $14.2 million and $1.0 million, respectively, associated with capital expenditures. Cash flows for accounts payable and acquisition of property, plant and equipment exclude this activity.</w:t>
      </w:r>
    </w:p>
    <w:p>
      <w:pPr>
        <w:spacing w:after="0" w:line="14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conjunction with the acquisition of nTelos, the Company issued common stock to acquire non-controlling interests held by third parties in a subsidiary of nTelos. The transaction was valued at $10.4 million.</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reclassified $4.3 million of unamortized loan fees and costs included in deferred charges and other assets to long term debt in connection with the new Term loan A-1 and A-2 borrowing related to the acquisition of nTelos.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All such adjustments were of a normal and recurring nature. These financial statements should be read in conjunction with the audited consolidated financial statements and related notes in the Company’s Annual Report on Form 10-K for the year ended December 31, 2015. The accompanying balance sheet information at December 31, 2015 was derived from the audited December 31, 2015 consolidated balance sheet. Operating revenues and income (loss) from operations for any interim period are not necessarily indicative of results that may be expected for the entire year.</w:t>
      </w:r>
    </w:p>
    <w:p>
      <w:pPr>
        <w:spacing w:after="0" w:line="1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connection with the nTelos acquisition and exchange transaction with Sprint (see Note 2), the Company has added the following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Under the Company’s amended affiliate agreement, Sprint agreed to waive the management fee, which is historically presented as a contra-revenue by the Company, for a period of approximately six years. The impact of Sprint’s waiver of the management fee over the approximate six-year period is reflected as an increase in revenue, offset by the non-cash adjustment to recognize this impact on a straight-line basis over the contract term of approximately 14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Goodwill is not amortized but is tested for impairment on at least an annual basis. Impairment testing is required more often than annually if an event or circumstance indicates that impairment is more likely than not to have occurred. In conducting its annual impairment testing, the Company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the Company elects not to perform a qualitative assessment of a reporting unit, the Company then compares the fair value of the reporting unit to the related net book value. If the net book value of a reporting unit exceeds its fair value, an impairment loss is measured and recognized. The Company conducts its annual impairment testing of goodwill as of October 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Benefits and Retirement Benefits Other Than Pensions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Through the Company’s acquisition of nTelos, the Company assumed nTelos’ non-contributory defined benefit pension plan (“Pension Plan”) covering all employees who met eligibility requirements and were employed by nTelos prior to October 1, 2003. The Pension Plan was closed to nTelos employees hired on or after October 1, 2003. Pension benefits vest after five years of plan service and are based on years of service and an average of the five highest consecutive years of compensation subject to certain reductions if the employee retires before reaching age 65 and elects to receive the benefit prior to age 65. Effective December 31, 2012, nTelos froze future benefit accruals. The Company uses updated mortality tables published by the Society of Actuaries that predict increasing life expectancies in the United States.</w:t>
      </w:r>
    </w:p>
    <w:p>
      <w:pPr>
        <w:spacing w:after="0" w:line="19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IRC Sections 412 and 430 and Sections 302 and 303 of the Employee Retirement Income Security Act of 1974, as amended establish minimum funding requirements for defined benefit pension plans. The minimum required contribution is generally equal to the target normal cost plus the shortfall amortization installments for the current plan year and each of the six preceding plan years less any calculated credit balance. If plan assets (less calculated credits) are equal to or exceed the funding target, the minimum required contribution is the target normal cost reduced by the excess funding, but not below zero. The Company’s policy is to make contributions to stay at or above the threshold required in order to prevent benefit restrictions and related additional notice requirements and is intended to provide not only for benefits based on service to date, but also for those expected to be earned in the future. The Company also assumed two qualified nonpension postretirement benefit plans that provide certain health care and life benefits for nTelos retired employees that meet eligibility requirements. The health care plan is contributory, with participants’ contributions adjusted annually. The life insurance plan also is contributory. These obligations, along with all of the pension plans and other postretirement benefit plans, are obligations assumed by the Company. Eligibility for the life insurance plan is restricted to active pension participants age 50-64 as of January 5, 1994. Neither plan is eligible to employees hired after April 1993. The accounting for the plans anticipates that the Company will maintain a consistent level of cost sharing for the benefits with the retirees. The Company’s share of the projected costs of</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benefits that will be paid after retirement is generally being accrued by charges to expense over the eligible employees’ service periods to the dates they are fully eligible for benefits.</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records annual amounts relating to the Pension Plan and postretirement benefit plans based on calculations that incorporate various actuarial and other assumptions, including discount rates, mortality, assumed rates of return, turnover rates and healthcare cost trend rates. The Company reviews its assumptions on an annual basis and makes modifications to the assumptions based on current rates and trends when it is appropriate to do so. The effect of modifications to those assumptions is recorded in accumulated other comprehensive income (loss) and amortized to net periodic cost over future periods using the corridor method.</w:t>
      </w:r>
    </w:p>
    <w:p>
      <w:pPr>
        <w:spacing w:after="0" w:line="188"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of NTELOS Holdings Corp. and Exchange with Sprint</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May 6, 2016, the Company completed its previously announced acquisition of NTELOS Holdings Corp. (“nTelos”) for $665.4 million in cash, net of cash acquired. The acquisition was entered into to improve shareholder value through the expansion of the Company's Wireless service area and customer base while strengthening our relationship with Sprint. The purchase price was financed by a credit facility arranged by CoBank, ACB (see Note 14). The Company has included the operations of nTelos for financial reporting purposes for the period subsequent to the acquisition. The Company has accounted for the acquisition of nTelos under the acquisition method of accounting, in accordance with Financial Accounting Standards Board (“FASB”) Accounting Standards Codification (“ASC”) 805, “Business Combinations”, and will account for any measurement period adjustments under Accounting Standards Update (“ASU”) 2015-16, “Simplifying the Accounting for Measurement Period Adjustments”. Under the acquisition method of accounting, the total purchase price is allocated to the tangible and intangible assets acquired and liabilities assumed in connection with the acquisition based on their estimated fair values.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preliminary allocation of the purchase price was based upon management’s preliminary valuation of the fair value of tangible and intangible assets acquired and liabilities assumed of nTelos, with the excess recorded as goodwill. The following table shows the initial estimate of value and changes recorded during the third quarter of 2016 (in thousands):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Initial</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5"/>
              </w:rPr>
              <w:t>Revised</w:t>
            </w:r>
          </w:p>
        </w:tc>
      </w:tr>
      <w:tr>
        <w:trPr>
          <w:trHeight w:val="257"/>
        </w:trPr>
        <w:tc>
          <w:tcPr>
            <w:tcW w:w="8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1"/>
              </w:rPr>
              <w:t>Estimate</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Revisions</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1"/>
              </w:rPr>
              <w:t>Estimate</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48,476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49,521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2,167</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2,167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14,835</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14,835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223,900</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3,571</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227,471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Spectrum licenses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198,200</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Customer based contract rights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198,200</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5,162</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203,362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based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151,627</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(6,328)</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145,299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 term assets</w:t>
            </w:r>
          </w:p>
        </w:tc>
        <w:tc>
          <w:tcPr>
            <w:tcW w:w="1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10,288</w:t>
            </w:r>
          </w:p>
        </w:tc>
        <w:tc>
          <w:tcPr>
            <w:tcW w:w="1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555</w:t>
            </w: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10,843</w:t>
            </w:r>
          </w:p>
        </w:tc>
      </w:tr>
      <w:tr>
        <w:trPr>
          <w:trHeight w:val="28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872,959</w:t>
            </w:r>
          </w:p>
        </w:tc>
      </w:tr>
      <w:tr>
        <w:trPr>
          <w:trHeight w:val="264"/>
        </w:trPr>
        <w:tc>
          <w:tcPr>
            <w:tcW w:w="8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8,648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8,532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Advanced billings and customer deposits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12,477</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25,230</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25,230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liability</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124,964</w:t>
            </w:r>
          </w:p>
        </w:tc>
        <w:tc>
          <w:tcPr>
            <w:tcW w:w="1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2,758</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127,722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benefits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19,461</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19,198</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14,056</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14,056</w:t>
            </w:r>
          </w:p>
        </w:tc>
      </w:tr>
      <w:tr>
        <w:trPr>
          <w:trHeight w:val="27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205,254</w:t>
            </w: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2,379</w:t>
            </w: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207,633</w:t>
            </w:r>
          </w:p>
        </w:tc>
      </w:tr>
      <w:tr>
        <w:trPr>
          <w:trHeight w:val="270"/>
        </w:trPr>
        <w:tc>
          <w:tcPr>
            <w:tcW w:w="8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665,326</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Finalization of the purchase price allocations is dependent on final review and acceptance of the independent appraiser’s valuation report, which is on-going.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Closing on the sale of the former nTelos headquarter building held for sale is expected to be completed in the fourth quarter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Revisions to the provisional estimates shown above reflect:</w:t>
      </w:r>
    </w:p>
    <w:p>
      <w:pPr>
        <w:spacing w:after="0" w:line="23" w:lineRule="exact"/>
        <w:rPr>
          <w:sz w:val="20"/>
          <w:szCs w:val="20"/>
          <w:color w:val="auto"/>
        </w:rPr>
      </w:pPr>
    </w:p>
    <w:p>
      <w:pPr>
        <w:ind w:left="660" w:right="8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adding $4.6 million of construction materials and inventory, less $1.0 million of software and other assets that the Company has determined have no utility to the Company post-acquisition;</w:t>
      </w:r>
    </w:p>
    <w:p>
      <w:pPr>
        <w:ind w:left="660" w:right="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increases in accounts receivable and other long term assets relating to an adjustment to the estimated fair value of nTelos' financed handset receivables, applied to the current and long-term portions of these receivables. Losses on migrations of these receivables have been less than initially estimated;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 in net assets acquired resulting from the settlement of the appraisal rights dispute;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value assigned to certain customer based intangibles increased by $5.2 million, with an offset to goodwill;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increase in deferred taxes payable (offset by an increase in goodwill) resulting from several of the changes shown above as well as true-ups in the net tax basis of fixed assets resulting from completion of nTelos' 2015 tax returns.</w:t>
      </w:r>
    </w:p>
    <w:p>
      <w:pPr>
        <w:spacing w:after="0" w:line="18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In addition to the changes in balances reflected above, the Company revised the provisional estimated useful lives of certain assets and recorded an adjustment to depreciation expense of $4.6 million relating to the second quarter for these assets.</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Immediately after acquiring nTelos, Shenandoah Personal Communications, LLC, (“PCS”) a wholly-owned subsidiary of the Company, completed its previously announced transaction with SprintCom, Inc., an affiliate of Sprint Corporation (“Sprint”). Pursuant to this transaction, among other things, the Company exchanged spectrum licenses valued at $198.2 million and customer based contract rights, valued at $203.4 million, acquired from nTelos with Sprint, and received an expansion of its affiliate service territory to include most of the service area served by nTelos, valued at $287.8 million, as well as additional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customer based contract rights, valued at $113.8 million, relating to nTelos’ and Sprint’s legacy customers in the Company’s affiliate service territory. These exchanges were accounted for in accordance with ASC 845, “Nonmonetary Transactions”. The transfer of spectrum to Sprint resulted in a taxable gain to the Company which will be recognized as the Company recognizes the cash benefit of the waived management fees over the next approximately six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affiliate agreement expansion is based on changes to the amended affiliate agreement that include:</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increase in the price to be paid by Sprint from 80% to 90% of the entire business value of PCS if the affiliate agreement is not renewed;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extension of the affiliate agreement with Sprint by 5 years to 2029;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territory in the nTelos service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rights to serve all future Sprint customers in the affiliate service territory;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commitment to upgrade certain coverage and capacity in its newly acquired service area; and</w:t>
      </w:r>
    </w:p>
    <w:p>
      <w:pPr>
        <w:spacing w:after="0" w:line="9"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reduction of the management fee charged by Sprint under the amended affiliate agreement; not to exceed $4.2 million in an individual month until the total waived fee equals $251.8 million, as well as an additional waiver of the management fee charged with respect to the former nTelos customers until the earlier of migration to the Sprint back-office billing and related systems or 6 months following the acquisition; not to exceed $5.0 million.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resulting from the acquisition of nTelos and the Sprint exchange, both described above, are noted below (dollars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060" w:type="dxa"/>
            <w:vAlign w:val="bottom"/>
            <w:gridSpan w:val="3"/>
          </w:tcPr>
          <w:p>
            <w:pPr>
              <w:ind w:left="360"/>
              <w:spacing w:after="0"/>
              <w:rPr>
                <w:sz w:val="20"/>
                <w:szCs w:val="20"/>
                <w:color w:val="auto"/>
              </w:rPr>
            </w:pPr>
            <w:r>
              <w:rPr>
                <w:rFonts w:ascii="Arial" w:cs="Arial" w:eastAsia="Arial" w:hAnsi="Arial"/>
                <w:sz w:val="18"/>
                <w:szCs w:val="18"/>
                <w:color w:val="auto"/>
              </w:rPr>
              <w:t>Useful Life</w:t>
            </w: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Basis</w:t>
            </w:r>
          </w:p>
        </w:tc>
      </w:tr>
      <w:tr>
        <w:trPr>
          <w:trHeight w:val="34"/>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 contract agreement</w:t>
            </w:r>
          </w:p>
        </w:tc>
        <w:tc>
          <w:tcPr>
            <w:tcW w:w="2060" w:type="dxa"/>
            <w:vAlign w:val="bottom"/>
            <w:tcBorders>
              <w:bottom w:val="single" w:sz="8" w:color="CCEEFF"/>
            </w:tcBorders>
            <w:gridSpan w:val="3"/>
            <w:shd w:val="clear" w:color="auto" w:fill="CCEEFF"/>
          </w:tcPr>
          <w:p>
            <w:pPr>
              <w:ind w:left="960"/>
              <w:spacing w:after="0"/>
              <w:rPr>
                <w:sz w:val="20"/>
                <w:szCs w:val="20"/>
                <w:color w:val="auto"/>
              </w:rPr>
            </w:pPr>
            <w:r>
              <w:rPr>
                <w:rFonts w:ascii="Arial" w:cs="Arial" w:eastAsia="Arial" w:hAnsi="Arial"/>
                <w:sz w:val="18"/>
                <w:szCs w:val="18"/>
                <w:color w:val="auto"/>
              </w:rPr>
              <w:t>14 years  $</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287,800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based contract rights</w:t>
            </w:r>
          </w:p>
        </w:tc>
        <w:tc>
          <w:tcPr>
            <w:tcW w:w="2060" w:type="dxa"/>
            <w:vAlign w:val="bottom"/>
            <w:gridSpan w:val="3"/>
          </w:tcPr>
          <w:p>
            <w:pPr>
              <w:ind w:left="820"/>
              <w:spacing w:after="0"/>
              <w:rPr>
                <w:sz w:val="20"/>
                <w:szCs w:val="20"/>
                <w:color w:val="auto"/>
              </w:rPr>
            </w:pPr>
            <w:r>
              <w:rPr>
                <w:rFonts w:ascii="Arial" w:cs="Arial" w:eastAsia="Arial" w:hAnsi="Arial"/>
                <w:sz w:val="18"/>
                <w:szCs w:val="18"/>
                <w:color w:val="auto"/>
              </w:rPr>
              <w:t>4-10 years</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113,761</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based intangible assets</w:t>
            </w:r>
          </w:p>
        </w:tc>
        <w:tc>
          <w:tcPr>
            <w:tcW w:w="20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3-19 years</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11,000</w:t>
            </w:r>
          </w:p>
        </w:tc>
      </w:tr>
      <w:tr>
        <w:trPr>
          <w:trHeight w:val="27"/>
        </w:trPr>
        <w:tc>
          <w:tcPr>
            <w:tcW w:w="8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affiliate contract agreement intangible asset value was increased by $29.7 million during the third quarter of 2016 and will be amortized on a straight-line basis and recorded as a contra-revenue over the remaining 14 year initial contract term. The Company recorded an adjustment of $0.4 million of amortization expense on this asset during the third quarter of 2016 that related to the second quarter of 2016. The other contract based intangible assets will be amortized on a straight-line basis and recorded through amortization expense. The customer based contract rights will be amortized over the life of the customers, gradually decreasing over the expected life of this asset, and recorded through amortization expense. The customer based contract rights value was reduced by $24.5 million during the third quarter of 2016, and amortization expense was reduced by $0.5 million during the third quarter that related to second quarter 2016. The value of these two assets changed primarily due to the effect on the initial provisional values of where certain cash flows should be reflected in those valuations.</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recorded goodwill in its Wireless segment as a result of the nTelos acquisition. This goodwill is not amortizable for tax purposes, as the Company acquired the common stock of nTelos.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the acquisition, nTelos was eligible to receive up to $5.0 million in connection with its winning bid in the Connect America Fund's Mobility Fund Phase I Auction ("Auction 901"). Pursuant to the terms of Auction 901, nTelos obtained a Letter of Credit (“LOC”) in the amount of $2.2 million for the benefit of the Universal Service Administrative Company (“USAC”) to cover each disbursement plus the amount of the performance default penalty (10% of the total eligible award). In accordance with the terms of the LOC, nTelos deposited $2.2 million into a separate account at the issuing bank to serve as cash collateral and is presented as restricted cash. Such funds will be released to the Company when the LOC is terminated without being drawn upon by USAC, which is expected to occur in the fourth quarter of 2016.</w:t>
      </w:r>
    </w:p>
    <w:p>
      <w:pPr>
        <w:spacing w:after="0" w:line="193"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At the time of the acquisition, certain third party investors held a non-controlling interest in one of nTelos’ subsidiaries. Immediately after the acquisition of nTelos, the Company acquired these interests in exchange for 380,000 shares of Company common stock, to be paid in five equal installments, with the first installment paid immediately and the remaining four to be paid over the next 4 years. This transaction was valued at $10.4 million.</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acquisition, at closing, the Company borrowed $810.0 million in term loans with a weighted average effective interest rate of approximately 3.84%. The proceeds were used to finance in part the acquisition, including the repayment of the Company’s term loan of $195.5 million, and the repayment of nTelos’ term loans at the outstanding principal amount of $519.7 million, without penalty.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Following are the unaudited pro forma results of the Company for the three months ended September 30, 2015 and the nine months ended September 30, 2016 and 2015, as if the acquisition of nTelos had occurred at the beginning of each of the periods presented. The three months ended September 30, 2016 are not presented as those results already include nTelos' results (in thousands):</w:t>
      </w:r>
    </w:p>
    <w:p>
      <w:pPr>
        <w:spacing w:after="0" w:line="343" w:lineRule="exact"/>
        <w:rPr>
          <w:sz w:val="20"/>
          <w:szCs w:val="20"/>
          <w:color w:val="auto"/>
        </w:rPr>
      </w:pPr>
    </w:p>
    <w:p>
      <w:pPr>
        <w:jc w:val="center"/>
        <w:ind w:left="81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12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22860</wp:posOffset>
            </wp:positionV>
            <wp:extent cx="20923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color w:val="auto"/>
                <w:w w:val="99"/>
              </w:rPr>
              <w:t>2015</w:t>
            </w:r>
          </w:p>
        </w:tc>
      </w:tr>
      <w:tr>
        <w:trPr>
          <w:trHeight w:val="34"/>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 N/A</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166,614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1"/>
                <w:szCs w:val="21"/>
                <w:color w:val="auto"/>
              </w:rPr>
            </w:pP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 N/A</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2,588</w:t>
            </w:r>
          </w:p>
        </w:tc>
      </w:tr>
      <w:tr>
        <w:trPr>
          <w:trHeight w:val="391"/>
        </w:trPr>
        <w:tc>
          <w:tcPr>
            <w:tcW w:w="8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4"/>
          </w:tcPr>
          <w:p>
            <w:pPr>
              <w:jc w:val="right"/>
              <w:ind w:right="810"/>
              <w:spacing w:after="0"/>
              <w:rPr>
                <w:sz w:val="20"/>
                <w:szCs w:val="20"/>
                <w:color w:val="auto"/>
              </w:rPr>
            </w:pPr>
            <w:r>
              <w:rPr>
                <w:rFonts w:ascii="Arial" w:cs="Arial" w:eastAsia="Arial" w:hAnsi="Arial"/>
                <w:sz w:val="18"/>
                <w:szCs w:val="18"/>
                <w:color w:val="auto"/>
              </w:rPr>
              <w:t>Nine Months Ended</w:t>
            </w:r>
          </w:p>
        </w:tc>
      </w:tr>
      <w:tr>
        <w:trPr>
          <w:trHeight w:val="230"/>
        </w:trPr>
        <w:tc>
          <w:tcPr>
            <w:tcW w:w="8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ind w:left="760"/>
              <w:spacing w:after="0"/>
              <w:rPr>
                <w:sz w:val="20"/>
                <w:szCs w:val="20"/>
                <w:color w:val="auto"/>
              </w:rPr>
            </w:pPr>
            <w:r>
              <w:rPr>
                <w:rFonts w:ascii="Arial" w:cs="Arial" w:eastAsia="Arial" w:hAnsi="Arial"/>
                <w:sz w:val="18"/>
                <w:szCs w:val="18"/>
                <w:color w:val="auto"/>
                <w:w w:val="93"/>
              </w:rPr>
              <w:t>September 30,</w:t>
            </w:r>
          </w:p>
        </w:tc>
        <w:tc>
          <w:tcPr>
            <w:tcW w:w="1040" w:type="dxa"/>
            <w:vAlign w:val="bottom"/>
          </w:tcPr>
          <w:p>
            <w:pPr>
              <w:spacing w:after="0"/>
              <w:rPr>
                <w:sz w:val="20"/>
                <w:szCs w:val="20"/>
                <w:color w:val="auto"/>
              </w:rPr>
            </w:pPr>
          </w:p>
        </w:tc>
      </w:tr>
      <w:tr>
        <w:trPr>
          <w:trHeight w:val="34"/>
        </w:trPr>
        <w:tc>
          <w:tcPr>
            <w:tcW w:w="8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color w:val="auto"/>
                <w:w w:val="99"/>
              </w:rPr>
              <w:t>2015</w:t>
            </w:r>
          </w:p>
        </w:tc>
      </w:tr>
      <w:tr>
        <w:trPr>
          <w:trHeight w:val="34"/>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509,415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39,680</w:t>
            </w:r>
          </w:p>
        </w:tc>
      </w:tr>
    </w:tbl>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pro forma disclosures shown above are based upon estimated preliminary valuations of the assets acquired and liabilities assumed as well as preliminary estimates of depreciation and amortization charges thereon, that may differ from the final fair values of the acquired assets and assumed liabilities and the resulting depreciation and amortization charges thereon. Other pro forma adjustments include the following:</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nTelos’ reported revenues from cancelling nTelos’ wholesale contract with Sprint;</w:t>
      </w:r>
    </w:p>
    <w:p>
      <w:pPr>
        <w:spacing w:after="0" w:line="23"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incorporation of the Sprint-homed customers formerly serviced under the wholesale agreement into the Company’s affiliate service territory under the Company’s affiliate agreement with Sprint;</w:t>
      </w:r>
    </w:p>
    <w:p>
      <w:pPr>
        <w:ind w:left="660" w:right="1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other changes to revenues and expenses due to various provisions of the affiliate agreement, including fees charged under the affiliate agreement on revenues from former nTelos customers, a reduction of the net service fee charged by Sprint, the straight-line impact of the waived management fee, and the amortization of the affiliate agreement expansion intangible asset; and the elimination of non-recurring transaction related expenses incurred by the Company and nTelos;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elimination of certain nTelos operating costs associated with billing and care that are covered under the fees charged by Sprint under the affiliate agreement;</w:t>
      </w:r>
    </w:p>
    <w:p>
      <w:pPr>
        <w:ind w:left="660" w:right="12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historical depreciation expense was reduced for the fair value adjustment decreasing the basis of property, plant and equipment; this decrease was offset by a shorter estimated useful life to conform to the Company’s standard policy and the acceleration of depreciation on certain equipment; and</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incremental amortization due to the customer-based contract rights associated with acquired customers.</w:t>
      </w:r>
    </w:p>
    <w:p>
      <w:pPr>
        <w:spacing w:after="0" w:line="21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connection with these transactions, the Company chose to proactively migrate the former nTelos customers to devices which can interact with the Sprint billing and network systems, and expects to incur a total of between $106 million and $126 million of integration and acquisition expenses associated with this transaction, excluding approximately $24 million of debt issuance costs. These costs include the nTelos back office staff and support functions until the nTelos legacy customers are migrated to the Sprint billing platform; costs of the handsets to be provided to nTelos legacy customers as they migrate to the Sprint billing platform; severance costs for back office and other former nTelos employees who will not be retained permanently; transaction related fees; net of proceeds from the sale of the former nTelos headquarters building. We have incurred $20.2 million and $43.9 million of these costs in the three months and nine months ended September 30, 2016, respectively, including $0.7 million reflected in cost of goods and services and $4.2 million reflected in selling, general and administrative costs in the three month period ended September 30, 2016, and $1.0 million reflected in cost of goods and services and $7.1 million reflected in selling, general and administrative costs in the nine month period ended September 30, 2016.</w:t>
      </w:r>
    </w:p>
    <w:p>
      <w:pPr>
        <w:spacing w:after="0" w:line="167" w:lineRule="exact"/>
        <w:rPr>
          <w:sz w:val="20"/>
          <w:szCs w:val="20"/>
          <w:color w:val="auto"/>
        </w:rPr>
      </w:pPr>
    </w:p>
    <w:p>
      <w:pPr>
        <w:jc w:val="both"/>
        <w:ind w:right="1000"/>
        <w:spacing w:after="0" w:line="342" w:lineRule="auto"/>
        <w:rPr>
          <w:sz w:val="20"/>
          <w:szCs w:val="20"/>
          <w:color w:val="auto"/>
        </w:rPr>
      </w:pPr>
      <w:r>
        <w:rPr>
          <w:rFonts w:ascii="Arial" w:cs="Arial" w:eastAsia="Arial" w:hAnsi="Arial"/>
          <w:sz w:val="16"/>
          <w:szCs w:val="16"/>
          <w:color w:val="auto"/>
        </w:rPr>
        <w:t>The amounts of operating revenue and income or loss before income taxes related to the former nTelos entity are not readily determinable due to intercompany transactions, allocations and integration activities that have occurred in connection with the operations of the combined company.</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53"/>
              <w:spacing w:after="0"/>
              <w:rPr>
                <w:sz w:val="20"/>
                <w:szCs w:val="20"/>
                <w:color w:val="auto"/>
              </w:rPr>
            </w:pPr>
            <w:r>
              <w:rPr>
                <w:rFonts w:ascii="Arial" w:cs="Arial" w:eastAsia="Arial" w:hAnsi="Arial"/>
                <w:sz w:val="16"/>
                <w:szCs w:val="16"/>
                <w:color w:val="auto"/>
                <w:w w:val="89"/>
              </w:rPr>
              <w:t>September 30,</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right="113"/>
              <w:spacing w:after="0"/>
              <w:rPr>
                <w:sz w:val="20"/>
                <w:szCs w:val="20"/>
                <w:color w:val="auto"/>
              </w:rPr>
            </w:pPr>
            <w:r>
              <w:rPr>
                <w:rFonts w:ascii="Arial" w:cs="Arial" w:eastAsia="Arial" w:hAnsi="Arial"/>
                <w:sz w:val="16"/>
                <w:szCs w:val="16"/>
                <w:color w:val="auto"/>
                <w:w w:val="91"/>
              </w:rPr>
              <w:t>December 31,</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color w:val="auto"/>
                <w:w w:val="89"/>
              </w:rPr>
              <w:t>2016</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ind w:right="73"/>
              <w:spacing w:after="0"/>
              <w:rPr>
                <w:sz w:val="20"/>
                <w:szCs w:val="20"/>
                <w:color w:val="auto"/>
              </w:rPr>
            </w:pPr>
            <w:r>
              <w:rPr>
                <w:rFonts w:ascii="Arial" w:cs="Arial" w:eastAsia="Arial" w:hAnsi="Arial"/>
                <w:sz w:val="16"/>
                <w:szCs w:val="16"/>
                <w:color w:val="auto"/>
                <w:w w:val="89"/>
              </w:rPr>
              <w:t>2015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33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color w:val="auto"/>
                <w:w w:val="88"/>
              </w:rPr>
              <w:t>Gross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132"/>
              <w:spacing w:after="0"/>
              <w:rPr>
                <w:sz w:val="20"/>
                <w:szCs w:val="20"/>
                <w:color w:val="auto"/>
              </w:rPr>
            </w:pPr>
            <w:r>
              <w:rPr>
                <w:rFonts w:ascii="Arial" w:cs="Arial" w:eastAsia="Arial" w:hAnsi="Arial"/>
                <w:sz w:val="16"/>
                <w:szCs w:val="16"/>
                <w:color w:val="auto"/>
                <w:w w:val="88"/>
              </w:rPr>
              <w:t>Gross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color w:val="auto"/>
                <w:w w:val="95"/>
              </w:rPr>
              <w:t>Carrying</w:t>
            </w:r>
          </w:p>
        </w:tc>
        <w:tc>
          <w:tcPr>
            <w:tcW w:w="220" w:type="dxa"/>
            <w:vAlign w:val="bottom"/>
          </w:tcPr>
          <w:p>
            <w:pPr>
              <w:spacing w:after="0"/>
              <w:rPr>
                <w:sz w:val="17"/>
                <w:szCs w:val="17"/>
                <w:color w:val="auto"/>
              </w:rPr>
            </w:pPr>
          </w:p>
        </w:tc>
        <w:tc>
          <w:tcPr>
            <w:tcW w:w="1160" w:type="dxa"/>
            <w:vAlign w:val="bottom"/>
          </w:tcPr>
          <w:p>
            <w:pPr>
              <w:jc w:val="center"/>
              <w:ind w:right="93"/>
              <w:spacing w:after="0"/>
              <w:rPr>
                <w:sz w:val="20"/>
                <w:szCs w:val="20"/>
                <w:color w:val="auto"/>
              </w:rPr>
            </w:pPr>
            <w:r>
              <w:rPr>
                <w:rFonts w:ascii="Arial" w:cs="Arial" w:eastAsia="Arial" w:hAnsi="Arial"/>
                <w:sz w:val="16"/>
                <w:szCs w:val="16"/>
                <w:color w:val="auto"/>
                <w:w w:val="92"/>
              </w:rPr>
              <w:t>Accumulated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ind w:right="132"/>
              <w:spacing w:after="0"/>
              <w:rPr>
                <w:sz w:val="20"/>
                <w:szCs w:val="20"/>
                <w:color w:val="auto"/>
              </w:rPr>
            </w:pPr>
            <w:r>
              <w:rPr>
                <w:rFonts w:ascii="Arial" w:cs="Arial" w:eastAsia="Arial" w:hAnsi="Arial"/>
                <w:sz w:val="16"/>
                <w:szCs w:val="16"/>
                <w:color w:val="auto"/>
                <w:w w:val="95"/>
              </w:rPr>
              <w:t>Carrying</w:t>
            </w:r>
          </w:p>
        </w:tc>
        <w:tc>
          <w:tcPr>
            <w:tcW w:w="240" w:type="dxa"/>
            <w:vAlign w:val="bottom"/>
          </w:tcPr>
          <w:p>
            <w:pPr>
              <w:spacing w:after="0"/>
              <w:rPr>
                <w:sz w:val="17"/>
                <w:szCs w:val="17"/>
                <w:color w:val="auto"/>
              </w:rPr>
            </w:pPr>
          </w:p>
        </w:tc>
        <w:tc>
          <w:tcPr>
            <w:tcW w:w="1160" w:type="dxa"/>
            <w:vAlign w:val="bottom"/>
          </w:tcPr>
          <w:p>
            <w:pPr>
              <w:jc w:val="center"/>
              <w:ind w:right="93"/>
              <w:spacing w:after="0"/>
              <w:rPr>
                <w:sz w:val="20"/>
                <w:szCs w:val="20"/>
                <w:color w:val="auto"/>
              </w:rPr>
            </w:pPr>
            <w:r>
              <w:rPr>
                <w:rFonts w:ascii="Arial" w:cs="Arial" w:eastAsia="Arial" w:hAnsi="Arial"/>
                <w:sz w:val="16"/>
                <w:szCs w:val="16"/>
                <w:color w:val="auto"/>
                <w:w w:val="92"/>
              </w:rPr>
              <w:t>Accumulated</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center"/>
              <w:ind w:right="152"/>
              <w:spacing w:after="0"/>
              <w:rPr>
                <w:sz w:val="20"/>
                <w:szCs w:val="20"/>
                <w:color w:val="auto"/>
              </w:rPr>
            </w:pPr>
            <w:r>
              <w:rPr>
                <w:rFonts w:ascii="Arial" w:cs="Arial" w:eastAsia="Arial" w:hAnsi="Arial"/>
                <w:sz w:val="16"/>
                <w:szCs w:val="16"/>
                <w:color w:val="auto"/>
                <w:w w:val="97"/>
              </w:rPr>
              <w:t>Amount</w:t>
            </w:r>
          </w:p>
        </w:tc>
        <w:tc>
          <w:tcPr>
            <w:tcW w:w="220" w:type="dxa"/>
            <w:vAlign w:val="bottom"/>
          </w:tcPr>
          <w:p>
            <w:pPr>
              <w:spacing w:after="0"/>
              <w:rPr>
                <w:sz w:val="17"/>
                <w:szCs w:val="17"/>
                <w:color w:val="auto"/>
              </w:rPr>
            </w:pPr>
          </w:p>
        </w:tc>
        <w:tc>
          <w:tcPr>
            <w:tcW w:w="1160" w:type="dxa"/>
            <w:vAlign w:val="bottom"/>
          </w:tcPr>
          <w:p>
            <w:pPr>
              <w:jc w:val="center"/>
              <w:ind w:right="93"/>
              <w:spacing w:after="0"/>
              <w:rPr>
                <w:sz w:val="20"/>
                <w:szCs w:val="20"/>
                <w:color w:val="auto"/>
              </w:rPr>
            </w:pPr>
            <w:r>
              <w:rPr>
                <w:rFonts w:ascii="Arial" w:cs="Arial" w:eastAsia="Arial" w:hAnsi="Arial"/>
                <w:sz w:val="16"/>
                <w:szCs w:val="16"/>
                <w:color w:val="auto"/>
                <w:w w:val="96"/>
              </w:rPr>
              <w:t>Amortization</w:t>
            </w:r>
          </w:p>
        </w:tc>
        <w:tc>
          <w:tcPr>
            <w:tcW w:w="380" w:type="dxa"/>
            <w:vAlign w:val="bottom"/>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color w:val="auto"/>
              </w:rPr>
              <w:t>Net</w:t>
            </w:r>
          </w:p>
        </w:tc>
        <w:tc>
          <w:tcPr>
            <w:tcW w:w="220" w:type="dxa"/>
            <w:vAlign w:val="bottom"/>
          </w:tcPr>
          <w:p>
            <w:pPr>
              <w:spacing w:after="0"/>
              <w:rPr>
                <w:sz w:val="17"/>
                <w:szCs w:val="17"/>
                <w:color w:val="auto"/>
              </w:rPr>
            </w:pPr>
          </w:p>
        </w:tc>
        <w:tc>
          <w:tcPr>
            <w:tcW w:w="1040" w:type="dxa"/>
            <w:vAlign w:val="bottom"/>
          </w:tcPr>
          <w:p>
            <w:pPr>
              <w:jc w:val="center"/>
              <w:ind w:right="152"/>
              <w:spacing w:after="0"/>
              <w:rPr>
                <w:sz w:val="20"/>
                <w:szCs w:val="20"/>
                <w:color w:val="auto"/>
              </w:rPr>
            </w:pPr>
            <w:r>
              <w:rPr>
                <w:rFonts w:ascii="Arial" w:cs="Arial" w:eastAsia="Arial" w:hAnsi="Arial"/>
                <w:sz w:val="16"/>
                <w:szCs w:val="16"/>
                <w:color w:val="auto"/>
                <w:w w:val="94"/>
              </w:rPr>
              <w:t>Amount</w:t>
            </w:r>
          </w:p>
        </w:tc>
        <w:tc>
          <w:tcPr>
            <w:tcW w:w="240" w:type="dxa"/>
            <w:vAlign w:val="bottom"/>
          </w:tcPr>
          <w:p>
            <w:pPr>
              <w:spacing w:after="0"/>
              <w:rPr>
                <w:sz w:val="17"/>
                <w:szCs w:val="17"/>
                <w:color w:val="auto"/>
              </w:rPr>
            </w:pPr>
          </w:p>
        </w:tc>
        <w:tc>
          <w:tcPr>
            <w:tcW w:w="1160" w:type="dxa"/>
            <w:vAlign w:val="bottom"/>
          </w:tcPr>
          <w:p>
            <w:pPr>
              <w:jc w:val="center"/>
              <w:ind w:right="93"/>
              <w:spacing w:after="0"/>
              <w:rPr>
                <w:sz w:val="20"/>
                <w:szCs w:val="20"/>
                <w:color w:val="auto"/>
              </w:rPr>
            </w:pPr>
            <w:r>
              <w:rPr>
                <w:rFonts w:ascii="Arial" w:cs="Arial" w:eastAsia="Arial" w:hAnsi="Arial"/>
                <w:sz w:val="16"/>
                <w:szCs w:val="16"/>
                <w:color w:val="auto"/>
                <w:w w:val="96"/>
              </w:rPr>
              <w:t>Amortization</w:t>
            </w:r>
          </w:p>
        </w:tc>
        <w:tc>
          <w:tcPr>
            <w:tcW w:w="380" w:type="dxa"/>
            <w:vAlign w:val="bottom"/>
          </w:tcPr>
          <w:p>
            <w:pPr>
              <w:spacing w:after="0"/>
              <w:rPr>
                <w:sz w:val="17"/>
                <w:szCs w:val="17"/>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40"/>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Non-amortizing intangibles:</w:t>
            </w: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34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Cable franchise rights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64,431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64,431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64,098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64,098</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Affiliate contract expansion rights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287,800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(8,883)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278,917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subscribers – wireless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113,761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(11,442)</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Contract based intangibles – wireless</w:t>
            </w:r>
          </w:p>
        </w:tc>
        <w:tc>
          <w:tcPr>
            <w:tcW w:w="2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w:t>
            </w:r>
          </w:p>
        </w:tc>
        <w:tc>
          <w:tcPr>
            <w:tcW w:w="3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10,542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subscribers – cable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25,265</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(24,452)</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25,326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(23,805)</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8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intangibles</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2,102</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1,938</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(564)</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439,928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393,970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27,264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(24,369)</w:t>
            </w: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64"/>
        </w:trPr>
        <w:tc>
          <w:tcPr>
            <w:tcW w:w="3340" w:type="dxa"/>
            <w:vAlign w:val="bottom"/>
          </w:tcPr>
          <w:p>
            <w:pPr>
              <w:ind w:left="180"/>
              <w:spacing w:after="0"/>
              <w:rPr>
                <w:sz w:val="20"/>
                <w:szCs w:val="20"/>
                <w:color w:val="auto"/>
              </w:rPr>
            </w:pPr>
            <w:r>
              <w:rPr>
                <w:rFonts w:ascii="Arial" w:cs="Arial" w:eastAsia="Arial" w:hAnsi="Arial"/>
                <w:sz w:val="18"/>
                <w:szCs w:val="18"/>
                <w:color w:val="auto"/>
              </w:rPr>
              <w:t>Total intangible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504,359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(45,958)</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458,401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91,362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(24,369)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66,993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Aggregate amortization expense for intangible assets for the periods shown is expected to be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jc w:val="center"/>
              <w:spacing w:after="0"/>
              <w:rPr>
                <w:sz w:val="20"/>
                <w:szCs w:val="20"/>
                <w:color w:val="auto"/>
              </w:rPr>
            </w:pPr>
            <w:r>
              <w:rPr>
                <w:rFonts w:ascii="Arial" w:cs="Arial" w:eastAsia="Arial" w:hAnsi="Arial"/>
                <w:sz w:val="18"/>
                <w:szCs w:val="18"/>
                <w:color w:val="auto"/>
                <w:w w:val="88"/>
              </w:rPr>
              <w:t>Year Ending</w:t>
            </w:r>
          </w:p>
        </w:tc>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316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460" w:type="dxa"/>
            <w:vAlign w:val="bottom"/>
          </w:tcPr>
          <w:p>
            <w:pPr>
              <w:spacing w:after="0"/>
              <w:rPr>
                <w:sz w:val="20"/>
                <w:szCs w:val="20"/>
                <w:color w:val="auto"/>
              </w:rPr>
            </w:pPr>
          </w:p>
        </w:tc>
        <w:tc>
          <w:tcPr>
            <w:tcW w:w="2180" w:type="dxa"/>
            <w:vAlign w:val="bottom"/>
          </w:tcPr>
          <w:p>
            <w:pPr>
              <w:jc w:val="right"/>
              <w:ind w:right="930"/>
              <w:spacing w:after="0"/>
              <w:rPr>
                <w:sz w:val="20"/>
                <w:szCs w:val="20"/>
                <w:color w:val="auto"/>
              </w:rPr>
            </w:pPr>
            <w:r>
              <w:rPr>
                <w:rFonts w:ascii="Arial" w:cs="Arial" w:eastAsia="Arial" w:hAnsi="Arial"/>
                <w:sz w:val="18"/>
                <w:szCs w:val="18"/>
                <w:color w:val="auto"/>
              </w:rPr>
              <w:t>Amount</w:t>
            </w:r>
          </w:p>
        </w:tc>
      </w:tr>
      <w:tr>
        <w:trPr>
          <w:trHeight w:val="34"/>
        </w:trPr>
        <w:tc>
          <w:tcPr>
            <w:tcW w:w="3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3"/>
        </w:trPr>
        <w:tc>
          <w:tcPr>
            <w:tcW w:w="3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80" w:type="dxa"/>
            <w:vAlign w:val="bottom"/>
          </w:tcPr>
          <w:p>
            <w:pPr>
              <w:jc w:val="right"/>
              <w:ind w:right="71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2016 Remaining</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12,463</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46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45,091</w:t>
            </w:r>
          </w:p>
        </w:tc>
      </w:tr>
      <w:tr>
        <w:trPr>
          <w:trHeight w:val="27"/>
        </w:trPr>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4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39,372</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46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35,428</w:t>
            </w:r>
          </w:p>
        </w:tc>
      </w:tr>
      <w:tr>
        <w:trPr>
          <w:trHeight w:val="27"/>
        </w:trPr>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4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32,718</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46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30,139</w:t>
            </w:r>
          </w:p>
        </w:tc>
      </w:tr>
      <w:tr>
        <w:trPr>
          <w:trHeight w:val="27"/>
        </w:trPr>
        <w:tc>
          <w:tcPr>
            <w:tcW w:w="3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7"/>
        </w:trPr>
        <w:tc>
          <w:tcPr>
            <w:tcW w:w="3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thereafter</w:t>
            </w:r>
          </w:p>
        </w:tc>
        <w:tc>
          <w:tcPr>
            <w:tcW w:w="460" w:type="dxa"/>
            <w:vAlign w:val="bottom"/>
            <w:tcBorders>
              <w:bottom w:val="single" w:sz="8" w:color="auto"/>
            </w:tcBorders>
            <w:shd w:val="clear" w:color="auto" w:fill="CCEEFF"/>
          </w:tcPr>
          <w:p>
            <w:pPr>
              <w:spacing w:after="0"/>
              <w:rPr>
                <w:sz w:val="24"/>
                <w:szCs w:val="2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198,759</w:t>
            </w:r>
          </w:p>
        </w:tc>
      </w:tr>
      <w:tr>
        <w:trPr>
          <w:trHeight w:val="264"/>
        </w:trPr>
        <w:tc>
          <w:tcPr>
            <w:tcW w:w="316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393,970</w:t>
            </w:r>
          </w:p>
        </w:tc>
      </w:tr>
      <w:tr>
        <w:trPr>
          <w:trHeight w:val="20"/>
        </w:trPr>
        <w:tc>
          <w:tcPr>
            <w:tcW w:w="3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during the nine months ended September 30, 2016 are shown below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as of December 31, 2015, Wireline segment</w:t>
            </w:r>
          </w:p>
        </w:tc>
        <w:tc>
          <w:tcPr>
            <w:tcW w:w="29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w w:val="95"/>
              </w:rPr>
              <w:t>Goodwill recorded January 2016, Cable segment, Colane acquisition</w:t>
            </w:r>
          </w:p>
        </w:tc>
        <w:tc>
          <w:tcPr>
            <w:tcW w:w="2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Goodwill recorded May 2016, Wireless segment, nTelos acquisition</w:t>
            </w:r>
          </w:p>
        </w:tc>
        <w:tc>
          <w:tcPr>
            <w:tcW w:w="24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145,299</w:t>
            </w:r>
          </w:p>
        </w:tc>
        <w:tc>
          <w:tcPr>
            <w:tcW w:w="0" w:type="dxa"/>
            <w:vAlign w:val="bottom"/>
          </w:tcPr>
          <w:p>
            <w:pPr>
              <w:spacing w:after="0"/>
              <w:rPr>
                <w:sz w:val="1"/>
                <w:szCs w:val="1"/>
                <w:color w:val="auto"/>
              </w:rPr>
            </w:pPr>
          </w:p>
        </w:tc>
      </w:tr>
      <w:tr>
        <w:trPr>
          <w:trHeight w:val="230"/>
        </w:trPr>
        <w:tc>
          <w:tcPr>
            <w:tcW w:w="530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Goodwill as of September 30, 2016</w:t>
            </w:r>
          </w:p>
        </w:tc>
        <w:tc>
          <w:tcPr>
            <w:tcW w:w="2400" w:type="dxa"/>
            <w:vAlign w:val="bottom"/>
            <w:tcBorders>
              <w:top w:val="single" w:sz="8" w:color="CCEEFF"/>
            </w:tcBorders>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145,413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400" w:type="dxa"/>
            <w:vAlign w:val="bottom"/>
            <w:vMerge w:val="restart"/>
          </w:tcPr>
          <w:p>
            <w:pPr>
              <w:jc w:val="right"/>
              <w:ind w:right="1810"/>
              <w:spacing w:after="0"/>
              <w:rPr>
                <w:sz w:val="20"/>
                <w:szCs w:val="20"/>
                <w:color w:val="auto"/>
              </w:rPr>
            </w:pPr>
            <w:r>
              <w:rPr>
                <w:rFonts w:ascii="Arial" w:cs="Arial" w:eastAsia="Arial" w:hAnsi="Arial"/>
                <w:sz w:val="18"/>
                <w:szCs w:val="18"/>
                <w:color w:val="auto"/>
              </w:rPr>
              <w:t>14</w:t>
            </w: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0" w:type="dxa"/>
            <w:vAlign w:val="bottom"/>
            <w:vMerge w:val="continue"/>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3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812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in service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718,503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Plant under construction</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75,976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36,600</w:t>
            </w:r>
          </w:p>
        </w:tc>
        <w:tc>
          <w:tcPr>
            <w:tcW w:w="0" w:type="dxa"/>
            <w:vAlign w:val="bottom"/>
          </w:tcPr>
          <w:p>
            <w:pPr>
              <w:spacing w:after="0"/>
              <w:rPr>
                <w:sz w:val="1"/>
                <w:szCs w:val="1"/>
                <w:color w:val="auto"/>
              </w:rPr>
            </w:pPr>
          </w:p>
        </w:tc>
      </w:tr>
      <w:tr>
        <w:trPr>
          <w:trHeight w:val="34"/>
        </w:trPr>
        <w:tc>
          <w:tcPr>
            <w:tcW w:w="16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1,095,990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755,103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Less accumulated amortization and depreciation</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428,249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345,085</w:t>
            </w:r>
          </w:p>
        </w:tc>
        <w:tc>
          <w:tcPr>
            <w:tcW w:w="0" w:type="dxa"/>
            <w:vAlign w:val="bottom"/>
          </w:tcPr>
          <w:p>
            <w:pPr>
              <w:spacing w:after="0"/>
              <w:rPr>
                <w:sz w:val="1"/>
                <w:szCs w:val="1"/>
                <w:color w:val="auto"/>
              </w:rPr>
            </w:pPr>
          </w:p>
        </w:tc>
      </w:tr>
      <w:tr>
        <w:trPr>
          <w:trHeight w:val="34"/>
        </w:trPr>
        <w:tc>
          <w:tcPr>
            <w:tcW w:w="16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160" w:type="dxa"/>
            <w:vAlign w:val="bottom"/>
            <w:tcBorders>
              <w:bottom w:val="single" w:sz="8" w:color="CCEEFF"/>
            </w:tcBorders>
            <w:shd w:val="clear" w:color="auto" w:fill="CCEEFF"/>
          </w:tcPr>
          <w:p>
            <w:pPr>
              <w:spacing w:after="0"/>
              <w:rPr>
                <w:sz w:val="23"/>
                <w:szCs w:val="23"/>
                <w:color w:val="auto"/>
              </w:rPr>
            </w:pPr>
          </w:p>
        </w:tc>
        <w:tc>
          <w:tcPr>
            <w:tcW w:w="7960" w:type="dxa"/>
            <w:vAlign w:val="bottom"/>
            <w:tcBorders>
              <w:bottom w:val="single" w:sz="8" w:color="CCEEFF"/>
            </w:tcBorders>
            <w:shd w:val="clear" w:color="auto" w:fill="CCEEFF"/>
          </w:tcPr>
          <w:p>
            <w:pPr>
              <w:jc w:val="center"/>
              <w:ind w:right="5370"/>
              <w:spacing w:after="0"/>
              <w:rPr>
                <w:sz w:val="20"/>
                <w:szCs w:val="20"/>
                <w:color w:val="auto"/>
              </w:rPr>
            </w:pPr>
            <w:r>
              <w:rPr>
                <w:rFonts w:ascii="Arial" w:cs="Arial" w:eastAsia="Arial" w:hAnsi="Arial"/>
                <w:sz w:val="18"/>
                <w:szCs w:val="18"/>
                <w:color w:val="auto"/>
                <w:w w:val="90"/>
              </w:rPr>
              <w:t>Net property, plant and equipment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667,741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410,018</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5.</w:t>
            </w:r>
          </w:p>
        </w:tc>
        <w:tc>
          <w:tcPr>
            <w:tcW w:w="7960" w:type="dxa"/>
            <w:vAlign w:val="bottom"/>
            <w:tcBorders>
              <w:top w:val="single" w:sz="8" w:color="CCEEFF"/>
              <w:bottom w:val="single" w:sz="8" w:color="CCEEFF"/>
            </w:tcBorders>
            <w:vMerge w:val="restart"/>
          </w:tcPr>
          <w:p>
            <w:pPr>
              <w:jc w:val="center"/>
              <w:ind w:right="5410"/>
              <w:spacing w:after="0"/>
              <w:rPr>
                <w:sz w:val="20"/>
                <w:szCs w:val="20"/>
                <w:color w:val="auto"/>
              </w:rPr>
            </w:pPr>
            <w:r>
              <w:rPr>
                <w:rFonts w:ascii="Arial" w:cs="Arial" w:eastAsia="Arial" w:hAnsi="Arial"/>
                <w:sz w:val="18"/>
                <w:szCs w:val="18"/>
                <w:color w:val="auto"/>
                <w:w w:val="88"/>
              </w:rPr>
              <w:t>Earnings (loss)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vMerge w:val="continue"/>
          </w:tcPr>
          <w:p>
            <w:pPr>
              <w:spacing w:after="0"/>
              <w:rPr>
                <w:sz w:val="24"/>
                <w:szCs w:val="24"/>
                <w:color w:val="auto"/>
              </w:rPr>
            </w:pPr>
          </w:p>
        </w:tc>
        <w:tc>
          <w:tcPr>
            <w:tcW w:w="7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Basic net income (loss) per share was computed on the weighted average number of shares outstanding. Diluted net income per share was computed under the treasury stock method, assuming the conversion as of the beginning of the period, for all dilutive stock options. Of the 664 thousand shares and options outstanding at September 30, 2015, 46 thousand were anti-dilutive. These shares and options have been excluded from the computations of diluted earnings per share for the three and nine months ended September 30, 2015. Due to the net loss for the three and nine months ended September 30, 2016, no adjustment was made to basic shares, as such adjustment would have been anti-dilutive. There were no adjustments to net income (loss) for any period.</w:t>
      </w:r>
    </w:p>
    <w:p>
      <w:pPr>
        <w:spacing w:after="0" w:line="158"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Carried at Fair Value</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Investments include $2.9 million and $2.7 million of investments carried at fair value as of September 30, 2016 and December 31, 2015, respectively, consisting of equity, bond and money market mutual funds. Investments carried at fair value were acquired under a rabbi trust arrangement related to the Company’s nonqualified Supplemental Executive Retirement Plan (the “SERP”). The Company purchases investments in the trust to mirror the investment elections of participants in the SERP; gains and losses on the investments in the trust are reflected as increases or decreases in the liability owed to the participants. During the nine months ended September 30, 2016, the Company recognized $161 thousand in dividend and interest income from investments, and recorded net unrealized gains of $180 thousand on these investments. Fair values for these investments held under the rabbi trust were determined by Level 1 quoted market prices for the underlying mutual funds.</w:t>
      </w:r>
    </w:p>
    <w:p>
      <w:pPr>
        <w:spacing w:after="0" w:line="178"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Equipment Installment Plan Receivables</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part of the acquisition of nTelos, the Company acquired the accounts receivable associated with nTelos’ Equipment Installment Plan, (“EIP”). This plan allowed EIP subscribers to pay for their devices in installments over a 24-month period. At the time of an installment sale, nTelos imputed interest on the installment receivable using current market interest rate estimates ranging from approximately 5% to 10%. Additionally, the customer had the right to trade in their original device after a specified period of time for a new device and have the remaining unpaid balance satisfied. This trade-in right was measured at the estimated fair value of the device being traded in based on current trade-in values and the timing of the trade-in.</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Immediately following the acquisition, the Company terminated the EIP offering but has continued to service the installment receivable and trade in obligation until such time that the customer migrates to Sprint. The accounts receivable associated with EIP and the trade-in liability were estimated at its fair value at acquisition date in accordance with ASC 805, “Business Combinations”.</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There was $9.3 million of unmigrated, acquired EIP receivables as of September 30, 2016. The short term portion of $7.4 million is included in accounts receivable, net. The long term portion of $1.9 million is included in deferred charges and other assets, net. An additional $6.3 million of acquired EIP receivables have been subsequently transferred to Sprint and the resulting receivables from Sprint are also included in accounts receivable, net.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Instruments</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Financial instruments on the consolidated balance sheets that approximate fair value include: cash and cash equivalents, restricted cash, receivables, investments carried at fair value, payables, accrued liabilities, interest rate swaps and variable rate long-term debt.</w:t>
      </w:r>
    </w:p>
    <w:p>
      <w:pPr>
        <w:spacing w:after="0" w:line="17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Derivative Instruments, Hedging Activities and Accumulated Other Comprehensive Income (Loss)</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entered into a pay-fixed, receive-variable interest rate swap of $174.6 million of notional principal in September 2012. This interest rate swap was designated as a cash flow hedge. The total outstanding notional amount of the cash flow hedge was $139.7 million as of September 30, 2016. The outstanding notional amount decreases as the Company makes scheduled principal payments on the debt.</w:t>
      </w:r>
    </w:p>
    <w:p>
      <w:pPr>
        <w:spacing w:after="0" w:line="18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In May 2016, the Company entered into a pay-fixed, receive-variable interest rate swap of $256.6 million of notional principal with three counterparties. This interest rate swap was designated as a cash flow hedge. The total outstanding notional amount of the cash flow hedge was $287.3 million as of September 30, 2016. The outstanding notional amount increases with each expected draw on the term debt and decreases as the Company makes scheduled principal payments on the debt. In combination with the swap entered into in 2012 described above, the Company is hedging approximately 50% of the expected outstanding debt (including expected draws under the delayed draw term loan) associated with the nTelos acquisition.</w:t>
      </w:r>
    </w:p>
    <w:p>
      <w:pPr>
        <w:spacing w:after="0" w:line="15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(loss)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54"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Amounts reported in accumulated other comprehensive income (loss) related to the interest rate swaps designated and qualified as a cash flow hedge, are reclassified to interest expense as interest payments are made on the Company’s variable-rate debt. As of September 30, 2016, the Company estimates that $2.3 million will be reclassified as an increase to interest expense during the next twelve months due to the interest rate swaps since the hedge interest rate exceeds the variable interest rate on the debt.</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 as well as its classification on the condensed consolidated balance sheet as of September 30, 2016 and December 31, 2015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Derivatives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
        </w:trPr>
        <w:tc>
          <w:tcPr>
            <w:tcW w:w="47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243"/>
        </w:trPr>
        <w:tc>
          <w:tcPr>
            <w:tcW w:w="47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80" w:type="dxa"/>
            <w:vAlign w:val="bottom"/>
            <w:gridSpan w:val="4"/>
          </w:tcPr>
          <w:p>
            <w:pPr>
              <w:jc w:val="right"/>
              <w:ind w:right="850"/>
              <w:spacing w:after="0"/>
              <w:rPr>
                <w:sz w:val="20"/>
                <w:szCs w:val="20"/>
                <w:color w:val="auto"/>
              </w:rPr>
            </w:pPr>
            <w:r>
              <w:rPr>
                <w:rFonts w:ascii="Arial" w:cs="Arial" w:eastAsia="Arial" w:hAnsi="Arial"/>
                <w:sz w:val="18"/>
                <w:szCs w:val="18"/>
                <w:color w:val="auto"/>
              </w:rPr>
              <w:t>Fair Value as of</w:t>
            </w:r>
          </w:p>
        </w:tc>
      </w:tr>
      <w:tr>
        <w:trPr>
          <w:trHeight w:val="34"/>
        </w:trPr>
        <w:tc>
          <w:tcPr>
            <w:tcW w:w="4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9"/>
        </w:trPr>
        <w:tc>
          <w:tcPr>
            <w:tcW w:w="4700" w:type="dxa"/>
            <w:vAlign w:val="bottom"/>
          </w:tcPr>
          <w:p>
            <w:pPr>
              <w:spacing w:after="0"/>
              <w:rPr>
                <w:sz w:val="19"/>
                <w:szCs w:val="19"/>
                <w:color w:val="auto"/>
              </w:rPr>
            </w:pPr>
          </w:p>
        </w:tc>
        <w:tc>
          <w:tcPr>
            <w:tcW w:w="2880" w:type="dxa"/>
            <w:vAlign w:val="bottom"/>
          </w:tcPr>
          <w:p>
            <w:pPr>
              <w:jc w:val="center"/>
              <w:ind w:left="570"/>
              <w:spacing w:after="0"/>
              <w:rPr>
                <w:sz w:val="20"/>
                <w:szCs w:val="20"/>
                <w:color w:val="auto"/>
              </w:rPr>
            </w:pPr>
            <w:r>
              <w:rPr>
                <w:rFonts w:ascii="Arial" w:cs="Arial" w:eastAsia="Arial" w:hAnsi="Arial"/>
                <w:sz w:val="18"/>
                <w:szCs w:val="18"/>
                <w:color w:val="auto"/>
                <w:w w:val="87"/>
              </w:rPr>
              <w:t>Balance Sheet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r>
      <w:tr>
        <w:trPr>
          <w:trHeight w:val="230"/>
        </w:trPr>
        <w:tc>
          <w:tcPr>
            <w:tcW w:w="4700" w:type="dxa"/>
            <w:vAlign w:val="bottom"/>
          </w:tcPr>
          <w:p>
            <w:pPr>
              <w:spacing w:after="0"/>
              <w:rPr>
                <w:sz w:val="20"/>
                <w:szCs w:val="20"/>
                <w:color w:val="auto"/>
              </w:rPr>
            </w:pPr>
          </w:p>
        </w:tc>
        <w:tc>
          <w:tcPr>
            <w:tcW w:w="2880" w:type="dxa"/>
            <w:vAlign w:val="bottom"/>
          </w:tcPr>
          <w:p>
            <w:pPr>
              <w:jc w:val="center"/>
              <w:ind w:left="590"/>
              <w:spacing w:after="0"/>
              <w:rPr>
                <w:sz w:val="20"/>
                <w:szCs w:val="20"/>
                <w:color w:val="auto"/>
              </w:rPr>
            </w:pPr>
            <w:r>
              <w:rPr>
                <w:rFonts w:ascii="Arial" w:cs="Arial" w:eastAsia="Arial" w:hAnsi="Arial"/>
                <w:sz w:val="18"/>
                <w:szCs w:val="18"/>
                <w:color w:val="auto"/>
                <w:w w:val="93"/>
              </w:rPr>
              <w:t>Location</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34"/>
        </w:trPr>
        <w:tc>
          <w:tcPr>
            <w:tcW w:w="47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9"/>
        </w:trPr>
        <w:tc>
          <w:tcPr>
            <w:tcW w:w="7580" w:type="dxa"/>
            <w:vAlign w:val="bottom"/>
            <w:gridSpan w:val="2"/>
          </w:tcPr>
          <w:p>
            <w:pPr>
              <w:jc w:val="right"/>
              <w:ind w:right="2930"/>
              <w:spacing w:after="0"/>
              <w:rPr>
                <w:sz w:val="20"/>
                <w:szCs w:val="20"/>
                <w:color w:val="auto"/>
              </w:rPr>
            </w:pPr>
            <w:r>
              <w:rPr>
                <w:rFonts w:ascii="Arial" w:cs="Arial" w:eastAsia="Arial" w:hAnsi="Arial"/>
                <w:sz w:val="17"/>
                <w:szCs w:val="17"/>
                <w:color w:val="auto"/>
              </w:rPr>
              <w:t>Derivatives designated as hedging instruments: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7580" w:type="dxa"/>
            <w:vAlign w:val="bottom"/>
            <w:gridSpan w:val="2"/>
          </w:tcPr>
          <w:p>
            <w:pPr>
              <w:jc w:val="right"/>
              <w:ind w:right="2930"/>
              <w:spacing w:after="0"/>
              <w:rPr>
                <w:sz w:val="20"/>
                <w:szCs w:val="20"/>
                <w:color w:val="auto"/>
              </w:rPr>
            </w:pPr>
            <w:r>
              <w:rPr>
                <w:rFonts w:ascii="Arial" w:cs="Arial" w:eastAsia="Arial" w:hAnsi="Arial"/>
                <w:sz w:val="17"/>
                <w:szCs w:val="17"/>
                <w:color w:val="auto"/>
              </w:rPr>
              <w:t>Interest rate swap</w:t>
            </w: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1"/>
        </w:trPr>
        <w:tc>
          <w:tcPr>
            <w:tcW w:w="47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92"/>
              </w:rPr>
              <w:t>Accrued liabilities and other</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r>
      <w:tr>
        <w:trPr>
          <w:trHeight w:val="243"/>
        </w:trPr>
        <w:tc>
          <w:tcPr>
            <w:tcW w:w="4700" w:type="dxa"/>
            <w:vAlign w:val="bottom"/>
          </w:tcPr>
          <w:p>
            <w:pPr>
              <w:spacing w:after="0"/>
              <w:rPr>
                <w:sz w:val="21"/>
                <w:szCs w:val="21"/>
                <w:color w:val="auto"/>
              </w:rPr>
            </w:pPr>
          </w:p>
        </w:tc>
        <w:tc>
          <w:tcPr>
            <w:tcW w:w="2880" w:type="dxa"/>
            <w:vAlign w:val="bottom"/>
          </w:tcPr>
          <w:p>
            <w:pPr>
              <w:jc w:val="center"/>
              <w:ind w:left="590"/>
              <w:spacing w:after="0"/>
              <w:rPr>
                <w:sz w:val="20"/>
                <w:szCs w:val="20"/>
                <w:color w:val="auto"/>
              </w:rPr>
            </w:pPr>
            <w:r>
              <w:rPr>
                <w:rFonts w:ascii="Arial" w:cs="Arial" w:eastAsia="Arial" w:hAnsi="Arial"/>
                <w:sz w:val="18"/>
                <w:szCs w:val="18"/>
                <w:color w:val="auto"/>
                <w:w w:val="94"/>
              </w:rPr>
              <w:t>Other liabilities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7"/>
        </w:trPr>
        <w:tc>
          <w:tcPr>
            <w:tcW w:w="4700" w:type="dxa"/>
            <w:vAlign w:val="bottom"/>
            <w:tcBorders>
              <w:bottom w:val="single" w:sz="8" w:color="CCEEFF"/>
            </w:tcBorders>
            <w:shd w:val="clear" w:color="auto" w:fill="CCEEFF"/>
          </w:tcPr>
          <w:p>
            <w:pPr>
              <w:spacing w:after="0"/>
              <w:rPr>
                <w:sz w:val="24"/>
                <w:szCs w:val="24"/>
                <w:color w:val="auto"/>
              </w:rPr>
            </w:pPr>
          </w:p>
        </w:tc>
        <w:tc>
          <w:tcPr>
            <w:tcW w:w="366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Deferred charges and other assets, net</w:t>
            </w: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r>
      <w:tr>
        <w:trPr>
          <w:trHeight w:val="264"/>
        </w:trPr>
        <w:tc>
          <w:tcPr>
            <w:tcW w:w="7580" w:type="dxa"/>
            <w:vAlign w:val="bottom"/>
            <w:gridSpan w:val="2"/>
          </w:tcPr>
          <w:p>
            <w:pPr>
              <w:jc w:val="right"/>
              <w:ind w:right="2930"/>
              <w:spacing w:after="0"/>
              <w:rPr>
                <w:sz w:val="20"/>
                <w:szCs w:val="20"/>
                <w:color w:val="auto"/>
              </w:rPr>
            </w:pPr>
            <w:r>
              <w:rPr>
                <w:rFonts w:ascii="Arial" w:cs="Arial" w:eastAsia="Arial" w:hAnsi="Arial"/>
                <w:sz w:val="17"/>
                <w:szCs w:val="17"/>
                <w:color w:val="auto"/>
              </w:rPr>
              <w:t>Total derivatives designated as hedging instruments</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(3,638)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688</w:t>
            </w:r>
          </w:p>
        </w:tc>
      </w:tr>
      <w:tr>
        <w:trPr>
          <w:trHeight w:val="20"/>
        </w:trPr>
        <w:tc>
          <w:tcPr>
            <w:tcW w:w="4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table below presents change in accumulated other comprehensive income (loss) by component for the nine months ended September 30, 2016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2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Income</w:t>
            </w: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(Losses) on</w:t>
            </w:r>
          </w:p>
        </w:tc>
        <w:tc>
          <w:tcPr>
            <w:tcW w:w="28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Tax</w:t>
            </w: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Cash Flow</w:t>
            </w:r>
          </w:p>
        </w:tc>
        <w:tc>
          <w:tcPr>
            <w:tcW w:w="28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(Expense)</w:t>
            </w:r>
          </w:p>
        </w:tc>
        <w:tc>
          <w:tcPr>
            <w:tcW w:w="18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88"/>
              </w:rPr>
              <w:t>Comprehensive</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Hedges</w:t>
            </w:r>
          </w:p>
        </w:tc>
        <w:tc>
          <w:tcPr>
            <w:tcW w:w="28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color w:val="auto"/>
              </w:rPr>
              <w:t>Benefit</w:t>
            </w:r>
          </w:p>
        </w:tc>
        <w:tc>
          <w:tcPr>
            <w:tcW w:w="18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color w:val="auto"/>
                <w:w w:val="91"/>
              </w:rPr>
              <w:t>Income (Loss)</w:t>
            </w:r>
          </w:p>
        </w:tc>
        <w:tc>
          <w:tcPr>
            <w:tcW w:w="0" w:type="dxa"/>
            <w:vAlign w:val="bottom"/>
          </w:tcPr>
          <w:p>
            <w:pPr>
              <w:spacing w:after="0"/>
              <w:rPr>
                <w:sz w:val="1"/>
                <w:szCs w:val="1"/>
                <w:color w:val="auto"/>
              </w:rPr>
            </w:pPr>
          </w:p>
        </w:tc>
      </w:tr>
      <w:tr>
        <w:trPr>
          <w:trHeight w:val="34"/>
        </w:trPr>
        <w:tc>
          <w:tcPr>
            <w:tcW w:w="6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Amounts reclassified from accumulated other comprehensive income (to interest</w:t>
            </w:r>
          </w:p>
        </w:tc>
        <w:tc>
          <w:tcPr>
            <w:tcW w:w="24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51"/>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current period other comprehensive loss</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5500" w:type="dxa"/>
            <w:vAlign w:val="bottom"/>
          </w:tcPr>
          <w:p>
            <w:pPr>
              <w:ind w:left="40"/>
              <w:spacing w:after="0"/>
              <w:rPr>
                <w:sz w:val="20"/>
                <w:szCs w:val="20"/>
                <w:color w:val="auto"/>
              </w:rPr>
            </w:pPr>
            <w:r>
              <w:rPr>
                <w:rFonts w:ascii="Arial" w:cs="Arial" w:eastAsia="Arial" w:hAnsi="Arial"/>
                <w:sz w:val="18"/>
                <w:szCs w:val="18"/>
                <w:color w:val="auto"/>
              </w:rPr>
              <w:t>Accrued and Other liabilities</w:t>
            </w: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Accrued liabilities and other includes the following (in thousands);</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jc w:val="center"/>
              <w:ind w:left="550"/>
              <w:spacing w:after="0"/>
              <w:rPr>
                <w:sz w:val="20"/>
                <w:szCs w:val="20"/>
                <w:color w:val="auto"/>
              </w:rPr>
            </w:pPr>
            <w:r>
              <w:rPr>
                <w:rFonts w:ascii="Arial" w:cs="Arial" w:eastAsia="Arial" w:hAnsi="Arial"/>
                <w:sz w:val="18"/>
                <w:szCs w:val="18"/>
                <w:color w:val="auto"/>
                <w:w w:val="88"/>
              </w:rPr>
              <w:t>September 30, 2016</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jc w:val="right"/>
              <w:ind w:right="450"/>
              <w:spacing w:after="0"/>
              <w:rPr>
                <w:sz w:val="20"/>
                <w:szCs w:val="20"/>
                <w:color w:val="auto"/>
              </w:rPr>
            </w:pPr>
            <w:r>
              <w:rPr>
                <w:rFonts w:ascii="Arial" w:cs="Arial" w:eastAsia="Arial" w:hAnsi="Arial"/>
                <w:sz w:val="18"/>
                <w:szCs w:val="18"/>
                <w:color w:val="auto"/>
              </w:rPr>
              <w:t>December 31, 2015</w:t>
            </w:r>
          </w:p>
        </w:tc>
        <w:tc>
          <w:tcPr>
            <w:tcW w:w="0" w:type="dxa"/>
            <w:vAlign w:val="bottom"/>
          </w:tcPr>
          <w:p>
            <w:pPr>
              <w:spacing w:after="0"/>
              <w:rPr>
                <w:sz w:val="1"/>
                <w:szCs w:val="1"/>
                <w:color w:val="auto"/>
              </w:rPr>
            </w:pPr>
          </w:p>
        </w:tc>
      </w:tr>
      <w:tr>
        <w:trPr>
          <w:trHeight w:val="34"/>
        </w:trPr>
        <w:tc>
          <w:tcPr>
            <w:tcW w:w="59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 and property taxes payable</w:t>
            </w:r>
          </w:p>
        </w:tc>
        <w:tc>
          <w:tcPr>
            <w:tcW w:w="2220" w:type="dxa"/>
            <w:vAlign w:val="bottom"/>
            <w:tcBorders>
              <w:bottom w:val="single" w:sz="8" w:color="CCEEFF"/>
            </w:tcBorders>
            <w:gridSpan w:val="2"/>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6,835</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Severance accrual, current portion</w:t>
            </w: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retirement obligations, current portion</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11,010</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 and other</w:t>
            </w:r>
          </w:p>
        </w:tc>
        <w:tc>
          <w:tcPr>
            <w:tcW w:w="2220" w:type="dxa"/>
            <w:vAlign w:val="bottom"/>
            <w:tcBorders>
              <w:bottom w:val="single" w:sz="8" w:color="auto"/>
            </w:tcBorders>
            <w:gridSpan w:val="2"/>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31,533</w:t>
            </w:r>
          </w:p>
        </w:tc>
        <w:tc>
          <w:tcPr>
            <w:tcW w:w="4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Other liabilities include the following (in thousands):</w:t>
            </w:r>
          </w:p>
        </w:tc>
        <w:tc>
          <w:tcPr>
            <w:tcW w:w="1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jc w:val="center"/>
              <w:ind w:left="510"/>
              <w:spacing w:after="0"/>
              <w:rPr>
                <w:sz w:val="20"/>
                <w:szCs w:val="20"/>
                <w:color w:val="auto"/>
              </w:rPr>
            </w:pPr>
            <w:r>
              <w:rPr>
                <w:rFonts w:ascii="Arial" w:cs="Arial" w:eastAsia="Arial" w:hAnsi="Arial"/>
                <w:sz w:val="18"/>
                <w:szCs w:val="18"/>
                <w:color w:val="auto"/>
                <w:w w:val="88"/>
              </w:rPr>
              <w:t>September 30,</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jc w:val="right"/>
              <w:ind w:right="69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220" w:type="dxa"/>
            <w:vAlign w:val="bottom"/>
            <w:gridSpan w:val="2"/>
          </w:tcPr>
          <w:p>
            <w:pPr>
              <w:jc w:val="center"/>
              <w:ind w:left="610"/>
              <w:spacing w:after="0"/>
              <w:rPr>
                <w:sz w:val="20"/>
                <w:szCs w:val="20"/>
                <w:color w:val="auto"/>
              </w:rPr>
            </w:pPr>
            <w:r>
              <w:rPr>
                <w:rFonts w:ascii="Arial" w:cs="Arial" w:eastAsia="Arial" w:hAnsi="Arial"/>
                <w:sz w:val="18"/>
                <w:szCs w:val="18"/>
                <w:color w:val="auto"/>
                <w:w w:val="89"/>
              </w:rPr>
              <w:t>2016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Pr>
          <w:p>
            <w:pPr>
              <w:jc w:val="right"/>
              <w:ind w:right="99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59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Retirement plan obligations</w:t>
            </w:r>
          </w:p>
        </w:tc>
        <w:tc>
          <w:tcPr>
            <w:tcW w:w="2220" w:type="dxa"/>
            <w:vAlign w:val="bottom"/>
            <w:tcBorders>
              <w:bottom w:val="single" w:sz="8" w:color="CCEEFF"/>
            </w:tcBorders>
            <w:gridSpan w:val="2"/>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22,156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Non-current portion of deferred revenues</w:t>
            </w:r>
          </w:p>
        </w:tc>
        <w:tc>
          <w:tcPr>
            <w:tcW w:w="1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8,819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7"/>
        </w:trPr>
        <w:tc>
          <w:tcPr>
            <w:tcW w:w="5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management fee waiver</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88"/>
              </w:rPr>
              <w:t>Other</w:t>
            </w:r>
          </w:p>
        </w:tc>
        <w:tc>
          <w:tcPr>
            <w:tcW w:w="55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57"/>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20" w:type="dxa"/>
            <w:vAlign w:val="bottom"/>
            <w:gridSpan w:val="2"/>
            <w:shd w:val="clear" w:color="auto" w:fill="CCEEFF"/>
          </w:tcPr>
          <w:p>
            <w:pPr>
              <w:jc w:val="right"/>
              <w:ind w:right="19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42,597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11.</w:t>
            </w:r>
          </w:p>
        </w:tc>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Segment Information</w:t>
            </w: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60" w:type="dxa"/>
            <w:vAlign w:val="bottom"/>
            <w:vMerge w:val="continue"/>
          </w:tcPr>
          <w:p>
            <w:pPr>
              <w:spacing w:after="0"/>
              <w:rPr>
                <w:sz w:val="24"/>
                <w:szCs w:val="24"/>
                <w:color w:val="auto"/>
              </w:rPr>
            </w:pPr>
          </w:p>
        </w:tc>
        <w:tc>
          <w:tcPr>
            <w:tcW w:w="5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18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The Wireless segment had provided digital wireless service to a portion of a four-state area covering the region from Harrisburg, York and Altoona, Pennsylvania, to Harrisonburg, Virginia, as a Sprint PCS Affiliate. With the recent acquisition of nTelos (see Note 2), the Company's wireless service has expanded to include south-central and western Virginia, West Virginia, and small portions of Kentucky and Ohio. This segment also owns cell site towers built on leased land, and leases space on these towers to both affiliates and non-affiliated service providers.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Cable segment provides video, internet and voice services in Virginia, West Virginia and Maryland, and leases fiber optic facilities throughout southern Virginia and West Virginia. It does not include video, internet and voice services provided to customers in Shenandoah County, Virginia.</w:t>
      </w:r>
    </w:p>
    <w:p>
      <w:pPr>
        <w:spacing w:after="0" w:line="14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Wireless</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Wireline</w:t>
            </w: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6"/>
              </w:rPr>
              <w:t>Eliminations</w:t>
            </w:r>
          </w:p>
        </w:tc>
        <w:tc>
          <w:tcPr>
            <w:tcW w:w="2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Totals</w:t>
            </w:r>
          </w:p>
        </w:tc>
        <w:tc>
          <w:tcPr>
            <w:tcW w:w="0" w:type="dxa"/>
            <w:vAlign w:val="bottom"/>
          </w:tcPr>
          <w:p>
            <w:pPr>
              <w:spacing w:after="0"/>
              <w:rPr>
                <w:sz w:val="1"/>
                <w:szCs w:val="1"/>
                <w:color w:val="auto"/>
              </w:rPr>
            </w:pPr>
          </w:p>
        </w:tc>
      </w:tr>
      <w:tr>
        <w:trPr>
          <w:trHeight w:val="34"/>
        </w:trPr>
        <w:tc>
          <w:tcPr>
            <w:tcW w:w="3100" w:type="dxa"/>
            <w:vAlign w:val="bottom"/>
            <w:vMerge w:val="restart"/>
          </w:tcPr>
          <w:p>
            <w:pPr>
              <w:ind w:left="40"/>
              <w:spacing w:after="0"/>
              <w:rPr>
                <w:sz w:val="20"/>
                <w:szCs w:val="20"/>
                <w:color w:val="auto"/>
              </w:rPr>
            </w:pPr>
            <w:r>
              <w:rPr>
                <w:rFonts w:ascii="Arial" w:cs="Arial" w:eastAsia="Arial" w:hAnsi="Arial"/>
                <w:sz w:val="18"/>
                <w:szCs w:val="18"/>
                <w:color w:val="auto"/>
              </w:rPr>
              <w:t>External revenues</w:t>
            </w: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111,001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24,948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140,897</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7,978</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2,031</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5,930</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15,939</w:t>
            </w: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118,979</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26,979</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10,878</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156,836</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Internal revenues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1,140</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587</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7,854</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(9,581)</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120,119</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27,566</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18,732</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(9,581)</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156,836</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w w:val="98"/>
              </w:rPr>
              <w:t>Costs of goods and services, exclusive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of depreciation and amortization</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shown separately below</w:t>
            </w:r>
          </w:p>
        </w:tc>
        <w:tc>
          <w:tcPr>
            <w:tcW w:w="2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43,097</w:t>
            </w:r>
          </w:p>
        </w:tc>
        <w:tc>
          <w:tcPr>
            <w:tcW w:w="34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14,654</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9,442</w:t>
            </w:r>
          </w:p>
        </w:tc>
        <w:tc>
          <w:tcPr>
            <w:tcW w:w="3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(8,876)</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58,317</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exclusive of depreciation and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7"/>
              </w:rPr>
              <w:t>amortization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29,892</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4,770</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1,676</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4,736</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40,369</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Integration and acquisition expenses</w:t>
            </w:r>
          </w:p>
        </w:tc>
        <w:tc>
          <w:tcPr>
            <w:tcW w:w="2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14,499</w:t>
            </w:r>
          </w:p>
        </w:tc>
        <w:tc>
          <w:tcPr>
            <w:tcW w:w="34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773</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15,272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38,038</w:t>
            </w: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5,860</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2,822</w:t>
            </w:r>
          </w:p>
        </w:tc>
        <w:tc>
          <w:tcPr>
            <w:tcW w:w="3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46,807</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125,526</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25,284</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13,940</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5,596</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(9,581)</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160,765</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2,282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4,792</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100" w:type="dxa"/>
            <w:vAlign w:val="bottom"/>
            <w:gridSpan w:val="2"/>
          </w:tcPr>
          <w:p>
            <w:pPr>
              <w:spacing w:after="0"/>
              <w:rPr>
                <w:sz w:val="20"/>
                <w:szCs w:val="20"/>
                <w:color w:val="auto"/>
              </w:rPr>
            </w:pPr>
            <w:r>
              <w:rPr>
                <w:rFonts w:ascii="Arial" w:cs="Arial" w:eastAsia="Arial" w:hAnsi="Arial"/>
                <w:sz w:val="18"/>
                <w:szCs w:val="18"/>
                <w:color w:val="auto"/>
                <w:w w:val="92"/>
              </w:rPr>
              <w:t>Three months ended September 30, 2015</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Wireline</w:t>
            </w: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6"/>
              </w:rPr>
              <w:t>Eliminations</w:t>
            </w:r>
          </w:p>
        </w:tc>
        <w:tc>
          <w:tcPr>
            <w:tcW w:w="22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color w:val="auto"/>
              </w:rPr>
              <w:t>Totals</w:t>
            </w:r>
          </w:p>
        </w:tc>
        <w:tc>
          <w:tcPr>
            <w:tcW w:w="0" w:type="dxa"/>
            <w:vAlign w:val="bottom"/>
          </w:tcPr>
          <w:p>
            <w:pPr>
              <w:spacing w:after="0"/>
              <w:rPr>
                <w:sz w:val="1"/>
                <w:szCs w:val="1"/>
                <w:color w:val="auto"/>
              </w:rPr>
            </w:pPr>
          </w:p>
        </w:tc>
      </w:tr>
      <w:tr>
        <w:trPr>
          <w:trHeight w:val="34"/>
        </w:trPr>
        <w:tc>
          <w:tcPr>
            <w:tcW w:w="3100" w:type="dxa"/>
            <w:vAlign w:val="bottom"/>
            <w:gridSpan w:val="2"/>
            <w:vMerge w:val="restart"/>
          </w:tcPr>
          <w:p>
            <w:pPr>
              <w:ind w:left="40"/>
              <w:spacing w:after="0"/>
              <w:rPr>
                <w:sz w:val="20"/>
                <w:szCs w:val="20"/>
                <w:color w:val="auto"/>
              </w:rPr>
            </w:pPr>
            <w:r>
              <w:rPr>
                <w:rFonts w:ascii="Arial" w:cs="Arial" w:eastAsia="Arial" w:hAnsi="Arial"/>
                <w:sz w:val="18"/>
                <w:szCs w:val="18"/>
                <w:color w:val="auto"/>
              </w:rPr>
              <w:t>External revenues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47,793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22,284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74,981</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2,734</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1,882</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5,615</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10,231</w:t>
            </w: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50,527</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24,166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10,519</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85,212</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Internal revenues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1,109</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251</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6,759</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(8,119)</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51,636</w:t>
            </w: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24,417</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17,278</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(8,119)</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85,212</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w w:val="98"/>
              </w:rPr>
              <w:t>Costs of goods and services, exclusive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of depreciation and amortization</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shown separately below</w:t>
            </w: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15,572</w:t>
            </w:r>
          </w:p>
        </w:tc>
        <w:tc>
          <w:tcPr>
            <w:tcW w:w="3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14,124</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8,212</w:t>
            </w:r>
          </w:p>
        </w:tc>
        <w:tc>
          <w:tcPr>
            <w:tcW w:w="3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(7,338)</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30,570</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exclusive of depreciation and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7"/>
              </w:rPr>
              <w:t>amortization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9,027</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4,948</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1,688</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3,424</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Integration and acquisition expenses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2,129</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9,644</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5,948</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3,404</w:t>
            </w:r>
          </w:p>
        </w:tc>
        <w:tc>
          <w:tcPr>
            <w:tcW w:w="3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19,118</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34,243</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25,020</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13,304</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5,675</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(8,119)</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70,123</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17,393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3,974</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15,089</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100" w:type="dxa"/>
            <w:vAlign w:val="bottom"/>
            <w:gridSpan w:val="2"/>
          </w:tcPr>
          <w:p>
            <w:pPr>
              <w:spacing w:after="0"/>
              <w:rPr>
                <w:sz w:val="20"/>
                <w:szCs w:val="20"/>
                <w:color w:val="auto"/>
              </w:rPr>
            </w:pPr>
            <w:r>
              <w:rPr>
                <w:rFonts w:ascii="Arial" w:cs="Arial" w:eastAsia="Arial" w:hAnsi="Arial"/>
                <w:sz w:val="18"/>
                <w:szCs w:val="18"/>
                <w:color w:val="auto"/>
                <w:w w:val="94"/>
              </w:rPr>
              <w:t>Nine months ended September 30, 2016</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Wireline</w:t>
            </w: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6"/>
              </w:rPr>
              <w:t>Eliminations</w:t>
            </w:r>
          </w:p>
        </w:tc>
        <w:tc>
          <w:tcPr>
            <w:tcW w:w="22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34"/>
        </w:trPr>
        <w:tc>
          <w:tcPr>
            <w:tcW w:w="3100" w:type="dxa"/>
            <w:vAlign w:val="bottom"/>
            <w:gridSpan w:val="2"/>
            <w:vMerge w:val="restart"/>
          </w:tcPr>
          <w:p>
            <w:pPr>
              <w:ind w:left="40"/>
              <w:spacing w:after="0"/>
              <w:rPr>
                <w:sz w:val="20"/>
                <w:szCs w:val="20"/>
                <w:color w:val="auto"/>
              </w:rPr>
            </w:pPr>
            <w:r>
              <w:rPr>
                <w:rFonts w:ascii="Arial" w:cs="Arial" w:eastAsia="Arial" w:hAnsi="Arial"/>
                <w:sz w:val="18"/>
                <w:szCs w:val="18"/>
                <w:color w:val="auto"/>
              </w:rPr>
              <w:t>External revenues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250,053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73,455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14,727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338,235</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17,461</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5,799</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18,221</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41,481</w:t>
            </w: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267,514</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79,254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32,948</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379,716</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Internal revenues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3,417</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1,159</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22,754</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(27,330)</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270,931</w:t>
            </w: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80,413</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55,702</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(27,330)</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379,716</w:t>
            </w: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w w:val="98"/>
              </w:rPr>
              <w:t>Costs of goods and services, exclusive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of depreciation and amortization</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shown separately below</w:t>
            </w: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94,892</w:t>
            </w:r>
          </w:p>
        </w:tc>
        <w:tc>
          <w:tcPr>
            <w:tcW w:w="3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43,864</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26,892</w:t>
            </w:r>
          </w:p>
        </w:tc>
        <w:tc>
          <w:tcPr>
            <w:tcW w:w="3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(25,294)</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140,354</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exclusive of depreciation and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7"/>
              </w:rPr>
              <w:t>amortization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65,219</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14,672</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4,951</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13,457</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96,263</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Integration and acquisition expenses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19,889</w:t>
            </w: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15,912</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35,801</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70,026</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17,834</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8,789</w:t>
            </w:r>
          </w:p>
        </w:tc>
        <w:tc>
          <w:tcPr>
            <w:tcW w:w="3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312</w:t>
            </w: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96,961</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250,026</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76,370</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40,632</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29,681</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(27,330)</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369,379</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20,905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4,043</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15,070</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(29,681)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w w:val="94"/>
              </w:rPr>
              <w:t>Nine months ended September 30, 2015</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6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Wireless</w:t>
            </w:r>
          </w:p>
        </w:tc>
        <w:tc>
          <w:tcPr>
            <w:tcW w:w="3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4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Wireline</w:t>
            </w: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w w:val="96"/>
              </w:rPr>
              <w:t>Eliminations</w:t>
            </w:r>
          </w:p>
        </w:tc>
        <w:tc>
          <w:tcPr>
            <w:tcW w:w="22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34"/>
        </w:trPr>
        <w:tc>
          <w:tcPr>
            <w:tcW w:w="3100" w:type="dxa"/>
            <w:vAlign w:val="bottom"/>
            <w:gridSpan w:val="2"/>
            <w:vMerge w:val="restart"/>
          </w:tcPr>
          <w:p>
            <w:pPr>
              <w:ind w:left="40"/>
              <w:spacing w:after="0"/>
              <w:rPr>
                <w:sz w:val="20"/>
                <w:szCs w:val="20"/>
                <w:color w:val="auto"/>
              </w:rPr>
            </w:pPr>
            <w:r>
              <w:rPr>
                <w:rFonts w:ascii="Arial" w:cs="Arial" w:eastAsia="Arial" w:hAnsi="Arial"/>
                <w:sz w:val="18"/>
                <w:szCs w:val="18"/>
                <w:color w:val="auto"/>
              </w:rPr>
              <w:t>External revenues</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144,917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65,802</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225,262</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8,611</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5,495</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15,834</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29,940</w:t>
            </w: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external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153,528</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71,297</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30,377</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255,202</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Internal revenues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3,319</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585</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18,950</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(22,854)</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156,847</w:t>
            </w: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71,882</w:t>
            </w:r>
          </w:p>
        </w:tc>
        <w:tc>
          <w:tcPr>
            <w:tcW w:w="2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49,327</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(22,854)</w:t>
            </w:r>
          </w:p>
        </w:tc>
        <w:tc>
          <w:tcPr>
            <w:tcW w:w="2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255,202</w:t>
            </w: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gridSpan w:val="2"/>
          </w:tcPr>
          <w:p>
            <w:pPr>
              <w:ind w:left="40"/>
              <w:spacing w:after="0"/>
              <w:rPr>
                <w:sz w:val="20"/>
                <w:szCs w:val="20"/>
                <w:color w:val="auto"/>
              </w:rPr>
            </w:pPr>
            <w:r>
              <w:rPr>
                <w:rFonts w:ascii="Arial" w:cs="Arial" w:eastAsia="Arial" w:hAnsi="Arial"/>
                <w:sz w:val="18"/>
                <w:szCs w:val="18"/>
                <w:color w:val="auto"/>
                <w:w w:val="98"/>
              </w:rPr>
              <w:t>Costs of goods and services, exclusive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of depreciation and amortization</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shown separately below</w:t>
            </w: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47,661</w:t>
            </w:r>
          </w:p>
        </w:tc>
        <w:tc>
          <w:tcPr>
            <w:tcW w:w="36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41,378</w:t>
            </w: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23,224</w:t>
            </w:r>
          </w:p>
        </w:tc>
        <w:tc>
          <w:tcPr>
            <w:tcW w:w="3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(20,722)</w:t>
            </w:r>
          </w:p>
        </w:tc>
        <w:tc>
          <w:tcPr>
            <w:tcW w:w="2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91,541</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exclusive of depreciation and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w w:val="97"/>
              </w:rPr>
              <w:t>amortization shown separately below</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26,996</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14,924</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4,923</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10,313</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55,024</w:t>
            </w:r>
          </w:p>
        </w:tc>
        <w:tc>
          <w:tcPr>
            <w:tcW w:w="0" w:type="dxa"/>
            <w:vAlign w:val="bottom"/>
          </w:tcPr>
          <w:p>
            <w:pPr>
              <w:spacing w:after="0"/>
              <w:rPr>
                <w:sz w:val="1"/>
                <w:szCs w:val="1"/>
                <w:color w:val="auto"/>
              </w:rPr>
            </w:pPr>
          </w:p>
        </w:tc>
      </w:tr>
      <w:tr>
        <w:trPr>
          <w:trHeight w:val="243"/>
        </w:trPr>
        <w:tc>
          <w:tcPr>
            <w:tcW w:w="3100" w:type="dxa"/>
            <w:vAlign w:val="bottom"/>
            <w:gridSpan w:val="2"/>
          </w:tcPr>
          <w:p>
            <w:pPr>
              <w:ind w:left="40"/>
              <w:spacing w:after="0"/>
              <w:rPr>
                <w:sz w:val="20"/>
                <w:szCs w:val="20"/>
                <w:color w:val="auto"/>
              </w:rPr>
            </w:pPr>
            <w:r>
              <w:rPr>
                <w:rFonts w:ascii="Arial" w:cs="Arial" w:eastAsia="Arial" w:hAnsi="Arial"/>
                <w:sz w:val="18"/>
                <w:szCs w:val="18"/>
                <w:color w:val="auto"/>
              </w:rPr>
              <w:t>Integration and acquisition expenses</w:t>
            </w:r>
          </w:p>
        </w:tc>
        <w:tc>
          <w:tcPr>
            <w:tcW w:w="2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3,153</w:t>
            </w: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26,089</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17,286</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9,411</w:t>
            </w:r>
          </w:p>
        </w:tc>
        <w:tc>
          <w:tcPr>
            <w:tcW w:w="3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333</w:t>
            </w: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53,119</w:t>
            </w:r>
          </w:p>
        </w:tc>
        <w:tc>
          <w:tcPr>
            <w:tcW w:w="0" w:type="dxa"/>
            <w:vAlign w:val="bottom"/>
          </w:tcPr>
          <w:p>
            <w:pPr>
              <w:spacing w:after="0"/>
              <w:rPr>
                <w:sz w:val="1"/>
                <w:szCs w:val="1"/>
                <w:color w:val="auto"/>
              </w:rPr>
            </w:pPr>
          </w:p>
        </w:tc>
      </w:tr>
      <w:tr>
        <w:trPr>
          <w:trHeight w:val="284"/>
        </w:trPr>
        <w:tc>
          <w:tcPr>
            <w:tcW w:w="31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100,746</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73,588</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37,558</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13,799</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(22,854)</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202,837</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56,101</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(1,706)</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11,769</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(13,799)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52,365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total of the reportable segments’ operating income (loss) to consolidated income (loss) before taxes is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consolidated operating income (loss)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Non-operating income, net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2092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34"/>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(3,929)</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15,089</w:t>
            </w:r>
          </w:p>
        </w:tc>
      </w:tr>
      <w:tr>
        <w:trPr>
          <w:trHeight w:val="270"/>
        </w:trPr>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(8,845)</w:t>
            </w:r>
          </w:p>
        </w:tc>
        <w:tc>
          <w:tcPr>
            <w:tcW w:w="4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(1,808)</w:t>
            </w:r>
          </w:p>
        </w:tc>
      </w:tr>
      <w:tr>
        <w:trPr>
          <w:trHeight w:val="270"/>
        </w:trPr>
        <w:tc>
          <w:tcPr>
            <w:tcW w:w="38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1,527</w:t>
            </w:r>
          </w:p>
        </w:tc>
        <w:tc>
          <w:tcPr>
            <w:tcW w:w="4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34"/>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(11,247)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13,461</w:t>
            </w:r>
          </w:p>
        </w:tc>
      </w:tr>
      <w:tr>
        <w:trPr>
          <w:trHeight w:val="27"/>
        </w:trPr>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-736600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-385445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20923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7400" w:space="720"/>
            <w:col w:w="33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2016</w:t>
            </w:r>
          </w:p>
        </w:tc>
        <w:tc>
          <w:tcPr>
            <w:tcW w:w="26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operating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52,365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(16,369)</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Non-operating income, net</w:t>
            </w:r>
          </w:p>
        </w:tc>
        <w:tc>
          <w:tcPr>
            <w:tcW w:w="20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3,147</w:t>
            </w:r>
          </w:p>
        </w:tc>
        <w:tc>
          <w:tcPr>
            <w:tcW w:w="26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47,955</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The Company’s assets by segment are as follows:</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color w:val="auto"/>
                <w:w w:val="93"/>
              </w:rPr>
              <w:t>September 30,</w:t>
            </w:r>
          </w:p>
        </w:tc>
        <w:tc>
          <w:tcPr>
            <w:tcW w:w="2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7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Wireless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1,106,023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205,718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Cable</w:t>
            </w:r>
          </w:p>
        </w:tc>
        <w:tc>
          <w:tcPr>
            <w:tcW w:w="20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213,664</w:t>
            </w:r>
          </w:p>
        </w:tc>
        <w:tc>
          <w:tcPr>
            <w:tcW w:w="2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209,132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Wireline</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109,647</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105,369</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1,052,205</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463,390</w:t>
            </w: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Combined totals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2,481,539</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983,609</w:t>
            </w:r>
          </w:p>
        </w:tc>
        <w:tc>
          <w:tcPr>
            <w:tcW w:w="0" w:type="dxa"/>
            <w:vAlign w:val="bottom"/>
          </w:tcPr>
          <w:p>
            <w:pPr>
              <w:spacing w:after="0"/>
              <w:rPr>
                <w:sz w:val="1"/>
                <w:szCs w:val="1"/>
                <w:color w:val="auto"/>
              </w:rPr>
            </w:pP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Inter-segment eliminations</w:t>
            </w: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(1,047,914)</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(356,458)</w:t>
            </w: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totals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1,433,625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627,151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w:t>
        <w:tab/>
        <w:t>Income Taxes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files U.S. federal income tax returns and various state and local income tax returns. With few exceptions, years prior to 2013 are no longer subject to examination. The Company is not subject to any state or federal income tax audits as of September 30, 2016.</w:t>
      </w:r>
    </w:p>
    <w:p>
      <w:pPr>
        <w:spacing w:after="0" w:line="170"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Adoption of New Accounting Principles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2016, the Company adopted four recent accounting principles: Accounting Standards Update 2015-3, “Interest – Imputation of Interest” (ASU 2015-3), ASU 2015-17, “Balance Sheet Classification of Deferred Taxes”, ASU 2016-9, “Improvements to Employee Share-based Payment Accounting,” and ASU 2015-16, “Simplifying the Accounting for Measurement-Period Adjustments.”</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ASU 2015-3 requires that premiums, discounts, and loan fees and costs associated with long term debt be reflected as a reduction of the outstanding debt balance. Previous guidance had treated such loan fees and costs as a deferred charge on the balance sheet. As a result of implementing ASU 2015-3, the Company reclassified $1.6 million of unamortized loan fees and costs included in deferred charges and other assets as of December 31, 2015 to long-term debt. Approximately $0.5 million was allocated to current maturities of long-term debt, and $1.1 million to long term debt. Total assets, as well as total liabilities and shareholders’ equity, were also reduced by the same $1.6 million. In addition, the Company reclassified $4.3 million of unamortized loan fees and costs included in deferred charges and other assets to long term debt in connection with the new Term loan A-1 and A-2 borrowing related to the acquisition of nTelos. Total assets, as well as total liabilities and shareholders’ equity, were also reduced by the same $4.3 million. There was no impact on the statements of income or cash flows.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ASU 2015-17 simplifies accounting for deferred taxes by eliminating the requirement to present deferred tax assets and liabilities as current and non-current in a classified balance sheet. Due to the immaterial balance of current deferred tax assets ($0.9 million as of December 31, 2015), the Company has elected to apply this guidance prospectively, and thus prior periods have not been retrospectively adjusted.</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ASU 2016-9 simplifies certain provisions related to the accounting for the tax effects of stock-based compensation transactions. In particular for the Company, it eliminates the requirement to determine for each award whether the difference between book compensation and tax compensation results in an excess tax benefit or a tax deficiency, which generally speaking, result in an entry to additional paid-in-capital. Under the new guidance, all tax effects for exercised or vested awards are recognized as discrete items in income tax expense. The new guidance also allows an employer to withhold shares to cover more than the minimum statutory withholding taxes (but not more than the maximum statutory withholding requirements) without causing an equity-classified award to become a liability classified award. The other provisions of the new guidance are either not applicable or have no significant impact on the Company’s accounting for stock-based compensation transactions. The Company has elected to early adopt the new guidance and apply it prospectively to tax effects on share-based compensation transactions.</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ASU 2015-16 requires that an acquirer recognize adjustments to provisional amounts that are identified during the measurement period in the reporting period in which the adjustment amounts are determined. See Note 2 for adjustments recorded during the third quarter of 2016.</w:t>
      </w:r>
    </w:p>
    <w:p>
      <w:pPr>
        <w:spacing w:after="0" w:line="170" w:lineRule="exact"/>
        <w:rPr>
          <w:sz w:val="20"/>
          <w:szCs w:val="20"/>
          <w:color w:val="auto"/>
        </w:rPr>
      </w:pPr>
    </w:p>
    <w:p>
      <w:pPr>
        <w:ind w:right="7600" w:firstLine="8"/>
        <w:spacing w:after="0" w:line="528" w:lineRule="auto"/>
        <w:tabs>
          <w:tab w:leader="none" w:pos="486"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Long-term Debt and Revolving Line of Credit Total debt consists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color w:val="auto"/>
                <w:w w:val="93"/>
              </w:rPr>
              <w:t>September 30,</w:t>
            </w:r>
          </w:p>
        </w:tc>
        <w:tc>
          <w:tcPr>
            <w:tcW w:w="28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0"/>
        </w:trPr>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34"/>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201,250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Term loan A-1</w:t>
            </w: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478,937</w:t>
            </w: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A-2</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350,000</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828,937</w:t>
            </w: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201,250</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loan fees</w:t>
            </w:r>
          </w:p>
        </w:tc>
        <w:tc>
          <w:tcPr>
            <w:tcW w:w="20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19,370</w:t>
            </w:r>
          </w:p>
        </w:tc>
        <w:tc>
          <w:tcPr>
            <w:tcW w:w="28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1,589</w:t>
            </w:r>
          </w:p>
        </w:tc>
      </w:tr>
      <w:tr>
        <w:trPr>
          <w:trHeight w:val="30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debt, net of unamortized loan fees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809,567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199,661</w:t>
            </w:r>
          </w:p>
        </w:tc>
      </w:tr>
      <w:tr>
        <w:trPr>
          <w:trHeight w:val="311"/>
        </w:trPr>
        <w:tc>
          <w:tcPr>
            <w:tcW w:w="8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maturities of long term debt, net of unamortized loan fees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25,972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22,492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783,595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177,169</w:t>
            </w:r>
          </w:p>
        </w:tc>
      </w:tr>
      <w:tr>
        <w:trPr>
          <w:trHeight w:val="27"/>
        </w:trPr>
        <w:tc>
          <w:tcPr>
            <w:tcW w:w="8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previously disclosed, on December 18, 2015, the Company entered into a Credit Agreement (as amended, the “2016 credit agreement”) with various banks and other financial institutions party thereto and CoBank, ACB, as administrative agent for the lenders, providing for three facilities: (i) a five year revolving credit facility of up to $75 million; (ii) a five-year term loan facility of up to $485 million (Term Loan A-1”); and (iii) a seven-year term loan facility of up to $400 million (“Term Loan A-2”).</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closing of the nTelos acquisition, the Company borrowed (i) $485 million under Term Loan A-1 and (ii) $325 million under Term Loan A-2, which amounts were used to, among other things, fund the payment of the nTelos merger consideration, to refinance, in full, all indebtedness under the Company’s existing credit agreement, to repay existing long-term indebtedness of nTelos and to pay fees and expenses in connection with the foregoing. In connection with the consummation of the nTelos acquisition, nTelos and its subsidiaries became guarantors under the 2016 credit agreement and pledged their assets as security for the obligations under the 2016 credit agreement. The 2016 credit agreement also includes $75 million available under the Term Loan A-2 as a “delayed draw term loan,” and in June 2016, the Company drew $25 million under this portion of the agreement. Finally, the 2016 credit agreement also includes a $75 million revolver facility.</w:t>
      </w:r>
    </w:p>
    <w:p>
      <w:pPr>
        <w:spacing w:after="0" w:line="1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September 30, 2016, the Company’s indebtedness totaled $809.6 million, net of unamortized loan fees of $19.4 million, with an annualized overall weighted average interest rate of approximately 3.83%. The Term Loan A-1 bears interest at one-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month LIBOR plus a margin of 2.75%, while the Term Loan A-2 bears interest at one-month LIBOR plus a margin of 3.00%. LIBOR resets monthly. These loans are more fully described below.</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Term Loan A-1 requires quarterly principal repayments of $6.1 million, which began on September 30, 2016, and will continue through June 30, 2017, increasing to $12.1 million quarterly from September 30, 2017 through June 30, 2020, increasing to $18.2 million quarterly from September 30, 2020 thereafter through March 31, 2021, with the remaining expected balance of approximately $260.7 million due June 30, 2021. The Term Loan A-2 requires quarterly principal repayments of $10.0 million beginning on September 30, 2018 through March 31, 2023, with the current remaining expected balance of approximately $160.0 million due June 30, 2023.</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2016 credit agreement also required the Company to enter into one or more hedge agreements to manage its exposure to interest rate movements. The Company elected to hedge the minimum required under the 2016 credit agreement, and entered into a pay fixed, receive variable swap on 50% of the aggregate expected principal balance of the term loans outstanding. The Company will receive one month LIBOR and pay a fixed rate of 1.16%, in addition to the 2.75% initial spread on Term Loan A-1 and the 3.00% initial spread on Term Loan A-2.</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2016 credit agreement contains affirmative and negative covenants customary to secured credit facilities, including covenants restricting the ability of the Company and its subsidiaries,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 Company’s and its subsidiaries’ businesses.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Indebtedness outstanding under any of the facilities may be accelerated by an Event of Default, as defined in the 2016 credit agreement.</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Facilities are secured by a pledge by the Company of its stock in its subsidiaries, a guarantee by the Company’s subsidiaries other than Shenandoah Telephone Company, and a security interest in substantially all of the assets of the Company and the guarantors.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certain financial covenants to be measured on a trailing twelve month basis each calendar quarter unless otherwise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include:</w:t>
      </w:r>
    </w:p>
    <w:p>
      <w:pPr>
        <w:spacing w:after="0" w:line="211" w:lineRule="exact"/>
        <w:rPr>
          <w:sz w:val="20"/>
          <w:szCs w:val="20"/>
          <w:color w:val="auto"/>
        </w:rPr>
      </w:pPr>
    </w:p>
    <w:p>
      <w:pPr>
        <w:ind w:left="660" w:right="10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limitation on the Company’s total leverage ratio, defined as indebtedness divided by earnings before interest, taxes, depreciation and amortization, or EBITDA, of less than or equal to 3.75 to 1.00 from the closing date through December 30, 2018, then 3.25 to 1.00 through December 30, 2019, and 3.00 to 1.00 thereafter;</w:t>
      </w:r>
    </w:p>
    <w:p>
      <w:pPr>
        <w:ind w:left="660" w:right="120" w:hanging="328"/>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minimum debt service coverage ratio, defined as EBITDA minus certain cash taxes divided by the sum of all scheduled principal payments on the Term Loans and scheduled principal payments on other indebtedness plus cash interest expense, greater than 2.00 to 1.00;</w:t>
      </w:r>
    </w:p>
    <w:p>
      <w:pPr>
        <w:ind w:left="660" w:right="540" w:hanging="328"/>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must maintain a minimum liquidity balance, defined as availability under the revolver facility plus unrestricted cash and cash equivalents on deposit in a deposit account for which a control agreement has been delivered to the administrative agent under the 2016 credit agreement, of greater than $25 million at all times.</w:t>
      </w:r>
    </w:p>
    <w:p>
      <w:pPr>
        <w:spacing w:after="0" w:line="190"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These ratios are generally less restrictive than the covenant ratios the Company had been required to comply with under its previously existing debt arrangements. As of September 30, 2016, the Company was in compliance with the covenants in the 2016 credit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long-term debt principal are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Remainder of 2016</w:t>
            </w:r>
          </w:p>
        </w:tc>
        <w:tc>
          <w:tcPr>
            <w:tcW w:w="6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2017</w:t>
            </w:r>
          </w:p>
        </w:tc>
        <w:tc>
          <w:tcPr>
            <w:tcW w:w="6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36,375</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2018</w:t>
            </w:r>
          </w:p>
        </w:tc>
        <w:tc>
          <w:tcPr>
            <w:tcW w:w="6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68,500</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2019</w:t>
            </w:r>
          </w:p>
        </w:tc>
        <w:tc>
          <w:tcPr>
            <w:tcW w:w="6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88,500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6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100,625</w:t>
            </w:r>
          </w:p>
        </w:tc>
        <w:tc>
          <w:tcPr>
            <w:tcW w:w="0" w:type="dxa"/>
            <w:vAlign w:val="bottom"/>
          </w:tcPr>
          <w:p>
            <w:pPr>
              <w:spacing w:after="0"/>
              <w:rPr>
                <w:sz w:val="1"/>
                <w:szCs w:val="1"/>
                <w:color w:val="auto"/>
              </w:rPr>
            </w:pPr>
          </w:p>
        </w:tc>
      </w:tr>
      <w:tr>
        <w:trPr>
          <w:trHeight w:val="284"/>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6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528,875</w:t>
            </w:r>
          </w:p>
        </w:tc>
        <w:tc>
          <w:tcPr>
            <w:tcW w:w="0" w:type="dxa"/>
            <w:vAlign w:val="bottom"/>
          </w:tcPr>
          <w:p>
            <w:pPr>
              <w:spacing w:after="0"/>
              <w:rPr>
                <w:sz w:val="1"/>
                <w:szCs w:val="1"/>
                <w:color w:val="auto"/>
              </w:rPr>
            </w:pPr>
          </w:p>
        </w:tc>
      </w:tr>
      <w:tr>
        <w:trPr>
          <w:trHeight w:val="25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828,937</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23</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0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Pension Plan and Other Postretirement Benefits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assumed, through its acquisition of nTelos, a qualified pension plan and other postretirement benefit plans. The following tables provide the benefit obligations, fair value of assets and a statement of the funded status as of the acquisition date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Defined Benefit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Other Postretirement</w:t>
            </w: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Pension Plan</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8"/>
              </w:rPr>
              <w:t>Benefit Plans</w:t>
            </w:r>
          </w:p>
        </w:tc>
      </w:tr>
      <w:tr>
        <w:trPr>
          <w:trHeight w:val="243"/>
        </w:trPr>
        <w:tc>
          <w:tcPr>
            <w:tcW w:w="81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Benefit obligations, at acquisition</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37,443</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4,568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plan assets, at acquisition</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Funded status:</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71"/>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liability, at acquisition</w:t>
            </w: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w:t>
            </w:r>
          </w:p>
        </w:tc>
      </w:tr>
      <w:tr>
        <w:trPr>
          <w:trHeight w:val="28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pension income (expense) since acquisition date</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5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liability as of September 30,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accumulated benefit obligation for the defined benefit pension plan at May 6, 2016 was $37.4 million. The accumulated benefit obligation represents the present value of pension benefits based on service and salary earned to date. The defined benefit plan was frozen for future benefit accruals as of December 31, 2012. Accordingly, the accumulated benefit obligation is equal to the projected benefit obligation.</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the components of net periodic benefit cost (income) for the plans for the period from acquisition date to December 31, 2016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Defined Benefit</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w w:val="90"/>
              </w:rPr>
              <w:t>Other Postretirement</w:t>
            </w:r>
          </w:p>
        </w:tc>
      </w:tr>
      <w:tr>
        <w:trPr>
          <w:trHeight w:val="230"/>
        </w:trPr>
        <w:tc>
          <w:tcPr>
            <w:tcW w:w="8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Pension Plan</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color w:val="auto"/>
                <w:w w:val="98"/>
              </w:rPr>
              <w:t>Benefit Plans</w:t>
            </w:r>
          </w:p>
        </w:tc>
      </w:tr>
      <w:tr>
        <w:trPr>
          <w:trHeight w:val="34"/>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84"/>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periodic cost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measurements of the Company’s benefit obligations at May 6, 2016 for the plans are shown in the following table:</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1860" w:type="dxa"/>
            <w:vAlign w:val="bottom"/>
          </w:tcPr>
          <w:p>
            <w:pPr>
              <w:jc w:val="center"/>
              <w:ind w:right="70"/>
              <w:spacing w:after="0"/>
              <w:rPr>
                <w:sz w:val="20"/>
                <w:szCs w:val="20"/>
                <w:color w:val="auto"/>
              </w:rPr>
            </w:pPr>
            <w:r>
              <w:rPr>
                <w:rFonts w:ascii="Arial" w:cs="Arial" w:eastAsia="Arial" w:hAnsi="Arial"/>
                <w:sz w:val="18"/>
                <w:szCs w:val="18"/>
                <w:color w:val="auto"/>
                <w:w w:val="93"/>
              </w:rPr>
              <w:t>Defined</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Other</w:t>
            </w:r>
          </w:p>
        </w:tc>
      </w:tr>
      <w:tr>
        <w:trPr>
          <w:trHeight w:val="216"/>
        </w:trPr>
        <w:tc>
          <w:tcPr>
            <w:tcW w:w="794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color w:val="auto"/>
                <w:w w:val="92"/>
              </w:rPr>
              <w:t>Benefit</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Postretirement</w:t>
            </w:r>
          </w:p>
        </w:tc>
      </w:tr>
      <w:tr>
        <w:trPr>
          <w:trHeight w:val="230"/>
        </w:trPr>
        <w:tc>
          <w:tcPr>
            <w:tcW w:w="7940" w:type="dxa"/>
            <w:vAlign w:val="bottom"/>
          </w:tcPr>
          <w:p>
            <w:pPr>
              <w:spacing w:after="0"/>
              <w:rPr>
                <w:sz w:val="20"/>
                <w:szCs w:val="20"/>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color w:val="auto"/>
                <w:w w:val="86"/>
              </w:rPr>
              <w:t>Pension Plan</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Benefit Plans</w:t>
            </w:r>
          </w:p>
        </w:tc>
      </w:tr>
      <w:tr>
        <w:trPr>
          <w:trHeight w:val="34"/>
        </w:trPr>
        <w:tc>
          <w:tcPr>
            <w:tcW w:w="79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Discount rate</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3.85%</w:t>
            </w:r>
          </w:p>
        </w:tc>
        <w:tc>
          <w:tcPr>
            <w:tcW w:w="1580" w:type="dxa"/>
            <w:vAlign w:val="bottom"/>
          </w:tcPr>
          <w:p>
            <w:pPr>
              <w:jc w:val="right"/>
              <w:spacing w:after="0"/>
              <w:rPr>
                <w:sz w:val="20"/>
                <w:szCs w:val="20"/>
                <w:color w:val="auto"/>
              </w:rPr>
            </w:pPr>
            <w:r>
              <w:rPr>
                <w:rFonts w:ascii="Arial" w:cs="Arial" w:eastAsia="Arial" w:hAnsi="Arial"/>
                <w:sz w:val="18"/>
                <w:szCs w:val="18"/>
                <w:color w:val="auto"/>
              </w:rPr>
              <w:t>3.85%</w:t>
            </w:r>
          </w:p>
        </w:tc>
      </w:tr>
    </w:tbl>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assumptions used in the measurements of the Company’s net periodic benefit cost (income) for the consolidated statement of operations for the period from acquisition date through December 31, 2016 are: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Defined Benefit</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Postretirement</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Pension Plan</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Benefit Plans</w:t>
            </w:r>
          </w:p>
        </w:tc>
        <w:tc>
          <w:tcPr>
            <w:tcW w:w="0" w:type="dxa"/>
            <w:vAlign w:val="bottom"/>
          </w:tcPr>
          <w:p>
            <w:pPr>
              <w:spacing w:after="0"/>
              <w:rPr>
                <w:sz w:val="1"/>
                <w:szCs w:val="1"/>
                <w:color w:val="auto"/>
              </w:rPr>
            </w:pPr>
          </w:p>
        </w:tc>
      </w:tr>
      <w:tr>
        <w:trPr>
          <w:trHeight w:val="34"/>
        </w:trPr>
        <w:tc>
          <w:tcPr>
            <w:tcW w:w="3920" w:type="dxa"/>
            <w:vAlign w:val="bottom"/>
            <w:vMerge w:val="restart"/>
          </w:tcPr>
          <w:p>
            <w:pPr>
              <w:ind w:left="40"/>
              <w:spacing w:after="0"/>
              <w:rPr>
                <w:sz w:val="20"/>
                <w:szCs w:val="20"/>
                <w:color w:val="auto"/>
              </w:rPr>
            </w:pPr>
            <w:r>
              <w:rPr>
                <w:rFonts w:ascii="Arial" w:cs="Arial" w:eastAsia="Arial" w:hAnsi="Arial"/>
                <w:sz w:val="18"/>
                <w:szCs w:val="18"/>
                <w:color w:val="auto"/>
              </w:rPr>
              <w:t>Discount rate</w:t>
            </w:r>
          </w:p>
        </w:tc>
        <w:tc>
          <w:tcPr>
            <w:tcW w:w="40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20" w:type="dxa"/>
            <w:vAlign w:val="bottom"/>
            <w:vMerge w:val="continue"/>
          </w:tcPr>
          <w:p>
            <w:pPr>
              <w:spacing w:after="0"/>
              <w:rPr>
                <w:sz w:val="21"/>
                <w:szCs w:val="21"/>
                <w:color w:val="auto"/>
              </w:rPr>
            </w:pP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5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5"/>
        </w:trPr>
        <w:tc>
          <w:tcPr>
            <w:tcW w:w="3920" w:type="dxa"/>
            <w:vAlign w:val="bottom"/>
          </w:tcPr>
          <w:p>
            <w:pPr>
              <w:spacing w:after="0"/>
              <w:rPr>
                <w:sz w:val="24"/>
                <w:szCs w:val="24"/>
                <w:color w:val="auto"/>
              </w:rPr>
            </w:pPr>
          </w:p>
        </w:tc>
        <w:tc>
          <w:tcPr>
            <w:tcW w:w="4060" w:type="dxa"/>
            <w:vAlign w:val="bottom"/>
          </w:tcPr>
          <w:p>
            <w:pPr>
              <w:jc w:val="right"/>
              <w:ind w:right="2090"/>
              <w:spacing w:after="0"/>
              <w:rPr>
                <w:sz w:val="20"/>
                <w:szCs w:val="20"/>
                <w:color w:val="auto"/>
              </w:rPr>
            </w:pPr>
            <w:r>
              <w:rPr>
                <w:rFonts w:ascii="Arial" w:cs="Arial" w:eastAsia="Arial" w:hAnsi="Arial"/>
                <w:sz w:val="18"/>
                <w:szCs w:val="18"/>
                <w:color w:val="auto"/>
              </w:rPr>
              <w:t>24</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reviews the assumptions noted in the above tables annually or more frequently to reflect anticipated future changes in the underlying economic factors used to determine these assumptions. The discount rates assumed reflect the rate at which the Company could invest in high quality corporate bonds in order to settle future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updated mortality tables published by the Society of Actuaries that predict increasing life expectancies in the United States.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measurement purposes, an 8.0% annual rate of increase in the per capita cost of covered health care benefits was assumed for 2016 for the obligation as of the acquisition date. The rate was assumed to decrease one-half percent per year to a rate of 5.0% for 2022 and remain at that level thereafter.</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Assumed health care cost trend rates may have a significant effect on the amounts reported for the health care plans. The effect of a 1% change on the medical trend rate per future year, while holding all other assumptions constant, to the service and interest cost components of net periodic postretirement health care benefit costs and accumulated postretirement benefit obligation would be a $0.1 million increase and a $0.6 million increase, respectively, for a 1% increase in medical trend rate and a $0.1 million decrease and a $0.5 million decrease, respectively, for a 1% decrease in medical trend rate.</w:t>
      </w:r>
    </w:p>
    <w:p>
      <w:pPr>
        <w:spacing w:after="0" w:line="15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developing the expected long-term rate of return assumption for the assets of the Defined Benefit Pension Plan, the Company evaluated input from its third-party pension plan administrator, including its review of asset class return expectations and long-term inflation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average actual asset allocations by asset category and the fair value by asset category as of May 6, 2016 were as follows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gridSpan w:val="4"/>
          </w:tcPr>
          <w:p>
            <w:pPr>
              <w:ind w:left="40"/>
              <w:spacing w:after="0"/>
              <w:rPr>
                <w:sz w:val="20"/>
                <w:szCs w:val="20"/>
                <w:color w:val="auto"/>
              </w:rPr>
            </w:pPr>
            <w:r>
              <w:rPr>
                <w:rFonts w:ascii="Arial" w:cs="Arial" w:eastAsia="Arial" w:hAnsi="Arial"/>
                <w:sz w:val="18"/>
                <w:szCs w:val="18"/>
                <w:color w:val="auto"/>
              </w:rPr>
              <w:t>Asset Category</w:t>
            </w:r>
          </w:p>
        </w:tc>
        <w:tc>
          <w:tcPr>
            <w:tcW w:w="1760" w:type="dxa"/>
            <w:vAlign w:val="bottom"/>
            <w:gridSpan w:val="4"/>
          </w:tcPr>
          <w:p>
            <w:pPr>
              <w:ind w:left="180"/>
              <w:spacing w:after="0"/>
              <w:rPr>
                <w:sz w:val="20"/>
                <w:szCs w:val="20"/>
                <w:color w:val="auto"/>
              </w:rPr>
            </w:pPr>
            <w:r>
              <w:rPr>
                <w:rFonts w:ascii="Arial" w:cs="Arial" w:eastAsia="Arial" w:hAnsi="Arial"/>
                <w:sz w:val="18"/>
                <w:szCs w:val="18"/>
                <w:color w:val="auto"/>
              </w:rPr>
              <w:t>Actual Allocation</w:t>
            </w:r>
          </w:p>
        </w:tc>
        <w:tc>
          <w:tcPr>
            <w:tcW w:w="260" w:type="dxa"/>
            <w:vAlign w:val="bottom"/>
          </w:tcPr>
          <w:p>
            <w:pPr>
              <w:spacing w:after="0"/>
              <w:rPr>
                <w:sz w:val="17"/>
                <w:szCs w:val="17"/>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6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60" w:type="dxa"/>
            <w:vAlign w:val="bottom"/>
            <w:gridSpan w:val="4"/>
          </w:tcPr>
          <w:p>
            <w:pPr>
              <w:ind w:left="40"/>
              <w:spacing w:after="0"/>
              <w:rPr>
                <w:sz w:val="20"/>
                <w:szCs w:val="20"/>
                <w:color w:val="auto"/>
              </w:rPr>
            </w:pPr>
            <w:r>
              <w:rPr>
                <w:rFonts w:ascii="Arial" w:cs="Arial" w:eastAsia="Arial" w:hAnsi="Arial"/>
                <w:sz w:val="18"/>
                <w:szCs w:val="18"/>
                <w:color w:val="auto"/>
              </w:rPr>
              <w:t>Large Cap Value</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Mid Cap Blend</w:t>
            </w:r>
          </w:p>
        </w:tc>
        <w:tc>
          <w:tcPr>
            <w:tcW w:w="1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43"/>
        </w:trPr>
        <w:tc>
          <w:tcPr>
            <w:tcW w:w="8060" w:type="dxa"/>
            <w:vAlign w:val="bottom"/>
            <w:gridSpan w:val="4"/>
          </w:tcPr>
          <w:p>
            <w:pPr>
              <w:ind w:left="40"/>
              <w:spacing w:after="0"/>
              <w:rPr>
                <w:sz w:val="20"/>
                <w:szCs w:val="20"/>
                <w:color w:val="auto"/>
              </w:rPr>
            </w:pPr>
            <w:r>
              <w:rPr>
                <w:rFonts w:ascii="Arial" w:cs="Arial" w:eastAsia="Arial" w:hAnsi="Arial"/>
                <w:sz w:val="18"/>
                <w:szCs w:val="18"/>
                <w:color w:val="auto"/>
              </w:rPr>
              <w:t>Small Cap Blend</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Stock – Large Cap</w:t>
            </w:r>
          </w:p>
        </w:tc>
        <w:tc>
          <w:tcPr>
            <w:tcW w:w="1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43"/>
        </w:trPr>
        <w:tc>
          <w:tcPr>
            <w:tcW w:w="8060" w:type="dxa"/>
            <w:vAlign w:val="bottom"/>
            <w:gridSpan w:val="4"/>
          </w:tcPr>
          <w:p>
            <w:pPr>
              <w:ind w:left="40"/>
              <w:spacing w:after="0"/>
              <w:rPr>
                <w:sz w:val="20"/>
                <w:szCs w:val="20"/>
                <w:color w:val="auto"/>
              </w:rPr>
            </w:pPr>
            <w:r>
              <w:rPr>
                <w:rFonts w:ascii="Arial" w:cs="Arial" w:eastAsia="Arial" w:hAnsi="Arial"/>
                <w:sz w:val="18"/>
                <w:szCs w:val="18"/>
                <w:color w:val="auto"/>
              </w:rPr>
              <w:t>Bond</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802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22,813</w:t>
            </w:r>
          </w:p>
        </w:tc>
        <w:tc>
          <w:tcPr>
            <w:tcW w:w="0" w:type="dxa"/>
            <w:vAlign w:val="bottom"/>
          </w:tcPr>
          <w:p>
            <w:pPr>
              <w:spacing w:after="0"/>
              <w:rPr>
                <w:sz w:val="1"/>
                <w:szCs w:val="1"/>
                <w:color w:val="auto"/>
              </w:rPr>
            </w:pPr>
          </w:p>
        </w:tc>
      </w:tr>
      <w:tr>
        <w:trPr>
          <w:trHeight w:val="20"/>
        </w:trPr>
        <w:tc>
          <w:tcPr>
            <w:tcW w:w="8060" w:type="dxa"/>
            <w:vAlign w:val="bottom"/>
            <w:gridSpan w:val="4"/>
            <w:vMerge w:val="restart"/>
          </w:tcPr>
          <w:p>
            <w:pPr>
              <w:spacing w:after="0"/>
              <w:rPr>
                <w:sz w:val="20"/>
                <w:szCs w:val="20"/>
                <w:color w:val="auto"/>
              </w:rPr>
            </w:pPr>
            <w:r>
              <w:rPr>
                <w:rFonts w:ascii="Arial" w:cs="Arial" w:eastAsia="Arial" w:hAnsi="Arial"/>
                <w:sz w:val="18"/>
                <w:szCs w:val="18"/>
                <w:color w:val="auto"/>
              </w:rPr>
              <w:t>The actual and target allocation for plan assets is broadly defined and measured as follows:</w:t>
            </w: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60" w:type="dxa"/>
            <w:vAlign w:val="bottom"/>
            <w:gridSpan w:val="4"/>
            <w:vMerge w:val="continue"/>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4"/>
          </w:tcPr>
          <w:p>
            <w:pPr>
              <w:jc w:val="center"/>
              <w:ind w:right="240"/>
              <w:spacing w:after="0"/>
              <w:rPr>
                <w:sz w:val="20"/>
                <w:szCs w:val="20"/>
                <w:color w:val="auto"/>
              </w:rPr>
            </w:pPr>
            <w:r>
              <w:rPr>
                <w:rFonts w:ascii="Arial" w:cs="Arial" w:eastAsia="Arial" w:hAnsi="Arial"/>
                <w:sz w:val="18"/>
                <w:szCs w:val="18"/>
                <w:color w:val="auto"/>
                <w:w w:val="95"/>
              </w:rPr>
              <w:t>Actual</w:t>
            </w:r>
          </w:p>
        </w:tc>
        <w:tc>
          <w:tcPr>
            <w:tcW w:w="260" w:type="dxa"/>
            <w:vAlign w:val="bottom"/>
          </w:tcPr>
          <w:p>
            <w:pPr>
              <w:spacing w:after="0"/>
              <w:rPr>
                <w:sz w:val="24"/>
                <w:szCs w:val="24"/>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Target</w:t>
            </w:r>
          </w:p>
        </w:tc>
        <w:tc>
          <w:tcPr>
            <w:tcW w:w="0" w:type="dxa"/>
            <w:vAlign w:val="bottom"/>
          </w:tcPr>
          <w:p>
            <w:pPr>
              <w:spacing w:after="0"/>
              <w:rPr>
                <w:sz w:val="1"/>
                <w:szCs w:val="1"/>
                <w:color w:val="auto"/>
              </w:rPr>
            </w:pPr>
          </w:p>
        </w:tc>
      </w:tr>
      <w:tr>
        <w:trPr>
          <w:trHeight w:val="203"/>
        </w:trPr>
        <w:tc>
          <w:tcPr>
            <w:tcW w:w="8060" w:type="dxa"/>
            <w:vAlign w:val="bottom"/>
            <w:gridSpan w:val="4"/>
          </w:tcPr>
          <w:p>
            <w:pPr>
              <w:ind w:left="40"/>
              <w:spacing w:after="0" w:line="203" w:lineRule="exact"/>
              <w:rPr>
                <w:sz w:val="20"/>
                <w:szCs w:val="20"/>
                <w:color w:val="auto"/>
              </w:rPr>
            </w:pPr>
            <w:r>
              <w:rPr>
                <w:rFonts w:ascii="Arial" w:cs="Arial" w:eastAsia="Arial" w:hAnsi="Arial"/>
                <w:sz w:val="18"/>
                <w:szCs w:val="18"/>
                <w:color w:val="auto"/>
              </w:rPr>
              <w:t>Asset Category</w:t>
            </w:r>
          </w:p>
        </w:tc>
        <w:tc>
          <w:tcPr>
            <w:tcW w:w="1760" w:type="dxa"/>
            <w:vAlign w:val="bottom"/>
            <w:gridSpan w:val="4"/>
          </w:tcPr>
          <w:p>
            <w:pPr>
              <w:jc w:val="center"/>
              <w:ind w:right="240"/>
              <w:spacing w:after="0" w:line="203" w:lineRule="exact"/>
              <w:rPr>
                <w:sz w:val="20"/>
                <w:szCs w:val="20"/>
                <w:color w:val="auto"/>
              </w:rPr>
            </w:pPr>
            <w:r>
              <w:rPr>
                <w:rFonts w:ascii="Arial" w:cs="Arial" w:eastAsia="Arial" w:hAnsi="Arial"/>
                <w:sz w:val="18"/>
                <w:szCs w:val="18"/>
                <w:color w:val="auto"/>
                <w:w w:val="97"/>
              </w:rPr>
              <w:t>Allocation</w:t>
            </w:r>
          </w:p>
        </w:tc>
        <w:tc>
          <w:tcPr>
            <w:tcW w:w="260" w:type="dxa"/>
            <w:vAlign w:val="bottom"/>
          </w:tcPr>
          <w:p>
            <w:pPr>
              <w:spacing w:after="0"/>
              <w:rPr>
                <w:sz w:val="17"/>
                <w:szCs w:val="17"/>
                <w:color w:val="auto"/>
              </w:rPr>
            </w:pPr>
          </w:p>
        </w:tc>
        <w:tc>
          <w:tcPr>
            <w:tcW w:w="1340" w:type="dxa"/>
            <w:vAlign w:val="bottom"/>
          </w:tcPr>
          <w:p>
            <w:pPr>
              <w:jc w:val="right"/>
              <w:ind w:right="370"/>
              <w:spacing w:after="0" w:line="203" w:lineRule="exact"/>
              <w:rPr>
                <w:sz w:val="20"/>
                <w:szCs w:val="20"/>
                <w:color w:val="auto"/>
              </w:rPr>
            </w:pPr>
            <w:r>
              <w:rPr>
                <w:rFonts w:ascii="Arial" w:cs="Arial" w:eastAsia="Arial" w:hAnsi="Arial"/>
                <w:sz w:val="18"/>
                <w:szCs w:val="18"/>
                <w:color w:val="auto"/>
              </w:rPr>
              <w:t>Allocation</w:t>
            </w:r>
          </w:p>
        </w:tc>
        <w:tc>
          <w:tcPr>
            <w:tcW w:w="0" w:type="dxa"/>
            <w:vAlign w:val="bottom"/>
          </w:tcPr>
          <w:p>
            <w:pPr>
              <w:spacing w:after="0"/>
              <w:rPr>
                <w:sz w:val="1"/>
                <w:szCs w:val="1"/>
                <w:color w:val="auto"/>
              </w:rPr>
            </w:pPr>
          </w:p>
        </w:tc>
      </w:tr>
      <w:tr>
        <w:trPr>
          <w:trHeight w:val="41"/>
        </w:trPr>
        <w:tc>
          <w:tcPr>
            <w:tcW w:w="40" w:type="dxa"/>
            <w:vAlign w:val="bottom"/>
            <w:tcBorders>
              <w:bottom w:val="single" w:sz="8" w:color="CCEEFF"/>
            </w:tcBorders>
          </w:tcPr>
          <w:p>
            <w:pPr>
              <w:spacing w:after="0"/>
              <w:rPr>
                <w:sz w:val="3"/>
                <w:szCs w:val="3"/>
                <w:color w:val="auto"/>
              </w:rPr>
            </w:pPr>
          </w:p>
        </w:tc>
        <w:tc>
          <w:tcPr>
            <w:tcW w:w="1100" w:type="dxa"/>
            <w:vAlign w:val="bottom"/>
            <w:tcBorders>
              <w:top w:val="single" w:sz="8" w:color="auto"/>
              <w:bottom w:val="single" w:sz="8" w:color="CCEEFF"/>
            </w:tcBorders>
          </w:tcPr>
          <w:p>
            <w:pPr>
              <w:spacing w:after="0"/>
              <w:rPr>
                <w:sz w:val="3"/>
                <w:szCs w:val="3"/>
                <w:color w:val="auto"/>
              </w:rPr>
            </w:pPr>
          </w:p>
        </w:tc>
        <w:tc>
          <w:tcPr>
            <w:tcW w:w="68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65-75</w:t>
            </w:r>
          </w:p>
        </w:tc>
        <w:tc>
          <w:tcPr>
            <w:tcW w:w="0" w:type="dxa"/>
            <w:vAlign w:val="bottom"/>
          </w:tcPr>
          <w:p>
            <w:pPr>
              <w:spacing w:after="0"/>
              <w:rPr>
                <w:sz w:val="1"/>
                <w:szCs w:val="1"/>
                <w:color w:val="auto"/>
              </w:rPr>
            </w:pPr>
          </w:p>
        </w:tc>
      </w:tr>
      <w:tr>
        <w:trPr>
          <w:trHeight w:val="284"/>
        </w:trPr>
        <w:tc>
          <w:tcPr>
            <w:tcW w:w="79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Bond securities and cash equivalents</w:t>
            </w: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It is the Company’s policy to invest pension plan assets in a diversified portfolio consisting of an array of asset classes. The investment risk of the assets is limited by appropriate diversification both within and between asset classes. The assets are primarily invested in investment funds that invest in a broad mix of publicly traded equities, bonds and cash equivalents (and fair value is based on quoted market prices (“Level 1” input)). The allocation between equity and bonds is reset quarterly to the target allocations. Updates to the allocation are considered in the normal course and changes may be made when appropriate. The bond holdings consist of two bond funds split relatively evenly between these funds at May 6, 2016. The maximum holdings of any one asset within these funds is under 4% of this fund and thus is well under 1% of the total portfolio. At May 6, 2016, the Company believes that there are no material concentrations of risk within the portfolio of plan assets.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assumed long-term return noted above is the target long-term return. Overall return, risk adjusted return, and management fees are assessed against a peer group and benchmark indices. There are minimum performance standards that must be attained within the investment portfolio. Reporting on asset performance is provided quarterly and review meetings are held semi-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annually. In addition to normal rebalancing to maintain an adequate cash reserve, projected cash flow needs of the plan are reviewed at least annually to ensure liquidity is properly managed.</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does not expect to contribute to the pension plan in 2016. The Company expects the net periodic benefit income for the defined benefit pension plan in 2016 to be $0.1 million and expects the periodic benefit cost for the other postretirement benefit plans in 2016 to be $0.1 million.</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estimated future pension benefit payments and other postretirement benefit plan payments which reflect expected future service, as appropriate, are expected to be paid in the years indicated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Defined</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Benefit</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8"/>
              </w:rPr>
              <w:t>Other</w:t>
            </w:r>
          </w:p>
        </w:tc>
      </w:tr>
      <w:tr>
        <w:trPr>
          <w:trHeight w:val="216"/>
        </w:trPr>
        <w:tc>
          <w:tcPr>
            <w:tcW w:w="8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Pension</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88"/>
              </w:rPr>
              <w:t>Postretirement</w:t>
            </w:r>
          </w:p>
        </w:tc>
      </w:tr>
      <w:tr>
        <w:trPr>
          <w:trHeight w:val="230"/>
        </w:trPr>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Plan</w:t>
            </w: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color w:val="auto"/>
                <w:w w:val="90"/>
              </w:rPr>
              <w:t>Benefit Plans</w:t>
            </w:r>
          </w:p>
        </w:tc>
      </w:tr>
      <w:tr>
        <w:trPr>
          <w:trHeight w:val="34"/>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Aggregate of next five years</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16. Lease Commitments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leases land, buildings and tower space under various non-cancelable agreements, which expire between the years 2016 and 2051 and require various minimum annual rental payments. These leases typically include renewal options and escalation clauses. In general, tower leases have five or ten year initial terms with four renewal terms of five years each. The other leases generally contain certain renewal options for periods ranging from five to twenty years.</w:t>
      </w:r>
    </w:p>
    <w:p>
      <w:pPr>
        <w:spacing w:after="0" w:line="187" w:lineRule="exact"/>
        <w:rPr>
          <w:sz w:val="20"/>
          <w:szCs w:val="20"/>
          <w:color w:val="auto"/>
        </w:rPr>
      </w:pPr>
    </w:p>
    <w:p>
      <w:pPr>
        <w:ind w:right="400"/>
        <w:spacing w:after="0" w:line="272" w:lineRule="auto"/>
        <w:rPr>
          <w:sz w:val="20"/>
          <w:szCs w:val="20"/>
          <w:color w:val="auto"/>
        </w:rPr>
      </w:pPr>
      <w:r>
        <w:rPr>
          <w:rFonts w:ascii="Arial" w:cs="Arial" w:eastAsia="Arial" w:hAnsi="Arial"/>
          <w:sz w:val="18"/>
          <w:szCs w:val="18"/>
          <w:color w:val="auto"/>
        </w:rPr>
        <w:t>Future minimum lease payments under non-cancelable operating leases, including renewals that are reasonably assured at the inception of the lease, with initial variable lease terms in excess of one year as of September 30, 2016, are as follows (in thousands):</w:t>
      </w:r>
    </w:p>
    <w:p>
      <w:pPr>
        <w:spacing w:after="0" w:line="200" w:lineRule="exact"/>
        <w:rPr>
          <w:sz w:val="20"/>
          <w:szCs w:val="20"/>
          <w:color w:val="auto"/>
        </w:rPr>
      </w:pPr>
    </w:p>
    <w:p>
      <w:pPr>
        <w:spacing w:after="0" w:line="345" w:lineRule="exact"/>
        <w:rPr>
          <w:sz w:val="20"/>
          <w:szCs w:val="20"/>
          <w:color w:val="auto"/>
        </w:rPr>
      </w:pPr>
    </w:p>
    <w:tbl>
      <w:tblPr>
        <w:tblLayout w:type="fixed"/>
        <w:tblInd w:w="1920" w:type="dxa"/>
        <w:tblCellMar>
          <w:top w:w="0" w:type="dxa"/>
          <w:left w:w="0" w:type="dxa"/>
          <w:bottom w:w="0" w:type="dxa"/>
          <w:right w:w="0" w:type="dxa"/>
        </w:tblCellMar>
      </w:tblPr>
      <w:tr>
        <w:trPr>
          <w:trHeight w:val="270"/>
        </w:trPr>
        <w:tc>
          <w:tcPr>
            <w:tcW w:w="36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Remainder of 2016</w:t>
            </w:r>
          </w:p>
        </w:tc>
        <w:tc>
          <w:tcPr>
            <w:tcW w:w="170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r>
      <w:tr>
        <w:trPr>
          <w:trHeight w:val="243"/>
        </w:trPr>
        <w:tc>
          <w:tcPr>
            <w:tcW w:w="3640" w:type="dxa"/>
            <w:vAlign w:val="bottom"/>
          </w:tcPr>
          <w:p>
            <w:pPr>
              <w:jc w:val="center"/>
              <w:ind w:left="270"/>
              <w:spacing w:after="0"/>
              <w:rPr>
                <w:sz w:val="20"/>
                <w:szCs w:val="20"/>
                <w:color w:val="auto"/>
              </w:rPr>
            </w:pPr>
            <w:r>
              <w:rPr>
                <w:rFonts w:ascii="Arial" w:cs="Arial" w:eastAsia="Arial" w:hAnsi="Arial"/>
                <w:sz w:val="18"/>
                <w:szCs w:val="18"/>
                <w:color w:val="auto"/>
                <w:w w:val="89"/>
              </w:rPr>
              <w:t>2017</w:t>
            </w:r>
          </w:p>
        </w:tc>
        <w:tc>
          <w:tcPr>
            <w:tcW w:w="170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48,512</w:t>
            </w:r>
          </w:p>
        </w:tc>
      </w:tr>
      <w:tr>
        <w:trPr>
          <w:trHeight w:val="27"/>
        </w:trPr>
        <w:tc>
          <w:tcPr>
            <w:tcW w:w="3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89"/>
              </w:rPr>
              <w:t>2018</w:t>
            </w:r>
          </w:p>
        </w:tc>
        <w:tc>
          <w:tcPr>
            <w:tcW w:w="17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48,135</w:t>
            </w:r>
          </w:p>
        </w:tc>
      </w:tr>
      <w:tr>
        <w:trPr>
          <w:trHeight w:val="243"/>
        </w:trPr>
        <w:tc>
          <w:tcPr>
            <w:tcW w:w="3640" w:type="dxa"/>
            <w:vAlign w:val="bottom"/>
          </w:tcPr>
          <w:p>
            <w:pPr>
              <w:jc w:val="center"/>
              <w:ind w:left="270"/>
              <w:spacing w:after="0"/>
              <w:rPr>
                <w:sz w:val="20"/>
                <w:szCs w:val="20"/>
                <w:color w:val="auto"/>
              </w:rPr>
            </w:pPr>
            <w:r>
              <w:rPr>
                <w:rFonts w:ascii="Arial" w:cs="Arial" w:eastAsia="Arial" w:hAnsi="Arial"/>
                <w:sz w:val="18"/>
                <w:szCs w:val="18"/>
                <w:color w:val="auto"/>
                <w:w w:val="89"/>
              </w:rPr>
              <w:t>2019</w:t>
            </w:r>
          </w:p>
        </w:tc>
        <w:tc>
          <w:tcPr>
            <w:tcW w:w="170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47,217</w:t>
            </w:r>
          </w:p>
        </w:tc>
      </w:tr>
      <w:tr>
        <w:trPr>
          <w:trHeight w:val="27"/>
        </w:trPr>
        <w:tc>
          <w:tcPr>
            <w:tcW w:w="3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89"/>
              </w:rPr>
              <w:t>2020</w:t>
            </w:r>
          </w:p>
        </w:tc>
        <w:tc>
          <w:tcPr>
            <w:tcW w:w="17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46,130</w:t>
            </w:r>
          </w:p>
        </w:tc>
      </w:tr>
      <w:tr>
        <w:trPr>
          <w:trHeight w:val="243"/>
        </w:trPr>
        <w:tc>
          <w:tcPr>
            <w:tcW w:w="3640" w:type="dxa"/>
            <w:vAlign w:val="bottom"/>
          </w:tcPr>
          <w:p>
            <w:pPr>
              <w:jc w:val="center"/>
              <w:ind w:left="270"/>
              <w:spacing w:after="0"/>
              <w:rPr>
                <w:sz w:val="20"/>
                <w:szCs w:val="20"/>
                <w:color w:val="auto"/>
              </w:rPr>
            </w:pPr>
            <w:r>
              <w:rPr>
                <w:rFonts w:ascii="Arial" w:cs="Arial" w:eastAsia="Arial" w:hAnsi="Arial"/>
                <w:sz w:val="18"/>
                <w:szCs w:val="18"/>
                <w:color w:val="auto"/>
                <w:w w:val="89"/>
              </w:rPr>
              <w:t>2021</w:t>
            </w:r>
          </w:p>
        </w:tc>
        <w:tc>
          <w:tcPr>
            <w:tcW w:w="170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45,950</w:t>
            </w:r>
          </w:p>
        </w:tc>
      </w:tr>
      <w:tr>
        <w:trPr>
          <w:trHeight w:val="27"/>
        </w:trPr>
        <w:tc>
          <w:tcPr>
            <w:tcW w:w="3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91"/>
              </w:rPr>
              <w:t>Thereafter</w:t>
            </w:r>
          </w:p>
        </w:tc>
        <w:tc>
          <w:tcPr>
            <w:tcW w:w="170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237,024</w:t>
            </w:r>
          </w:p>
        </w:tc>
      </w:tr>
      <w:tr>
        <w:trPr>
          <w:trHeight w:val="237"/>
        </w:trPr>
        <w:tc>
          <w:tcPr>
            <w:tcW w:w="3640" w:type="dxa"/>
            <w:vAlign w:val="bottom"/>
          </w:tcPr>
          <w:p>
            <w:pPr>
              <w:spacing w:after="0"/>
              <w:rPr>
                <w:sz w:val="20"/>
                <w:szCs w:val="20"/>
                <w:color w:val="auto"/>
              </w:rPr>
            </w:pPr>
          </w:p>
        </w:tc>
        <w:tc>
          <w:tcPr>
            <w:tcW w:w="1700" w:type="dxa"/>
            <w:vAlign w:val="bottom"/>
            <w:tcBorders>
              <w:top w:val="single" w:sz="8" w:color="auto"/>
            </w:tcBorders>
          </w:tcPr>
          <w:p>
            <w:pPr>
              <w:jc w:val="right"/>
              <w:ind w:right="149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485,197</w:t>
            </w:r>
          </w:p>
        </w:tc>
      </w:tr>
      <w:tr>
        <w:trPr>
          <w:trHeight w:val="27"/>
        </w:trPr>
        <w:tc>
          <w:tcPr>
            <w:tcW w:w="36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0"/>
        </w:trPr>
        <w:tc>
          <w:tcPr>
            <w:tcW w:w="36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Company’s total rent expense was $28.6 million and $12.7 million during the nine months ended September 30, 2016 and 2015, respectively. The increase during the year resulted from leases assumed in the acquisition of nTelos.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lessor, the Company has leased buildings, tower space and telecommunications equipment to other entities under various non-cancelable agreements, which require various minimum annual payments. The total minimum rental receipts at September 30, 2016 are as follows (in thousands):</w:t>
      </w:r>
    </w:p>
    <w:p>
      <w:pPr>
        <w:spacing w:after="0" w:line="273" w:lineRule="exact"/>
        <w:rPr>
          <w:sz w:val="20"/>
          <w:szCs w:val="20"/>
          <w:color w:val="auto"/>
        </w:rPr>
      </w:pPr>
    </w:p>
    <w:tbl>
      <w:tblPr>
        <w:tblLayout w:type="fixed"/>
        <w:tblInd w:w="1920" w:type="dxa"/>
        <w:tblCellMar>
          <w:top w:w="0" w:type="dxa"/>
          <w:left w:w="0" w:type="dxa"/>
          <w:bottom w:w="0" w:type="dxa"/>
          <w:right w:w="0" w:type="dxa"/>
        </w:tblCellMar>
      </w:tblPr>
      <w:tr>
        <w:trPr>
          <w:trHeight w:val="270"/>
        </w:trPr>
        <w:tc>
          <w:tcPr>
            <w:tcW w:w="364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1"/>
              </w:rPr>
              <w:t>Remainder of 2016</w:t>
            </w:r>
          </w:p>
        </w:tc>
        <w:tc>
          <w:tcPr>
            <w:tcW w:w="176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r>
      <w:tr>
        <w:trPr>
          <w:trHeight w:val="243"/>
        </w:trPr>
        <w:tc>
          <w:tcPr>
            <w:tcW w:w="3640" w:type="dxa"/>
            <w:vAlign w:val="bottom"/>
          </w:tcPr>
          <w:p>
            <w:pPr>
              <w:jc w:val="center"/>
              <w:ind w:left="270"/>
              <w:spacing w:after="0"/>
              <w:rPr>
                <w:sz w:val="20"/>
                <w:szCs w:val="20"/>
                <w:color w:val="auto"/>
              </w:rPr>
            </w:pPr>
            <w:r>
              <w:rPr>
                <w:rFonts w:ascii="Arial" w:cs="Arial" w:eastAsia="Arial" w:hAnsi="Arial"/>
                <w:sz w:val="18"/>
                <w:szCs w:val="18"/>
                <w:color w:val="auto"/>
                <w:w w:val="89"/>
              </w:rPr>
              <w:t>2017</w:t>
            </w:r>
          </w:p>
        </w:tc>
        <w:tc>
          <w:tcPr>
            <w:tcW w:w="176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5,643</w:t>
            </w:r>
          </w:p>
        </w:tc>
      </w:tr>
      <w:tr>
        <w:trPr>
          <w:trHeight w:val="27"/>
        </w:trPr>
        <w:tc>
          <w:tcPr>
            <w:tcW w:w="3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89"/>
              </w:rPr>
              <w:t>2018</w:t>
            </w:r>
          </w:p>
        </w:tc>
        <w:tc>
          <w:tcPr>
            <w:tcW w:w="17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r>
      <w:tr>
        <w:trPr>
          <w:trHeight w:val="243"/>
        </w:trPr>
        <w:tc>
          <w:tcPr>
            <w:tcW w:w="3640" w:type="dxa"/>
            <w:vAlign w:val="bottom"/>
          </w:tcPr>
          <w:p>
            <w:pPr>
              <w:jc w:val="center"/>
              <w:ind w:left="270"/>
              <w:spacing w:after="0"/>
              <w:rPr>
                <w:sz w:val="20"/>
                <w:szCs w:val="20"/>
                <w:color w:val="auto"/>
              </w:rPr>
            </w:pPr>
            <w:r>
              <w:rPr>
                <w:rFonts w:ascii="Arial" w:cs="Arial" w:eastAsia="Arial" w:hAnsi="Arial"/>
                <w:sz w:val="18"/>
                <w:szCs w:val="18"/>
                <w:color w:val="auto"/>
                <w:w w:val="89"/>
              </w:rPr>
              <w:t>2019</w:t>
            </w:r>
          </w:p>
        </w:tc>
        <w:tc>
          <w:tcPr>
            <w:tcW w:w="176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4,924</w:t>
            </w:r>
          </w:p>
        </w:tc>
      </w:tr>
      <w:tr>
        <w:trPr>
          <w:trHeight w:val="27"/>
        </w:trPr>
        <w:tc>
          <w:tcPr>
            <w:tcW w:w="3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89"/>
              </w:rPr>
              <w:t>2020</w:t>
            </w:r>
          </w:p>
        </w:tc>
        <w:tc>
          <w:tcPr>
            <w:tcW w:w="176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w:t>
            </w:r>
          </w:p>
        </w:tc>
      </w:tr>
      <w:tr>
        <w:trPr>
          <w:trHeight w:val="243"/>
        </w:trPr>
        <w:tc>
          <w:tcPr>
            <w:tcW w:w="3640" w:type="dxa"/>
            <w:vAlign w:val="bottom"/>
          </w:tcPr>
          <w:p>
            <w:pPr>
              <w:jc w:val="center"/>
              <w:ind w:left="270"/>
              <w:spacing w:after="0"/>
              <w:rPr>
                <w:sz w:val="20"/>
                <w:szCs w:val="20"/>
                <w:color w:val="auto"/>
              </w:rPr>
            </w:pPr>
            <w:r>
              <w:rPr>
                <w:rFonts w:ascii="Arial" w:cs="Arial" w:eastAsia="Arial" w:hAnsi="Arial"/>
                <w:sz w:val="18"/>
                <w:szCs w:val="18"/>
                <w:color w:val="auto"/>
                <w:w w:val="89"/>
              </w:rPr>
              <w:t>2021</w:t>
            </w:r>
          </w:p>
        </w:tc>
        <w:tc>
          <w:tcPr>
            <w:tcW w:w="176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2,255</w:t>
            </w:r>
          </w:p>
        </w:tc>
      </w:tr>
      <w:tr>
        <w:trPr>
          <w:trHeight w:val="27"/>
        </w:trPr>
        <w:tc>
          <w:tcPr>
            <w:tcW w:w="3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left="270"/>
              <w:spacing w:after="0"/>
              <w:rPr>
                <w:sz w:val="20"/>
                <w:szCs w:val="20"/>
                <w:color w:val="auto"/>
              </w:rPr>
            </w:pPr>
            <w:r>
              <w:rPr>
                <w:rFonts w:ascii="Arial" w:cs="Arial" w:eastAsia="Arial" w:hAnsi="Arial"/>
                <w:sz w:val="18"/>
                <w:szCs w:val="18"/>
                <w:color w:val="auto"/>
                <w:w w:val="91"/>
              </w:rPr>
              <w:t>Thereafter</w:t>
            </w:r>
          </w:p>
        </w:tc>
        <w:tc>
          <w:tcPr>
            <w:tcW w:w="176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r>
      <w:tr>
        <w:trPr>
          <w:trHeight w:val="237"/>
        </w:trPr>
        <w:tc>
          <w:tcPr>
            <w:tcW w:w="3640" w:type="dxa"/>
            <w:vAlign w:val="bottom"/>
          </w:tcPr>
          <w:p>
            <w:pPr>
              <w:spacing w:after="0"/>
              <w:rPr>
                <w:sz w:val="20"/>
                <w:szCs w:val="20"/>
                <w:color w:val="auto"/>
              </w:rPr>
            </w:pPr>
          </w:p>
        </w:tc>
        <w:tc>
          <w:tcPr>
            <w:tcW w:w="1760" w:type="dxa"/>
            <w:vAlign w:val="bottom"/>
            <w:tcBorders>
              <w:top w:val="single" w:sz="8" w:color="auto"/>
            </w:tcBorders>
          </w:tcPr>
          <w:p>
            <w:pPr>
              <w:jc w:val="right"/>
              <w:ind w:right="155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26,702</w:t>
            </w:r>
          </w:p>
        </w:tc>
      </w:tr>
      <w:tr>
        <w:trPr>
          <w:trHeight w:val="27"/>
        </w:trPr>
        <w:tc>
          <w:tcPr>
            <w:tcW w:w="36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0"/>
        </w:trPr>
        <w:tc>
          <w:tcPr>
            <w:tcW w:w="36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total rent income was $5.3 million and $4.7 million during the nine months ended September 30, 2016 and 2015, respectively. Total rent income includes month-to-month leases which are excluded from the table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17. Subsequent Events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October 17, 2016, the Company’s Board of Directors approved a dividend of $0.25 per common share to be paid December 1, 2016 to shareholders of record as of the close of business on November 4, 2016. Before dividend reinvestments, the total payout is expected to be approximately $12.2 million.</w:t>
      </w:r>
    </w:p>
    <w:p>
      <w:pPr>
        <w:spacing w:after="0" w:line="36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240" w:top="125" w:right="55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2015. The following management’s discussion and analysis should be read in conjunction with the Company’s Annual Report on Form 10-K for its fiscal year ended December 31, 2015, including the financial statements and related notes included therein.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Shenandoah Telecommunications Company is a diversified telecommunications company providing both regulated and unregulated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telecommunications services through its wholly owned subsidiaries. These subsidiaries provide wireless personal communications services (as a Sprint PCS affiliate), local exchange telephone services, video, internet and data services, long distance services, fiber optics facilities, and leased tower facilities. We have three reportable segments, which we operate and manage as strategic business units organized by lines of business: (1) Wireless, (2) Cable, and (3) Wireline.</w:t>
      </w:r>
    </w:p>
    <w:p>
      <w:pPr>
        <w:spacing w:after="0" w:line="188" w:lineRule="exact"/>
        <w:rPr>
          <w:sz w:val="20"/>
          <w:szCs w:val="20"/>
          <w:color w:val="auto"/>
        </w:rPr>
      </w:pPr>
    </w:p>
    <w:p>
      <w:pPr>
        <w:ind w:left="660" w:right="8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Wireless segment has historically provided digital wireless service as a Sprint PCS Affiliate to a portion of a four-state area covering the region from Harrisburg, York and Altoona, Pennsylvania, to Harrisonburg, Virginia. Following the acquisition of nTelos, the Company’s wireless service area expanded to include south-central and western Virginia, West Virginia, and small portions of Kentucky and Ohio. In these areas, we are the exclusive provider of Sprint-branded wireless mobility communications network products and services on the 800 MHz, 1900 MHz and 2.5 GHz bands. This segment also owns cell site towers built on leased land, and leases space on these towers to both affiliates and non-affiliated service providers.</w:t>
      </w:r>
    </w:p>
    <w:p>
      <w:pPr>
        <w:spacing w:after="0" w:line="8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73" w:lineRule="exact"/>
        <w:rPr>
          <w:rFonts w:ascii="Arial" w:cs="Arial" w:eastAsia="Arial" w:hAnsi="Arial"/>
          <w:sz w:val="18"/>
          <w:szCs w:val="18"/>
          <w:color w:val="auto"/>
        </w:rPr>
      </w:pPr>
    </w:p>
    <w:p>
      <w:pPr>
        <w:ind w:left="660" w:right="100" w:hanging="328"/>
        <w:spacing w:after="0" w:line="25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central and southern Pennsylvania.</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 fourth segment, Other, primarily includes Shenandoah Telecommunications Company, the parent holding company, and includes corporate costs of executive management, information technology, legal, finance, and human resources. This segment also includes certain acquisition and integration costs primarily consisting of severance accruals for short-term nTelos employees to be separated as integration activities wind down and transaction related expenses such as investment advisor, legal and other professional fees.</w:t>
      </w:r>
    </w:p>
    <w:p>
      <w:pPr>
        <w:spacing w:after="0" w:line="187"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i w:val="1"/>
          <w:iCs w:val="1"/>
          <w:color w:val="auto"/>
        </w:rPr>
        <w:t xml:space="preserve">Acquisition of nTelos and Exchange with Sprint: </w:t>
      </w:r>
      <w:r>
        <w:rPr>
          <w:rFonts w:ascii="Arial" w:cs="Arial" w:eastAsia="Arial" w:hAnsi="Arial"/>
          <w:sz w:val="18"/>
          <w:szCs w:val="18"/>
          <w:color w:val="auto"/>
        </w:rPr>
        <w:t>On May 6, 2016, we completed our previously announced acquisition of NTELOS Holdings Corp.</w:t>
      </w:r>
      <w:r>
        <w:rPr>
          <w:rFonts w:ascii="Arial" w:cs="Arial" w:eastAsia="Arial" w:hAnsi="Arial"/>
          <w:sz w:val="18"/>
          <w:szCs w:val="18"/>
          <w:i w:val="1"/>
          <w:iCs w:val="1"/>
          <w:color w:val="auto"/>
        </w:rPr>
        <w:t xml:space="preserve"> </w:t>
      </w:r>
      <w:r>
        <w:rPr>
          <w:rFonts w:ascii="Arial" w:cs="Arial" w:eastAsia="Arial" w:hAnsi="Arial"/>
          <w:sz w:val="18"/>
          <w:szCs w:val="18"/>
          <w:color w:val="auto"/>
        </w:rPr>
        <w:t>(“nTelos”) for $665.4 million in cash, net of cash acquired. The purchase price was financed by a credit facility arranged by CoBank, ACB. We have included the operations of nTelos for financial reporting purposes for periods subsequent to the acquisition.</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Immediately after acquiring nTelos, we exchanged spectrum licenses valued at $198.2 million and customer based contract rights, valued at $203.4 million, acquired from nTelos with Sprint, and received an expansion of our affiliate service territory to include most of the service area served by nTelos, valued at $287.8 million, as well as additional customer based contract rights, valued at $113.8 million, relating to nTelos’ and Sprint’s legacy customers in the our affiliate service territory. The value of the affiliate agreement expansion is based on changes to the amended affiliate agreement that include an increase in the price to be paid by Sprint from 80% to 90% of the entire business value of PCS if the affiliate agreement is not renewed and an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extension of the affiliate agreement with Sprint by five years to 2029. Also included in the value is the expanded territory in the nTelos service area and the accompanying right to serve all future Sprint customers in the expanded territory, our commitment to upgrade certain coverage and capacity in the newly acquired service area, the waiver of a portion of the management fee charged by Sprint, as well as other items defined in the amended affiliate agreement.</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expects to incur a total of between $106.0 million and $126.0 million of integration and acquisition expenses associated with this transaction, excluding approximately $24.0 million of debt issuance costs. In connection with the acquisition, The Company also chose to proactively migrate former nTelos customers to devices that can interact with the Sprint billing and network systems. Expected costs also include the nTelos back office staff and support functions until the nTelos legacy customers are migrated to the Sprint billing platform; cost of the handsets to be provided to nTelos legacy customers as they migrate to the Sprint billing platform; severance costs for back office and other former nTelos employees who will not be retained permanently; and transaction related fees. We have incurred $20.2 million and $43.9 million of these costs in the three months and nine months ended September 30, 2016, respectively. These costs include $0.7 million reflected in cost of goods and services and $4.2 million reflected in selling, general and administrative costs in the three month period ended September 30, 2016, and $1.0 million reflected in cost of goods and services and $7.1 million reflected in selling, general and administrative costs in the nine month period ended September 30,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nTelos acquisition and exchange transaction with Sprint, we have added the following critical accounting policies: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Under our amended affiliate agreement, Sprint agreed to waive the management fee, which is historically presented as a contra-revenue by us, for a period of approximately six years. The impact of Sprint’s waiver of the management fee over the approximate six-year period is reflected as an increase in revenue, offset by the non-cash adjustment to recognize this impact on a straight-line basis over the contract term of approximately 14 years.</w:t>
      </w:r>
    </w:p>
    <w:p>
      <w:pPr>
        <w:spacing w:after="0" w:line="14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not amortized but is tested for impairment on at least an annual basis. Impairment testing is required more often than annually if an</w:t>
      </w:r>
      <w:r>
        <w:rPr>
          <w:rFonts w:ascii="Arial" w:cs="Arial" w:eastAsia="Arial" w:hAnsi="Arial"/>
          <w:sz w:val="16"/>
          <w:szCs w:val="16"/>
          <w:i w:val="1"/>
          <w:iCs w:val="1"/>
          <w:color w:val="auto"/>
        </w:rPr>
        <w:t xml:space="preserve"> </w:t>
      </w:r>
      <w:r>
        <w:rPr>
          <w:rFonts w:ascii="Arial" w:cs="Arial" w:eastAsia="Arial" w:hAnsi="Arial"/>
          <w:sz w:val="16"/>
          <w:szCs w:val="16"/>
          <w:color w:val="auto"/>
        </w:rPr>
        <w:t>event or circumstance indicates that impairment is more likely than not to have occurred. In conducting our annual impairment testing, we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we elect not to perform a qualitative assessment of a reporting unit, we then compare the fair value of the reporting unit to the related net book value. If the net book value of a reporting unit exceeds its fair value, an impairment loss is measured and recognized. We conduct our annual impairment testing as of October 1.</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Pension Benefits and Retirement Benefits Other Than Pensions: </w:t>
      </w:r>
      <w:r>
        <w:rPr>
          <w:rFonts w:ascii="Arial" w:cs="Arial" w:eastAsia="Arial" w:hAnsi="Arial"/>
          <w:sz w:val="17"/>
          <w:szCs w:val="17"/>
          <w:color w:val="auto"/>
        </w:rPr>
        <w:t>Through our acquisition of nTelos, we assumed nTelos’ non-contributory defined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pension plan (“Pension Plan”) covering all employees who met eligibility requirements and were employed by nTelos prior to October 1, 2003. The Pension Plan was closed to nTelos employees hired on or after October 1, 2003. Pension benefits vest after five years of plan service and are based on years of service and an average of the five highest consecutive years of compensation subject to certain reductions if the employee retires before reaching age 65 and elects to receive the benefit prior to age 65. Effective December 31, 2012, nTelos froze future benefit accruals. We use updated mortality tables published by the Society of Actuaries that predict increasing life expectancies in the United States.</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IRC Sections 412 and 430 and Sections 302 and 303 of the Employee Retirement Income Security Act of 1974, as amended establish minimum funding requirements for defined benefit pension plans. The minimum required contribution is generally equal to the target normal cost plus the shortfall amortization installments for the current plan year and each of the six preceding plan years less any calculated credit balance. If plan assets (less calculated credits) are equal to or exceed the funding target, the minimum required contribution is the target normal cost reduced by the excess funding, but not below zero. Our policy is to make contributions to stay at or above the threshold required in order to prevent benefit restrictions and related additional notice requirements and is intended to provide not only for benefits based on service to date, but also for those expected to be earned in the future. We also assumed two qualified nonpension postretirement benefit plans that provide certain health care and life benefits for nTelos retired employees that meet eligibility requirements. The health care plan is contributory, with participants’ contributions adjusted annually. The life insurance plan also is contributory. These obligations, along with all of the pension plans and other postretirement benefit plans, are obligations assumed by us. Eligibility for the life insurance plan is restricted to active pension participants age 50-64 as of January 5, 1994. Neither plan is eligible to employees hired after April 1993. The accounting for the plans anticipates that we will maintain a consistent level of cost sharing for the benefits with the retirees. Our share of the projected costs of benefits that will be paid after retirement is generally being accrued by charges to expense over the eligible employees’ service periods to the dates they are fully eligible for benefits.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record annual amounts relating to the Pension Plan and postretirement benefit plans based on calculations that incorporate various actuarial and other assumptions, including discount rates, mortality, assumed rates of return, turnover rates and healthcare cost trend rates. We review our assumptions on an annual basis and make modifications to the assumptions based on current rates and trend when it is appropriate to do so. The effect of modifications to those assumptions is recorded in accumulated other comprenhensive income (loss) and amortized to net periodic cost over future periods using the corridor method.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2016 Compared with the Three Months Ended September 30,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for the third quarter of 2016 and 2015 are summarized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3"/>
          </w:tcPr>
          <w:p>
            <w:pPr>
              <w:jc w:val="right"/>
              <w:ind w:right="850"/>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September 30,</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Change</w:t>
            </w:r>
          </w:p>
        </w:tc>
        <w:tc>
          <w:tcPr>
            <w:tcW w:w="1100" w:type="dxa"/>
            <w:vAlign w:val="bottom"/>
          </w:tcPr>
          <w:p>
            <w:pPr>
              <w:spacing w:after="0"/>
              <w:rPr>
                <w:sz w:val="20"/>
                <w:szCs w:val="20"/>
                <w:color w:val="auto"/>
              </w:rPr>
            </w:pPr>
          </w:p>
        </w:tc>
      </w:tr>
      <w:tr>
        <w:trPr>
          <w:trHeight w:val="31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156,836</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85,212</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71,624</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160,765</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70,123</w:t>
            </w: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90,642</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129.3</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(3,929)</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15,089</w:t>
            </w:r>
          </w:p>
        </w:tc>
        <w:tc>
          <w:tcPr>
            <w:tcW w:w="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(19,018)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324"/>
        </w:trPr>
        <w:tc>
          <w:tcPr>
            <w:tcW w:w="4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(8,845)</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w:t>
            </w:r>
          </w:p>
        </w:tc>
        <w:tc>
          <w:tcPr>
            <w:tcW w:w="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(7,037)</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389.2</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1,527</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180</w:t>
            </w: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1,347</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748.3</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(11,247)</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13,461</w:t>
            </w:r>
          </w:p>
        </w:tc>
        <w:tc>
          <w:tcPr>
            <w:tcW w:w="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(24,708)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(3,651)</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5,465</w:t>
            </w: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(9,116)</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NM</w:t>
            </w: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(7,596)</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7,996</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(15,592)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three months ended September 30, 2016, operating revenues increased $71.6 million, or 84.1%. Wireless segment revenues increased $68.5 million compared to the third quarter of 2015; nearly all of this increase was a result of the acquisition of nTelos on May 6, 2016. Cable segment revenues grew $3.1 million primarily as a result of 6.8% growth in average subscriber counts and an increase in revenue per subscriber. Wireline segment revenues increased $0.3 million, primarily due to increases in fiber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Total operating expenses were $160.8 million in the third quarter of 2016 compared to $70.1 million in the prior year period. Operating expenses in the third quarter of 2016 included $15.3 million of integration and acquisition costs associated with the nTelos acquisition, including $14.5 million on the Wireless segment and $0.8 million in the Other segment. Selling, general and administrative expenses and cost of goods and services in the Wireless segment included an additional $4.9 million of nTelos-related customer care and other back office costs related to supporting the nTelos legacy customers until the migration of these customers is completed. Wireless segment operating expenses increased $71.9 million (excluding the $19.4 million of customer care, integration and acquisition expenses described above), primarily due to on-going costs associated with the acquired nTelos operations including $28.4 million of incremental depreciation and amortization expenses. All other operating expenses decreased $1.4 million, net of eliminations of intersegment activities.</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Acquisition and integration costs on the Other segment primarily consisted of transaction related expenses such as legal and other professional fees. On the Wireless segment, such costs included handsets provided to nTelos subscribers who needed a new phone to transition to the Sprint billing platform, costs associated with terminating duplicative cell sites leases and backhaul circuits, and personnel costs associated with short-term nTelos employees required to migrate the former nTelos customers to the Sprint back-office.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effective tax rate decreased from 40.6% for the three months ended September 30, 2015 to 32.5% for the three months ended September 30, 2016. This decrease primarily resulted from state tax effects in the 2016 period resulting from recognizing income in higher tax states and losses in lower tax states as a result of the nTelos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three months ended September 30, 2016, net income decreased $15.6 million, or 195.0%, primarily reflecting acquisition and integration costs incurred, increased depreciation and amortization, straight-lining of certain Sprint fee credits, and higher interest on the increased balance of outstanding debt as a result of the nTelos acquisition, net of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2016 Compared with the Nine Months Ended September 30,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for the first nine months of 2016 and 2015 are summarized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3"/>
          </w:tcPr>
          <w:p>
            <w:pPr>
              <w:jc w:val="right"/>
              <w:ind w:right="890"/>
              <w:spacing w:after="0"/>
              <w:rPr>
                <w:sz w:val="20"/>
                <w:szCs w:val="20"/>
                <w:color w:val="auto"/>
              </w:rPr>
            </w:pPr>
            <w:r>
              <w:rPr>
                <w:rFonts w:ascii="Arial" w:cs="Arial" w:eastAsia="Arial" w:hAnsi="Arial"/>
                <w:sz w:val="18"/>
                <w:szCs w:val="18"/>
                <w:color w:val="auto"/>
              </w:rPr>
              <w:t>Nine Months Ended</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September 30,</w:t>
            </w: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rPr>
              <w:t>Change</w:t>
            </w:r>
          </w:p>
        </w:tc>
        <w:tc>
          <w:tcPr>
            <w:tcW w:w="1100" w:type="dxa"/>
            <w:vAlign w:val="bottom"/>
          </w:tcPr>
          <w:p>
            <w:pPr>
              <w:spacing w:after="0"/>
              <w:rPr>
                <w:sz w:val="20"/>
                <w:szCs w:val="20"/>
                <w:color w:val="auto"/>
              </w:rPr>
            </w:pPr>
          </w:p>
        </w:tc>
      </w:tr>
      <w:tr>
        <w:trPr>
          <w:trHeight w:val="31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2016</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379,716</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255,202</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124,514</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369,379</w:t>
            </w: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202,837</w:t>
            </w: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166,542</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82.1</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10,337</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52,365</w:t>
            </w:r>
          </w:p>
        </w:tc>
        <w:tc>
          <w:tcPr>
            <w:tcW w:w="5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(42,028)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(16,369)</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(5,663)</w:t>
            </w:r>
          </w:p>
        </w:tc>
        <w:tc>
          <w:tcPr>
            <w:tcW w:w="500" w:type="dxa"/>
            <w:vAlign w:val="bottom"/>
          </w:tcPr>
          <w:p>
            <w:pPr>
              <w:spacing w:after="0"/>
              <w:rPr>
                <w:sz w:val="21"/>
                <w:szCs w:val="21"/>
                <w:color w:val="auto"/>
              </w:rPr>
            </w:pPr>
          </w:p>
        </w:tc>
        <w:tc>
          <w:tcPr>
            <w:tcW w:w="1740" w:type="dxa"/>
            <w:vAlign w:val="bottom"/>
          </w:tcPr>
          <w:p>
            <w:pPr>
              <w:jc w:val="right"/>
              <w:ind w:right="550"/>
              <w:spacing w:after="0"/>
              <w:rPr>
                <w:sz w:val="20"/>
                <w:szCs w:val="20"/>
                <w:color w:val="auto"/>
              </w:rPr>
            </w:pPr>
            <w:r>
              <w:rPr>
                <w:rFonts w:ascii="Arial" w:cs="Arial" w:eastAsia="Arial" w:hAnsi="Arial"/>
                <w:sz w:val="18"/>
                <w:szCs w:val="18"/>
                <w:color w:val="auto"/>
              </w:rPr>
              <w:t>(10,706)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189.1</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3,147</w:t>
            </w:r>
          </w:p>
        </w:tc>
        <w:tc>
          <w:tcPr>
            <w:tcW w:w="6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1,253</w:t>
            </w:r>
          </w:p>
        </w:tc>
        <w:tc>
          <w:tcPr>
            <w:tcW w:w="50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1,894</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taxes</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(2,885)</w:t>
            </w:r>
          </w:p>
        </w:tc>
        <w:tc>
          <w:tcPr>
            <w:tcW w:w="60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47,955</w:t>
            </w:r>
          </w:p>
        </w:tc>
        <w:tc>
          <w:tcPr>
            <w:tcW w:w="500" w:type="dxa"/>
            <w:vAlign w:val="bottom"/>
          </w:tcPr>
          <w:p>
            <w:pPr>
              <w:spacing w:after="0"/>
              <w:rPr>
                <w:sz w:val="21"/>
                <w:szCs w:val="21"/>
                <w:color w:val="auto"/>
              </w:rPr>
            </w:pPr>
          </w:p>
        </w:tc>
        <w:tc>
          <w:tcPr>
            <w:tcW w:w="1740" w:type="dxa"/>
            <w:vAlign w:val="bottom"/>
          </w:tcPr>
          <w:p>
            <w:pPr>
              <w:jc w:val="right"/>
              <w:ind w:right="550"/>
              <w:spacing w:after="0"/>
              <w:rPr>
                <w:sz w:val="20"/>
                <w:szCs w:val="20"/>
                <w:color w:val="auto"/>
              </w:rPr>
            </w:pPr>
            <w:r>
              <w:rPr>
                <w:rFonts w:ascii="Arial" w:cs="Arial" w:eastAsia="Arial" w:hAnsi="Arial"/>
                <w:sz w:val="18"/>
                <w:szCs w:val="18"/>
                <w:color w:val="auto"/>
              </w:rPr>
              <w:t>(50,840)</w:t>
            </w:r>
          </w:p>
        </w:tc>
        <w:tc>
          <w:tcPr>
            <w:tcW w:w="1100" w:type="dxa"/>
            <w:vAlign w:val="bottom"/>
          </w:tcPr>
          <w:p>
            <w:pPr>
              <w:jc w:val="right"/>
              <w:spacing w:after="0"/>
              <w:rPr>
                <w:sz w:val="20"/>
                <w:szCs w:val="20"/>
                <w:color w:val="auto"/>
              </w:rPr>
            </w:pPr>
            <w:r>
              <w:rPr>
                <w:rFonts w:ascii="Arial" w:cs="Arial" w:eastAsia="Arial" w:hAnsi="Arial"/>
                <w:sz w:val="18"/>
                <w:szCs w:val="18"/>
                <w:color w:val="auto"/>
              </w:rPr>
              <w:t>(106.0)</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(2,174)</w:t>
            </w:r>
          </w:p>
        </w:tc>
        <w:tc>
          <w:tcPr>
            <w:tcW w:w="6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19,199</w:t>
            </w:r>
          </w:p>
        </w:tc>
        <w:tc>
          <w:tcPr>
            <w:tcW w:w="50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(21,373)</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(711)</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28,756</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(29,467)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nine months ended September 30, 2016, operating revenues increased $124.5 million, or 48.8%. Wireless segment revenues increased $114.1 million compared to the first nine months of 2015. The new revenues associated with the nTelos customers and the Sprint customers in the nTelos footprint accounted for most of this increase. Cable segment revenues grew $8.5 million primarily as a result of 6.6% growth in average subscriber counts and an increase in revenue per subscriber, while revenues from fiber contracts increased $0.7 million. Wireline segment revenues increased $3.2 million, primarily due to increases in fiber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expenses increased $166.5 million in the nine months ended September 30, 2016 compared to the prior year period. Operating expenses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nine months ended September 30, 2016 included $35.8 million of integration and acquisition costs associated with the nTelos acquisition, including $19.9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on the Wireless segment and $15.9 million in the Other segment. Selling, general and administrative expenses and cost of goods and services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Wireless segment included an additional $8.1 million of nTelos-related customer care and other back office costs related to supporting the nTelos legacy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customers until the migration of these customers is completed. Wireless segment operating expenses increased $121.3 million (excluding the $28.0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customer care, integration and acquisition expenses described above), primarily due to on-going costs associated with the acquired nTelos operations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$43.9 million of incremental depreciation associated with the related acquired assets. All other operating expenses increased $1.3 million, net of eliminations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intersegment activities.</w:t>
      </w:r>
    </w:p>
    <w:p>
      <w:pPr>
        <w:spacing w:after="0" w:line="21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Acquisition and integration costs on the Other segment primarily consisted of severance accruals for short-term nTelos personnel to be separated as integration activities wind down, and transaction related expenses (such as investment advisor, legal and other professional fees). On the Wireless segment, such costs included handsets provided to nTelos subscribers who needed a new phone to transition to the Sprint billing platform, personnel costs associated with short-term nTelos employees required to migrate the former nTelos customers to the Sprint back-office, and costs to shutdown duplicate cell site leases and backhaul circuits.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 (benefit)</w:t>
      </w:r>
    </w:p>
    <w:p>
      <w:pPr>
        <w:spacing w:after="0" w:line="2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effective tax rate increased from 40.0% for the nine months ended September 30, 2015 to 75.4% for the nine months ended September 30, 2016. This increase resulted from discrete tax benefits resulting from the change in accounting for stock option exercises and share award distributions in the first nine months of 2016 in accordance with ASU 2016-09. In prior year periods, such tax benefits were recorded directly to equity. Offsetting the effect of the discrete benefits included the impact of non-deductible expenses as well as the effect of state rate effects when income recognized in higher tax states is combined with losses in states with lower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the nine months ended September 30, 2016, net income decreased $29.5 million, or 102.5%, primarily reflecting acquisition and integration costs incurred, increased depreciation and amortization, straight-lining of certain Sprint fee credits, and higher interest on the expanded outstanding debt as a result of the nTelos acquisition, net of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2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Our Wireless segment historically provided digital wireless service to a portion of a four-state area covering the region from Harrisburg, York and Altoona, Pennsylvania, to Harrisonburg, Virginia, through Shenandoah Personal Communications, LLC (“PCS”), a Sprint PCS Affiliate. Following the recent acquisition of nTelos, our wireless service territory expanded to include south-central and western Virginia, West Virginia, and small portions of Kentucky and Ohio. Through Shenandoah Mobile, LLC (“Mobile”), this segment also leases land on which it builds Company-owned cell towers, which it leases to affiliates and non-affiliated wireless service providers, throughout the same four-state area described above.</w:t>
      </w:r>
    </w:p>
    <w:p>
      <w:pPr>
        <w:spacing w:after="0" w:line="1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PCS receives revenues from Sprint for subscribers that obtain service in PCS’s network coverage area. PCS relies on Sprint to provide timely, accurate and complete information to record the appropriate revenue for each financial period. Postpaid revenues received from Sprint are recorded net of certain fees retained by Sprint. Through December 31, 2015, these fees totaled 22% of postpaid net billed revenue (gross customer billings net of credits and adjustments to customer accounts, and write-offs of uncollectible accounts), as defined by the Affiliate Agreement with Sprint. Effective January 1, 2016, the fees charged by Sprint declined to 16.6%, and certain revenue and expense items previously included in these fees became separately settled.</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also offer prepaid wireless products and services in our PCS network coverage area. Sprint retains a Management Fee equal to 6% of prepaid customer billings. Prepaid revenues received from Sprint are reported net of the cost of this fee. Other fees charged on a per unit basis are separately recorded as expenses according to the nature of the expense. We pay handset subsidies to Sprint for the difference between the selling price of prepaid handsets and their cost, recorded as a net cost in cost of goods sold. The revenue and expense components reported to us by Sprint are based on Sprint’s national averages for prepaid services, rather than being specifically determined by customers assigned to our geographic service areas.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as of the dates shown: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40" w:type="dxa"/>
            <w:vAlign w:val="bottom"/>
            <w:gridSpan w:val="2"/>
          </w:tcPr>
          <w:p>
            <w:pPr>
              <w:ind w:left="300"/>
              <w:spacing w:after="0"/>
              <w:rPr>
                <w:sz w:val="20"/>
                <w:szCs w:val="20"/>
                <w:color w:val="auto"/>
              </w:rPr>
            </w:pPr>
            <w:r>
              <w:rPr>
                <w:rFonts w:ascii="Arial" w:cs="Arial" w:eastAsia="Arial" w:hAnsi="Arial"/>
                <w:sz w:val="18"/>
                <w:szCs w:val="18"/>
                <w:color w:val="auto"/>
              </w:rPr>
              <w:t>September 30,</w:t>
            </w:r>
          </w:p>
        </w:tc>
        <w:tc>
          <w:tcPr>
            <w:tcW w:w="1720" w:type="dxa"/>
            <w:vAlign w:val="bottom"/>
            <w:gridSpan w:val="2"/>
          </w:tcPr>
          <w:p>
            <w:pPr>
              <w:ind w:left="300"/>
              <w:spacing w:after="0"/>
              <w:rPr>
                <w:sz w:val="20"/>
                <w:szCs w:val="20"/>
                <w:color w:val="auto"/>
              </w:rPr>
            </w:pPr>
            <w:r>
              <w:rPr>
                <w:rFonts w:ascii="Arial" w:cs="Arial" w:eastAsia="Arial" w:hAnsi="Arial"/>
                <w:sz w:val="18"/>
                <w:szCs w:val="18"/>
                <w:color w:val="auto"/>
              </w:rPr>
              <w:t>December 31,</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color w:val="auto"/>
              </w:rPr>
              <w:t>December 31,</w:t>
            </w:r>
          </w:p>
        </w:tc>
      </w:tr>
      <w:tr>
        <w:trPr>
          <w:trHeight w:val="230"/>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color w:val="auto"/>
                <w:w w:val="98"/>
              </w:rPr>
              <w:t>September 30, 2015</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2014</w:t>
            </w:r>
          </w:p>
        </w:tc>
      </w:tr>
      <w:tr>
        <w:trPr>
          <w:trHeight w:val="34"/>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PCS Subscribers – Postpaid</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718,785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312,512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303,527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287,867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Retail PCS Subscribers – Prepaid</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275,446</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142,840</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145,104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145,162</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PCS Market POPS (000) (1)</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PCS Covered POPS (000) (1)</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4,715</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2,207</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CDMA Base Stations (sites)</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Towers Owned</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Non-affiliate Cell Site Leases</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459"/>
        </w:trPr>
        <w:tc>
          <w:tcPr>
            <w:tcW w:w="4700" w:type="dxa"/>
            <w:vAlign w:val="bottom"/>
          </w:tcPr>
          <w:p>
            <w:pPr>
              <w:spacing w:after="0"/>
              <w:rPr>
                <w:sz w:val="24"/>
                <w:szCs w:val="24"/>
                <w:color w:val="auto"/>
              </w:rPr>
            </w:pPr>
          </w:p>
        </w:tc>
        <w:tc>
          <w:tcPr>
            <w:tcW w:w="1620" w:type="dxa"/>
            <w:vAlign w:val="bottom"/>
          </w:tcPr>
          <w:p>
            <w:pPr>
              <w:jc w:val="right"/>
              <w:ind w:right="4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changes from December 31, 2015 to September 30, 2016 shown above include the following amounts acquired in the nTelos acquisition and the exchange with Sprint on May 6, 2016: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PCS Subscribers – Postpaid</w:t>
            </w:r>
          </w:p>
        </w:tc>
        <w:tc>
          <w:tcPr>
            <w:tcW w:w="2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404,444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Acquired PCS Subscribers – Prepaid</w:t>
            </w:r>
          </w:p>
        </w:tc>
        <w:tc>
          <w:tcPr>
            <w:tcW w:w="2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154,944</w:t>
            </w:r>
          </w:p>
        </w:tc>
      </w:tr>
      <w:tr>
        <w:trPr>
          <w:trHeight w:val="27"/>
        </w:trPr>
        <w:tc>
          <w:tcPr>
            <w:tcW w:w="4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PCS Market POPS (000) (1)</w:t>
            </w:r>
          </w:p>
        </w:tc>
        <w:tc>
          <w:tcPr>
            <w:tcW w:w="2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Acquired PCS Covered POPS (000) (1)</w:t>
            </w:r>
          </w:p>
        </w:tc>
        <w:tc>
          <w:tcPr>
            <w:tcW w:w="2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2,298</w:t>
            </w:r>
          </w:p>
        </w:tc>
      </w:tr>
      <w:tr>
        <w:trPr>
          <w:trHeight w:val="27"/>
        </w:trPr>
        <w:tc>
          <w:tcPr>
            <w:tcW w:w="4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CDMA Base Stations (sites) (2)</w:t>
            </w:r>
          </w:p>
        </w:tc>
        <w:tc>
          <w:tcPr>
            <w:tcW w:w="2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Towers</w:t>
            </w:r>
          </w:p>
        </w:tc>
        <w:tc>
          <w:tcPr>
            <w:tcW w:w="2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Non-affiliate Cell Site Leases</w:t>
            </w:r>
          </w:p>
        </w:tc>
        <w:tc>
          <w:tcPr>
            <w:tcW w:w="2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580"/>
        </w:trPr>
        <w:tc>
          <w:tcPr>
            <w:tcW w:w="4980" w:type="dxa"/>
            <w:vAlign w:val="bottom"/>
          </w:tcPr>
          <w:p>
            <w:pPr>
              <w:spacing w:after="0"/>
              <w:rPr>
                <w:sz w:val="24"/>
                <w:szCs w:val="24"/>
                <w:color w:val="auto"/>
              </w:rPr>
            </w:pPr>
          </w:p>
        </w:tc>
        <w:tc>
          <w:tcPr>
            <w:tcW w:w="3480" w:type="dxa"/>
            <w:vAlign w:val="bottom"/>
            <w:gridSpan w:val="2"/>
          </w:tcPr>
          <w:p>
            <w:pPr>
              <w:jc w:val="right"/>
              <w:ind w:right="1030"/>
              <w:spacing w:after="0"/>
              <w:rPr>
                <w:sz w:val="20"/>
                <w:szCs w:val="20"/>
                <w:color w:val="auto"/>
              </w:rPr>
            </w:pPr>
            <w:r>
              <w:rPr>
                <w:rFonts w:ascii="Arial" w:cs="Arial" w:eastAsia="Arial" w:hAnsi="Arial"/>
                <w:sz w:val="18"/>
                <w:szCs w:val="18"/>
                <w:color w:val="auto"/>
              </w:rPr>
              <w:t>Three Months Ended</w:t>
            </w:r>
          </w:p>
        </w:tc>
        <w:tc>
          <w:tcPr>
            <w:tcW w:w="2960" w:type="dxa"/>
            <w:vAlign w:val="bottom"/>
            <w:gridSpan w:val="2"/>
          </w:tcPr>
          <w:p>
            <w:pPr>
              <w:jc w:val="right"/>
              <w:ind w:right="750"/>
              <w:spacing w:after="0"/>
              <w:rPr>
                <w:sz w:val="20"/>
                <w:szCs w:val="20"/>
                <w:color w:val="auto"/>
              </w:rPr>
            </w:pPr>
            <w:r>
              <w:rPr>
                <w:rFonts w:ascii="Arial" w:cs="Arial" w:eastAsia="Arial" w:hAnsi="Arial"/>
                <w:sz w:val="18"/>
                <w:szCs w:val="18"/>
                <w:color w:val="auto"/>
              </w:rPr>
              <w:t>Nine Months Ended</w:t>
            </w:r>
          </w:p>
        </w:tc>
      </w:tr>
      <w:tr>
        <w:trPr>
          <w:trHeight w:val="230"/>
        </w:trPr>
        <w:tc>
          <w:tcPr>
            <w:tcW w:w="498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September 30,</w:t>
            </w:r>
          </w:p>
        </w:tc>
        <w:tc>
          <w:tcPr>
            <w:tcW w:w="13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September 30,</w:t>
            </w:r>
          </w:p>
        </w:tc>
        <w:tc>
          <w:tcPr>
            <w:tcW w:w="1000" w:type="dxa"/>
            <w:vAlign w:val="bottom"/>
          </w:tcPr>
          <w:p>
            <w:pPr>
              <w:spacing w:after="0"/>
              <w:rPr>
                <w:sz w:val="20"/>
                <w:szCs w:val="20"/>
                <w:color w:val="auto"/>
              </w:rPr>
            </w:pPr>
          </w:p>
        </w:tc>
      </w:tr>
      <w:tr>
        <w:trPr>
          <w:trHeight w:val="34"/>
        </w:trPr>
        <w:tc>
          <w:tcPr>
            <w:tcW w:w="49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980" w:type="dxa"/>
            <w:vAlign w:val="bottom"/>
          </w:tcPr>
          <w:p>
            <w:pPr>
              <w:spacing w:after="0"/>
              <w:rPr>
                <w:sz w:val="21"/>
                <w:szCs w:val="21"/>
                <w:color w:val="auto"/>
              </w:rPr>
            </w:pPr>
          </w:p>
        </w:tc>
        <w:tc>
          <w:tcPr>
            <w:tcW w:w="2160" w:type="dxa"/>
            <w:vAlign w:val="bottom"/>
          </w:tcPr>
          <w:p>
            <w:pPr>
              <w:jc w:val="right"/>
              <w:ind w:right="1130"/>
              <w:spacing w:after="0"/>
              <w:rPr>
                <w:sz w:val="20"/>
                <w:szCs w:val="20"/>
                <w:color w:val="auto"/>
              </w:rPr>
            </w:pPr>
            <w:r>
              <w:rPr>
                <w:rFonts w:ascii="Arial" w:cs="Arial" w:eastAsia="Arial" w:hAnsi="Arial"/>
                <w:sz w:val="18"/>
                <w:szCs w:val="18"/>
                <w:color w:val="auto"/>
              </w:rPr>
              <w:t>2016</w:t>
            </w:r>
          </w:p>
        </w:tc>
        <w:tc>
          <w:tcPr>
            <w:tcW w:w="1320" w:type="dxa"/>
            <w:vAlign w:val="bottom"/>
          </w:tcPr>
          <w:p>
            <w:pPr>
              <w:jc w:val="right"/>
              <w:ind w:right="810"/>
              <w:spacing w:after="0"/>
              <w:rPr>
                <w:sz w:val="20"/>
                <w:szCs w:val="20"/>
                <w:color w:val="auto"/>
              </w:rPr>
            </w:pPr>
            <w:r>
              <w:rPr>
                <w:rFonts w:ascii="Arial" w:cs="Arial" w:eastAsia="Arial" w:hAnsi="Arial"/>
                <w:sz w:val="18"/>
                <w:szCs w:val="18"/>
                <w:color w:val="auto"/>
                <w:w w:val="99"/>
              </w:rPr>
              <w:t>2015</w:t>
            </w:r>
          </w:p>
        </w:tc>
        <w:tc>
          <w:tcPr>
            <w:tcW w:w="1960" w:type="dxa"/>
            <w:vAlign w:val="bottom"/>
          </w:tcPr>
          <w:p>
            <w:pPr>
              <w:jc w:val="right"/>
              <w:ind w:right="1130"/>
              <w:spacing w:after="0"/>
              <w:rPr>
                <w:sz w:val="20"/>
                <w:szCs w:val="20"/>
                <w:color w:val="auto"/>
              </w:rPr>
            </w:pPr>
            <w:r>
              <w:rPr>
                <w:rFonts w:ascii="Arial" w:cs="Arial" w:eastAsia="Arial" w:hAnsi="Arial"/>
                <w:sz w:val="18"/>
                <w:szCs w:val="18"/>
                <w:color w:val="auto"/>
              </w:rPr>
              <w:t>2016</w:t>
            </w:r>
          </w:p>
        </w:tc>
        <w:tc>
          <w:tcPr>
            <w:tcW w:w="1000" w:type="dxa"/>
            <w:vAlign w:val="bottom"/>
          </w:tcPr>
          <w:p>
            <w:pPr>
              <w:jc w:val="right"/>
              <w:ind w:right="490"/>
              <w:spacing w:after="0"/>
              <w:rPr>
                <w:sz w:val="20"/>
                <w:szCs w:val="20"/>
                <w:color w:val="auto"/>
              </w:rPr>
            </w:pPr>
            <w:r>
              <w:rPr>
                <w:rFonts w:ascii="Arial" w:cs="Arial" w:eastAsia="Arial" w:hAnsi="Arial"/>
                <w:sz w:val="18"/>
                <w:szCs w:val="18"/>
                <w:color w:val="auto"/>
                <w:w w:val="99"/>
              </w:rPr>
              <w:t>2015</w:t>
            </w:r>
          </w:p>
        </w:tc>
      </w:tr>
      <w:tr>
        <w:trPr>
          <w:trHeight w:val="34"/>
        </w:trPr>
        <w:tc>
          <w:tcPr>
            <w:tcW w:w="49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PCS Subscriber Additions – Postpaid</w:t>
            </w:r>
          </w:p>
        </w:tc>
        <w:tc>
          <w:tcPr>
            <w:tcW w:w="21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41,563</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19,638</w:t>
            </w:r>
          </w:p>
        </w:tc>
        <w:tc>
          <w:tcPr>
            <w:tcW w:w="19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85,104</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54,477</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PCS Subscriber Additions – Postpaid</w:t>
            </w:r>
          </w:p>
        </w:tc>
        <w:tc>
          <w:tcPr>
            <w:tcW w:w="2160" w:type="dxa"/>
            <w:vAlign w:val="bottom"/>
          </w:tcPr>
          <w:p>
            <w:pPr>
              <w:jc w:val="right"/>
              <w:ind w:right="730"/>
              <w:spacing w:after="0"/>
              <w:rPr>
                <w:sz w:val="20"/>
                <w:szCs w:val="20"/>
                <w:color w:val="auto"/>
              </w:rPr>
            </w:pPr>
            <w:r>
              <w:rPr>
                <w:rFonts w:ascii="Arial" w:cs="Arial" w:eastAsia="Arial" w:hAnsi="Arial"/>
                <w:sz w:val="18"/>
                <w:szCs w:val="18"/>
                <w:color w:val="auto"/>
              </w:rPr>
              <w:t>1,222</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7,035</w:t>
            </w:r>
          </w:p>
        </w:tc>
        <w:tc>
          <w:tcPr>
            <w:tcW w:w="1960" w:type="dxa"/>
            <w:vAlign w:val="bottom"/>
          </w:tcPr>
          <w:p>
            <w:pPr>
              <w:jc w:val="right"/>
              <w:ind w:right="730"/>
              <w:spacing w:after="0"/>
              <w:rPr>
                <w:sz w:val="20"/>
                <w:szCs w:val="20"/>
                <w:color w:val="auto"/>
              </w:rPr>
            </w:pPr>
            <w:r>
              <w:rPr>
                <w:rFonts w:ascii="Arial" w:cs="Arial" w:eastAsia="Arial" w:hAnsi="Arial"/>
                <w:sz w:val="18"/>
                <w:szCs w:val="18"/>
                <w:color w:val="auto"/>
              </w:rPr>
              <w:t>1,829</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15,660</w:t>
            </w:r>
          </w:p>
        </w:tc>
      </w:tr>
      <w:tr>
        <w:trPr>
          <w:trHeight w:val="27"/>
        </w:trPr>
        <w:tc>
          <w:tcPr>
            <w:tcW w:w="4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PCS Subscriber Additions – Prepaid</w:t>
            </w:r>
          </w:p>
        </w:tc>
        <w:tc>
          <w:tcPr>
            <w:tcW w:w="21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35,202</w:t>
            </w:r>
          </w:p>
        </w:tc>
        <w:tc>
          <w:tcPr>
            <w:tcW w:w="13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20,228</w:t>
            </w:r>
          </w:p>
        </w:tc>
        <w:tc>
          <w:tcPr>
            <w:tcW w:w="19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83,786</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63,806</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PCS Subscriber Losses – Prepaid</w:t>
            </w:r>
          </w:p>
        </w:tc>
        <w:tc>
          <w:tcPr>
            <w:tcW w:w="2160" w:type="dxa"/>
            <w:vAlign w:val="bottom"/>
          </w:tcPr>
          <w:p>
            <w:pPr>
              <w:jc w:val="right"/>
              <w:ind w:right="670"/>
              <w:spacing w:after="0"/>
              <w:rPr>
                <w:sz w:val="20"/>
                <w:szCs w:val="20"/>
                <w:color w:val="auto"/>
              </w:rPr>
            </w:pPr>
            <w:r>
              <w:rPr>
                <w:rFonts w:ascii="Arial" w:cs="Arial" w:eastAsia="Arial" w:hAnsi="Arial"/>
                <w:sz w:val="18"/>
                <w:szCs w:val="18"/>
                <w:color w:val="auto"/>
              </w:rPr>
              <w:t>(13,865)</w:t>
            </w:r>
          </w:p>
        </w:tc>
        <w:tc>
          <w:tcPr>
            <w:tcW w:w="1320" w:type="dxa"/>
            <w:vAlign w:val="bottom"/>
          </w:tcPr>
          <w:p>
            <w:pPr>
              <w:jc w:val="right"/>
              <w:ind w:right="370"/>
              <w:spacing w:after="0"/>
              <w:rPr>
                <w:sz w:val="20"/>
                <w:szCs w:val="20"/>
                <w:color w:val="auto"/>
              </w:rPr>
            </w:pPr>
            <w:r>
              <w:rPr>
                <w:rFonts w:ascii="Arial" w:cs="Arial" w:eastAsia="Arial" w:hAnsi="Arial"/>
                <w:sz w:val="18"/>
                <w:szCs w:val="18"/>
                <w:color w:val="auto"/>
              </w:rPr>
              <w:t>(327)</w:t>
            </w:r>
          </w:p>
        </w:tc>
        <w:tc>
          <w:tcPr>
            <w:tcW w:w="1960" w:type="dxa"/>
            <w:vAlign w:val="bottom"/>
          </w:tcPr>
          <w:p>
            <w:pPr>
              <w:jc w:val="right"/>
              <w:ind w:right="670"/>
              <w:spacing w:after="0"/>
              <w:rPr>
                <w:sz w:val="20"/>
                <w:szCs w:val="20"/>
                <w:color w:val="auto"/>
              </w:rPr>
            </w:pPr>
            <w:r>
              <w:rPr>
                <w:rFonts w:ascii="Arial" w:cs="Arial" w:eastAsia="Arial" w:hAnsi="Arial"/>
                <w:sz w:val="18"/>
                <w:szCs w:val="18"/>
                <w:color w:val="auto"/>
              </w:rPr>
              <w:t>(22,338)</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w:t>
            </w:r>
          </w:p>
        </w:tc>
      </w:tr>
      <w:tr>
        <w:trPr>
          <w:trHeight w:val="27"/>
        </w:trPr>
        <w:tc>
          <w:tcPr>
            <w:tcW w:w="4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PCS Average Monthly Retail Churn % - Postpaid (3)</w:t>
            </w:r>
          </w:p>
        </w:tc>
        <w:tc>
          <w:tcPr>
            <w:tcW w:w="21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2.01%</w:t>
            </w:r>
          </w:p>
        </w:tc>
        <w:tc>
          <w:tcPr>
            <w:tcW w:w="13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1.40%</w:t>
            </w:r>
          </w:p>
        </w:tc>
        <w:tc>
          <w:tcPr>
            <w:tcW w:w="196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1.71%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PCS Average Monthly Retail Churn % - Prepaid (3)</w:t>
            </w:r>
          </w:p>
        </w:tc>
        <w:tc>
          <w:tcPr>
            <w:tcW w:w="2160" w:type="dxa"/>
            <w:vAlign w:val="bottom"/>
          </w:tcPr>
          <w:p>
            <w:pPr>
              <w:jc w:val="right"/>
              <w:ind w:right="590"/>
              <w:spacing w:after="0"/>
              <w:rPr>
                <w:sz w:val="20"/>
                <w:szCs w:val="20"/>
                <w:color w:val="auto"/>
              </w:rPr>
            </w:pPr>
            <w:r>
              <w:rPr>
                <w:rFonts w:ascii="Arial" w:cs="Arial" w:eastAsia="Arial" w:hAnsi="Arial"/>
                <w:sz w:val="18"/>
                <w:szCs w:val="18"/>
                <w:color w:val="auto"/>
              </w:rPr>
              <w:t>5.43%</w:t>
            </w: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4.72%</w:t>
            </w:r>
          </w:p>
        </w:tc>
        <w:tc>
          <w:tcPr>
            <w:tcW w:w="1960" w:type="dxa"/>
            <w:vAlign w:val="bottom"/>
          </w:tcPr>
          <w:p>
            <w:pPr>
              <w:jc w:val="right"/>
              <w:ind w:right="590"/>
              <w:spacing w:after="0"/>
              <w:rPr>
                <w:sz w:val="20"/>
                <w:szCs w:val="20"/>
                <w:color w:val="auto"/>
              </w:rPr>
            </w:pPr>
            <w:r>
              <w:rPr>
                <w:rFonts w:ascii="Arial" w:cs="Arial" w:eastAsia="Arial" w:hAnsi="Arial"/>
                <w:sz w:val="18"/>
                <w:szCs w:val="18"/>
                <w:color w:val="auto"/>
              </w:rPr>
              <w:t>5.06%</w:t>
            </w:r>
          </w:p>
        </w:tc>
        <w:tc>
          <w:tcPr>
            <w:tcW w:w="1000" w:type="dxa"/>
            <w:vAlign w:val="bottom"/>
          </w:tcPr>
          <w:p>
            <w:pPr>
              <w:jc w:val="right"/>
              <w:spacing w:after="0"/>
              <w:rPr>
                <w:sz w:val="20"/>
                <w:szCs w:val="20"/>
                <w:color w:val="auto"/>
              </w:rPr>
            </w:pPr>
            <w:r>
              <w:rPr>
                <w:rFonts w:ascii="Arial" w:cs="Arial" w:eastAsia="Arial" w:hAnsi="Arial"/>
                <w:sz w:val="18"/>
                <w:szCs w:val="18"/>
                <w:color w:val="auto"/>
              </w:rPr>
              <w:t>4.85%</w:t>
            </w:r>
          </w:p>
        </w:tc>
      </w:tr>
    </w:tbl>
    <w:p>
      <w:pPr>
        <w:spacing w:after="0" w:line="229" w:lineRule="exact"/>
        <w:rPr>
          <w:sz w:val="20"/>
          <w:szCs w:val="20"/>
          <w:color w:val="auto"/>
        </w:rPr>
      </w:pPr>
    </w:p>
    <w:p>
      <w:pPr>
        <w:ind w:left="660" w:right="12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POPS refers to the estimated population of a given geographic area and is based on information purchased from third party sources. Market POPS are those within a market area which we are authorized to serve under our Sprint PCS affiliate agreements, and Covered POPS are those covered by our network.</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of approximately 160 overlap cell sites we intend to shut down in coming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PCS Average Monthly Retail Churn is the average of the monthly subscriber turnover, or churn, calculations for the period.</w:t>
      </w:r>
    </w:p>
    <w:p>
      <w:pPr>
        <w:spacing w:after="0" w:line="21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During the three and nine months ended September 30, 2016, 2,880 and 4,410 former nTelos prepaid subscribers, respectively, switched to postpaid subscribers as they migrated to the Sprint back-office platforms.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2016 Compared with the Three Months Ended September 30, 2015</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3"/>
          </w:tcPr>
          <w:p>
            <w:pPr>
              <w:jc w:val="right"/>
              <w:ind w:right="47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3"/>
          </w:tcPr>
          <w:p>
            <w:pPr>
              <w:jc w:val="right"/>
              <w:ind w:right="710"/>
              <w:spacing w:after="0"/>
              <w:rPr>
                <w:sz w:val="20"/>
                <w:szCs w:val="20"/>
                <w:color w:val="auto"/>
              </w:rPr>
            </w:pPr>
            <w:r>
              <w:rPr>
                <w:rFonts w:ascii="Arial" w:cs="Arial" w:eastAsia="Arial" w:hAnsi="Arial"/>
                <w:sz w:val="18"/>
                <w:szCs w:val="18"/>
                <w:color w:val="auto"/>
              </w:rPr>
              <w:t>September 30,</w:t>
            </w:r>
          </w:p>
        </w:tc>
        <w:tc>
          <w:tcPr>
            <w:tcW w:w="4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36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1"/>
                <w:szCs w:val="21"/>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Segment operating revenues</w:t>
            </w:r>
          </w:p>
        </w:tc>
        <w:tc>
          <w:tcPr>
            <w:tcW w:w="1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120" w:type="dxa"/>
            <w:vAlign w:val="bottom"/>
            <w:vMerge w:val="continue"/>
          </w:tcPr>
          <w:p>
            <w:pPr>
              <w:spacing w:after="0"/>
              <w:rPr>
                <w:sz w:val="21"/>
                <w:szCs w:val="21"/>
                <w:color w:val="auto"/>
              </w:rPr>
            </w:pP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Wireless service revenue</w:t>
            </w:r>
          </w:p>
        </w:tc>
        <w:tc>
          <w:tcPr>
            <w:tcW w:w="2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111,001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47,793</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63,208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Tower lease revenue</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2,909</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2,610</w:t>
            </w:r>
          </w:p>
        </w:tc>
        <w:tc>
          <w:tcPr>
            <w:tcW w:w="44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299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3,539</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2,435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84"/>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revenue</w:t>
            </w:r>
          </w:p>
        </w:tc>
        <w:tc>
          <w:tcPr>
            <w:tcW w:w="19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2,670</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2,541</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revenues</w:t>
            </w:r>
          </w:p>
        </w:tc>
        <w:tc>
          <w:tcPr>
            <w:tcW w:w="19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120,119</w:t>
            </w:r>
          </w:p>
        </w:tc>
        <w:tc>
          <w:tcPr>
            <w:tcW w:w="3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51,636</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68,483</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Cost of goods and services, exclusive of depreciation</w:t>
            </w:r>
          </w:p>
        </w:tc>
        <w:tc>
          <w:tcPr>
            <w:tcW w:w="22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w w:val="97"/>
              </w:rPr>
              <w:t>and amortization</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shown separately below</w:t>
            </w:r>
          </w:p>
        </w:tc>
        <w:tc>
          <w:tcPr>
            <w:tcW w:w="19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43,097</w:t>
            </w: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15,572</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27,525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29"/>
        </w:trPr>
        <w:tc>
          <w:tcPr>
            <w:tcW w:w="6360" w:type="dxa"/>
            <w:vAlign w:val="bottom"/>
            <w:gridSpan w:val="3"/>
          </w:tcPr>
          <w:p>
            <w:pPr>
              <w:ind w:left="180"/>
              <w:spacing w:after="0"/>
              <w:rPr>
                <w:sz w:val="20"/>
                <w:szCs w:val="20"/>
                <w:color w:val="auto"/>
              </w:rPr>
            </w:pPr>
            <w:r>
              <w:rPr>
                <w:rFonts w:ascii="Arial" w:cs="Arial" w:eastAsia="Arial" w:hAnsi="Arial"/>
                <w:sz w:val="18"/>
                <w:szCs w:val="18"/>
                <w:color w:val="auto"/>
              </w:rPr>
              <w:t>Selling, general and administrative, exclusive of  depreciation and</w:t>
            </w: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amortization shown separately below</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29,892</w:t>
            </w:r>
          </w:p>
        </w:tc>
        <w:tc>
          <w:tcPr>
            <w:tcW w:w="3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9,027</w:t>
            </w:r>
          </w:p>
        </w:tc>
        <w:tc>
          <w:tcPr>
            <w:tcW w:w="4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20,865</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Integration and acquisition expenses</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14,499</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14,499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4"/>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19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38,038</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9,644</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28,394</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71"/>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segment operating expenses</w:t>
            </w:r>
          </w:p>
        </w:tc>
        <w:tc>
          <w:tcPr>
            <w:tcW w:w="1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125,526</w:t>
            </w:r>
          </w:p>
        </w:tc>
        <w:tc>
          <w:tcPr>
            <w:tcW w:w="3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34,243</w:t>
            </w:r>
          </w:p>
        </w:tc>
        <w:tc>
          <w:tcPr>
            <w:tcW w:w="4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91,283</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Segment operating income (loss)</w:t>
            </w:r>
          </w:p>
        </w:tc>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(5,407)</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17,393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(22,800)</w:t>
            </w:r>
          </w:p>
        </w:tc>
        <w:tc>
          <w:tcPr>
            <w:tcW w:w="860" w:type="dxa"/>
            <w:vAlign w:val="bottom"/>
          </w:tcPr>
          <w:p>
            <w:pPr>
              <w:jc w:val="right"/>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Wireless service revenue increased $63.2 million, or 132.3%, for the three months ended September 30, 2016, compared to the comparable 2015 period. See table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3"/>
          </w:tcPr>
          <w:p>
            <w:pPr>
              <w:jc w:val="right"/>
              <w:ind w:right="49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3"/>
          </w:tcPr>
          <w:p>
            <w:pPr>
              <w:jc w:val="right"/>
              <w:ind w:right="73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4"/>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Service Revenues</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64"/>
        </w:trPr>
        <w:tc>
          <w:tcPr>
            <w:tcW w:w="596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 xml:space="preserve">Postpaid net billings </w:t>
            </w:r>
            <w:r>
              <w:rPr>
                <w:rFonts w:ascii="Arial" w:cs="Arial" w:eastAsia="Arial" w:hAnsi="Arial"/>
                <w:sz w:val="25"/>
                <w:szCs w:val="25"/>
                <w:color w:val="auto"/>
                <w:vertAlign w:val="superscript"/>
              </w:rPr>
              <w:t>(1)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97,470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45,864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51,606</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Sprint fees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Management fee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(4,232)</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Net Service fee</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(6,745)</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(6,453)</w:t>
            </w:r>
          </w:p>
        </w:tc>
        <w:tc>
          <w:tcPr>
            <w:tcW w:w="420" w:type="dxa"/>
            <w:vAlign w:val="bottom"/>
          </w:tcPr>
          <w:p>
            <w:pPr>
              <w:spacing w:after="0"/>
              <w:rPr>
                <w:sz w:val="21"/>
                <w:szCs w:val="21"/>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(292)</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Waiver of management fee</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7,996</w:t>
            </w: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7,996</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(6,668)</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(10,140)</w:t>
            </w:r>
          </w:p>
        </w:tc>
        <w:tc>
          <w:tcPr>
            <w:tcW w:w="4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3,472</w:t>
            </w:r>
          </w:p>
        </w:tc>
        <w:tc>
          <w:tcPr>
            <w:tcW w:w="86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net billings</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Gross billings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25,156</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12,760</w:t>
            </w:r>
          </w:p>
        </w:tc>
        <w:tc>
          <w:tcPr>
            <w:tcW w:w="4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12,396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97.1</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Sprint management fee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(755)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84"/>
        </w:trPr>
        <w:tc>
          <w:tcPr>
            <w:tcW w:w="59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Waiver of management fee</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1,521</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1,521</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NM</w:t>
            </w:r>
          </w:p>
        </w:tc>
      </w:tr>
      <w:tr>
        <w:trPr>
          <w:trHeight w:val="237"/>
        </w:trPr>
        <w:tc>
          <w:tcPr>
            <w:tcW w:w="5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25,156</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11,994</w:t>
            </w: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13,162</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109.7</w:t>
            </w:r>
          </w:p>
        </w:tc>
      </w:tr>
      <w:tr>
        <w:trPr>
          <w:trHeight w:val="277"/>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 and other revenues</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5,276</w:t>
            </w:r>
          </w:p>
        </w:tc>
        <w:tc>
          <w:tcPr>
            <w:tcW w:w="3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5,201</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Accounting adjustments</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expanded affiliate agreement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(5,593)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84"/>
        </w:trPr>
        <w:tc>
          <w:tcPr>
            <w:tcW w:w="59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Straight-line adjustment - management fee waiver</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(4,640)</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NM</w:t>
            </w:r>
          </w:p>
        </w:tc>
      </w:tr>
      <w:tr>
        <w:trPr>
          <w:trHeight w:val="276"/>
        </w:trPr>
        <w:tc>
          <w:tcPr>
            <w:tcW w:w="5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(10,233)</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(10,233)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64"/>
        </w:trPr>
        <w:tc>
          <w:tcPr>
            <w:tcW w:w="596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Total Service Revenues</w:t>
            </w:r>
          </w:p>
        </w:tc>
        <w:tc>
          <w:tcPr>
            <w:tcW w:w="120" w:type="dxa"/>
            <w:vAlign w:val="bottom"/>
            <w:tcBorders>
              <w:top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111,001</w:t>
            </w: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47,793</w:t>
            </w:r>
          </w:p>
        </w:tc>
        <w:tc>
          <w:tcPr>
            <w:tcW w:w="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63,208</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132.3</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420" w:firstLine="8"/>
        <w:spacing w:after="0" w:line="273" w:lineRule="auto"/>
        <w:tabs>
          <w:tab w:leader="none" w:pos="204"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Postpaid net billings are defined under the terms of the affiliate contract with Sprint to be the gross billings to customers within our service territory less billing credits and adjustments and allocated write-offs of uncollectible accounts.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nTelos acquisition and other changes to the postpaid customer gross additions and churn, outlined in the tables above, resulted in an increase of $51.6 million or 112.5% in postpaid net billings. Effective January 1, 2016, the fees retained by Sprint, and deducted from postpaid revenues, decreased from 22% to 16.6% and they agreed to settle certain revenue and expense items separately. As a result, Sprint fees (in particular, the net service fee) dropped by $5.3 million or 43.8% compared to what it would have been had the fee not been reduced. Travel and other revenues, which are now settled separately, grew by $5.2 million. Prepaid net billings grew by $13.2 million or 109.7% as a result of the growth in the customer base related to the nTelos acquisition and other changes in gross additions and churn outlined in the tables above.</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recorded an asset related to the changes to the Sprint affiliate agreement as described in the nTelos acquisition footnote above. That asset is being amortized through the expiration of the initial term of that contract in 2029 and, as a result, we recorded $5.6 million in amortization in the third quarter of 2016. Sprint agreed to waive certain management fees that they would otherwise be entitled to under the affiliate agreement as a result of our commitment to buy nTelos, upgrade its network and support the former nTelos and Sprint customers. The fees waived will be recognized on a straight line basis over the remainder of the initial term of the contract through 2029 and, as a result, we recorded an adjustment of $4.6 million in the third quarter of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revenues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increases in equipment revenue and other revenue also resulted primarily from the nTelos acquisition, with the increase in other revenue primarily representing regulatory recovery revenues recognized by nTelos, whereas historically Sprint has recognized such revenues billed to customers in our service area.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 of goods and services increased $27.5 million, or 176.8%, in 2016 from the third quarter of 2015. The increase results from the growth in device subsidies of $2.1 million, new national handsets settled separately under the affiliate agreement of $1.1 million, increases in cell site rent and backhaul cost for incremental 868 cell sites in the nTelos territory of $14.1 million, as well as the related growth in the cost of network technicians to service and maintain these sites of $2.3 million. Cost of goods and services also included $0.7 million of costs to support nTelos legacy billing operations until customers migrate to Sprint’s back-office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Selling, general and administrative costs increased $20.9 million, or 231.1%, in the third quarter of 2016 from the comparable 2015 period. This increase included $5.5 million of separately settled national channel commissions; $5.7 million from the operating costs of incremental stores acquired as a result of the nTelos acquisition; $1.0 million in incremental sales and marketing efforts to communicate with the new customers and begin efforts to migrate the nTelos legacy customers over to the Sprint platforms; and $2.3 million in other administrative costs related to the acquired operations. Costs associated with prepaid wireless offerings increased $0.9 million. Selling, general and administrative costs also included $4.3 million of costs to support nTelos legacy billing operations until customers migrate to Sprint’s back-office systems.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acquisition</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Integration and acquisition expenses of $14.5 million in the third quarter of 2016 include approximately $9.9 million for replacement handsets issued to former nTelos subscribers migrated to the Sprint billing platform, $4.1 million in costs to terminate duplicative cell site leases and backhaul contracts, and $0.5 million in other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Depreciation and amortization increased $28.4 million, or 294%, in the third quarter of 2016 over the comparable 2015 period, due primarily to $22.2 million in depreciation on the acquired fixed assets and $5.1 million in amortization of customer based intangibles recorded in the acquisition. The $22.2 million depreciation included $4.6 million related to the second quarter of 2016 that resulted from depreciating additional assets and shortening the useful lives of other assets as a result of reviewing the preliminary asset valuation work. The $5.1 million of amortization expense included a reduction of $0.8 million relating to the second quarter of 2016 resulting from revisions to the initial valuation of these assets. Customer based intangibles are being amortized over accelerated lives.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2016 Compared with the Nine Months Ended September 30, 2015</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Nine Months Ended</w:t>
            </w: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September 30,</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440" w:type="dxa"/>
            <w:vAlign w:val="bottom"/>
          </w:tcPr>
          <w:p>
            <w:pPr>
              <w:spacing w:after="0"/>
              <w:rPr>
                <w:sz w:val="21"/>
                <w:szCs w:val="21"/>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Wireless 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250,053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144,917</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105,136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Tower lease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8,471</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7,772</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699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7,771</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3,871</w:t>
            </w:r>
          </w:p>
        </w:tc>
        <w:tc>
          <w:tcPr>
            <w:tcW w:w="44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3,900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4,636</w:t>
            </w: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4,349</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270,931</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156,847</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114,084</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40"/>
              <w:spacing w:after="0"/>
              <w:rPr>
                <w:sz w:val="20"/>
                <w:szCs w:val="20"/>
                <w:color w:val="auto"/>
              </w:rPr>
            </w:pPr>
            <w:r>
              <w:rPr>
                <w:rFonts w:ascii="Arial" w:cs="Arial" w:eastAsia="Arial" w:hAnsi="Arial"/>
                <w:sz w:val="18"/>
                <w:szCs w:val="18"/>
                <w:color w:val="auto"/>
                <w:w w:val="97"/>
              </w:rPr>
              <w:t>Cost of goods and services, exclusive of depreciation and amortization shown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40"/>
              <w:spacing w:after="0"/>
              <w:rPr>
                <w:sz w:val="20"/>
                <w:szCs w:val="20"/>
                <w:color w:val="auto"/>
              </w:rPr>
            </w:pPr>
            <w:r>
              <w:rPr>
                <w:rFonts w:ascii="Arial" w:cs="Arial" w:eastAsia="Arial" w:hAnsi="Arial"/>
                <w:sz w:val="18"/>
                <w:szCs w:val="18"/>
                <w:color w:val="auto"/>
              </w:rPr>
              <w:t>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94,892</w:t>
            </w:r>
          </w:p>
        </w:tc>
        <w:tc>
          <w:tcPr>
            <w:tcW w:w="3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47,661</w:t>
            </w:r>
          </w:p>
        </w:tc>
        <w:tc>
          <w:tcPr>
            <w:tcW w:w="4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47,231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Selling, general and administrative, exclusive of depreciation and amortization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shown separately below</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65,219</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26,996</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38,223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Integration and acquisition expenses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19,889</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19,889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70,026</w:t>
            </w: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26,089</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43,937</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8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250,026</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100,746</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149,280</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20,905</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56,101</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(35,196)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5620"/>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Revenues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Wireless service revenue increased $105.1 million, or 72.5%, for the nine months ended September 30, 2016, compared to the comparable 2015 period. See table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380" w:type="dxa"/>
            <w:vAlign w:val="bottom"/>
            <w:gridSpan w:val="3"/>
          </w:tcPr>
          <w:p>
            <w:pPr>
              <w:jc w:val="right"/>
              <w:ind w:right="530"/>
              <w:spacing w:after="0"/>
              <w:rPr>
                <w:sz w:val="20"/>
                <w:szCs w:val="20"/>
                <w:color w:val="auto"/>
              </w:rPr>
            </w:pPr>
            <w:r>
              <w:rPr>
                <w:rFonts w:ascii="Arial" w:cs="Arial" w:eastAsia="Arial" w:hAnsi="Arial"/>
                <w:sz w:val="18"/>
                <w:szCs w:val="18"/>
                <w:color w:val="auto"/>
              </w:rPr>
              <w:t>Nine Months Ended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3"/>
          </w:tcPr>
          <w:p>
            <w:pPr>
              <w:jc w:val="right"/>
              <w:ind w:right="73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4"/>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Service Revenues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44"/>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Postpaid net billings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218,327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139,342</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78,985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Sprint fees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Management fee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(17,914)</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(6,790)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Service fee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(15,986)</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(19,468)</w:t>
            </w:r>
          </w:p>
        </w:tc>
        <w:tc>
          <w:tcPr>
            <w:tcW w:w="4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3,482</w:t>
            </w: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Waiver of management fee</w:t>
            </w: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13,126</w:t>
            </w: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13,126</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(20,774)</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(30,592)</w:t>
            </w:r>
          </w:p>
        </w:tc>
        <w:tc>
          <w:tcPr>
            <w:tcW w:w="4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9,818</w:t>
            </w:r>
          </w:p>
        </w:tc>
        <w:tc>
          <w:tcPr>
            <w:tcW w:w="86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net billings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Gross billings</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58,744</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38,255</w:t>
            </w:r>
          </w:p>
        </w:tc>
        <w:tc>
          <w:tcPr>
            <w:tcW w:w="4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20,489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53.6</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Sprint management fee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(1,219)</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84"/>
        </w:trPr>
        <w:tc>
          <w:tcPr>
            <w:tcW w:w="6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Waiver of management fee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2,486</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2,486</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NM</w:t>
            </w:r>
          </w:p>
        </w:tc>
      </w:tr>
      <w:tr>
        <w:trPr>
          <w:trHeight w:val="244"/>
        </w:trPr>
        <w:tc>
          <w:tcPr>
            <w:tcW w:w="6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57,706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35,950</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21,756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Travel and other revenues</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11,364</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11,147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NM</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Accounting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Amortization of expanded affiliate agreement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(8,883)</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(8,883)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NM</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Straight-line adjustment - management fee waiver</w:t>
            </w:r>
          </w:p>
        </w:tc>
        <w:tc>
          <w:tcPr>
            <w:tcW w:w="28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3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(7,687)</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r>
        <w:trPr>
          <w:trHeight w:val="243"/>
        </w:trPr>
        <w:tc>
          <w:tcPr>
            <w:tcW w:w="6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(16,570)</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(16,570)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NM</w:t>
            </w:r>
          </w:p>
        </w:tc>
      </w:tr>
      <w:tr>
        <w:trPr>
          <w:trHeight w:val="34"/>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Service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250,053</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144,917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105,136</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nTelos acquisition and other changes to the postpaid customer gross additions and churn, outlined in the tables above, resulted in an increase of $79.0 million or 56.7% in postpaid net billings. Effective January 1, 2016, the fees retained by Sprint, and deducted from postpaid revenues, decreased from 22% to 16.6% and they agreed to settle certain revenue and expense items separately. As a result, Sprint fees (in particular, the net service fee) dropped by $11.8 million or 42.4% relative to what it would have been had the rate not changed. Travel revenues, which are now settled separately, and other similarly settled items grew by $11.1 million. Prepaid net billings grew by $21.8 million or 60.5% as a result of the growth in the customer base related to the nTelos acquisition and other changes in gross additions and churn outlined in the tables above.</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recorded an asset related to the changes to the Sprint affiliate agreement as described in the nTelos acquisition footnote above. That asset is being amortized through the expiration of the initial term of that contract in 2029 and, as a result, we recorded $8.9 million in amortization in the nine months ended September 30, 2016. Sprint agreed to waive certain management fees that they would otherwise be entitled to under the affiliate agreement as a result of our commitment to buy nTelos, upgrade its network and support the former nTelos and Sprint customers. The fees waived will be recognized on a straight line basis over the remainder of the initial term of the contract through 2029 and, as a result, we recorded an adjustment of $7.7 million in the nine months ended September 30,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revenues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increases in equipment revenue and other revenue also resulted primarily from the nTelos acquisition, with the increase in other revenue primarily representing regulatory recovery revenues recognized by nTelos, whereas historically Sprint has recognized such revenues billed to customers in our service area.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Cost of goods and services increased $47.2 million, or 99.1%, in 2016 from the first nine months of 2015. The increase results from the growth in prepaid device subsidies of $3.7 million, postpaid handset and accessory cost of goods growth of $1.8 million, new national handsets settled separately under the affiliate agreement of $4.2 million, increases in cell site rent and backhaul cost for incremental 868 cell sites in the nTelos territory of $27.1 million, as well as the related growth in the cost of network technicians and other costs to service and maintain these sites of $8.4 million. Cost of goods and services also included $1.0 million of costs to support nTelos legacy billing operations until customers migrate to Sprint’s back-office systems.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Selling, general and administrative costs increased $38.2 million, or 141.6%, in the nine months ended September 30, 2016 from the comparable 2015 period. This increase included $13.2 million of separately settled national channel commissions; $9.0 million from the operating costs of incremental stores acquired as a result of the nTelos acquisition; $2.1 million in incremental sales and marketing efforts to communicate with the new customers and begin efforts to migrate the nTelos legacy customers over to the Sprint platforms; and $4.0 million in other administrative costs related to the acquired operations. Costs associated with prepaid wireless offerings increased $2.4 million. Selling, general and administrative costs also included $7.1 million of costs to support nTelos legacy billing operations until customers migrate to Sprint’s back-office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 and acquisition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Integration and acquisition expenses of $19.9 million in the nine months ended September 30, 2016, include approximately $14.0 million for replacement handsets issued to former nTelos subscribers migrated to the Sprint billing platform, $4.1 million in costs to terminate duplicative cell site leases and backhaul circuits, and $1.8 million in other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Depreciation and amortization increased $43.9 million, or 168.4%, in the nine months ended September 30, 2016 over the comparable 2015 period, due primarily to $29.1 million in depreciation on the acquired fixed assets and $11.0 million in amortization of customer based intangibles recorded in the acquisition. Customer based intangibles are being amortized over accelerated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 which are included in the Wireline segment.</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January 1, 2016, we acquired the assets of Colane Cable Company. With the acquisition, we received 3,299 video customers, 1,405 high-speed internet customers, and 302 voice customers. These customers are included in the September 30, 2016 totals shown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September 30,</w:t>
            </w:r>
          </w:p>
        </w:tc>
        <w:tc>
          <w:tcPr>
            <w:tcW w:w="1660" w:type="dxa"/>
            <w:vAlign w:val="bottom"/>
            <w:gridSpan w:val="2"/>
          </w:tcPr>
          <w:p>
            <w:pPr>
              <w:ind w:left="220"/>
              <w:spacing w:after="0"/>
              <w:rPr>
                <w:sz w:val="20"/>
                <w:szCs w:val="20"/>
                <w:color w:val="auto"/>
              </w:rPr>
            </w:pPr>
            <w:r>
              <w:rPr>
                <w:rFonts w:ascii="Arial" w:cs="Arial" w:eastAsia="Arial" w:hAnsi="Arial"/>
                <w:sz w:val="18"/>
                <w:szCs w:val="18"/>
                <w:color w:val="auto"/>
              </w:rPr>
              <w:t>December 31,</w:t>
            </w:r>
          </w:p>
        </w:tc>
        <w:tc>
          <w:tcPr>
            <w:tcW w:w="1820" w:type="dxa"/>
            <w:vAlign w:val="bottom"/>
          </w:tcPr>
          <w:p>
            <w:pPr>
              <w:spacing w:after="0"/>
              <w:rPr>
                <w:sz w:val="18"/>
                <w:szCs w:val="18"/>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December 31,</w:t>
            </w:r>
          </w:p>
        </w:tc>
      </w:tr>
      <w:tr>
        <w:trPr>
          <w:trHeight w:val="230"/>
        </w:trPr>
        <w:tc>
          <w:tcPr>
            <w:tcW w:w="4540" w:type="dxa"/>
            <w:vAlign w:val="bottom"/>
          </w:tcPr>
          <w:p>
            <w:pPr>
              <w:spacing w:after="0"/>
              <w:rPr>
                <w:sz w:val="20"/>
                <w:szCs w:val="20"/>
                <w:color w:val="auto"/>
              </w:rPr>
            </w:pPr>
          </w:p>
        </w:tc>
        <w:tc>
          <w:tcPr>
            <w:tcW w:w="1840" w:type="dxa"/>
            <w:vAlign w:val="bottom"/>
          </w:tcPr>
          <w:p>
            <w:pPr>
              <w:jc w:val="right"/>
              <w:ind w:right="750"/>
              <w:spacing w:after="0"/>
              <w:rPr>
                <w:sz w:val="20"/>
                <w:szCs w:val="20"/>
                <w:color w:val="auto"/>
              </w:rPr>
            </w:pPr>
            <w:r>
              <w:rPr>
                <w:rFonts w:ascii="Arial" w:cs="Arial" w:eastAsia="Arial" w:hAnsi="Arial"/>
                <w:sz w:val="18"/>
                <w:szCs w:val="18"/>
                <w:color w:val="auto"/>
              </w:rPr>
              <w:t>2016</w:t>
            </w:r>
          </w:p>
        </w:tc>
        <w:tc>
          <w:tcPr>
            <w:tcW w:w="1540" w:type="dxa"/>
            <w:vAlign w:val="bottom"/>
          </w:tcPr>
          <w:p>
            <w:pPr>
              <w:jc w:val="right"/>
              <w:ind w:right="55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color w:val="auto"/>
                <w:w w:val="93"/>
              </w:rPr>
              <w:t>September 30, 2015</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2014</w:t>
            </w:r>
          </w:p>
        </w:tc>
      </w:tr>
      <w:tr>
        <w:trPr>
          <w:trHeight w:val="34"/>
        </w:trPr>
        <w:tc>
          <w:tcPr>
            <w:tcW w:w="4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Homes Passed (1)</w:t>
            </w:r>
          </w:p>
        </w:tc>
        <w:tc>
          <w:tcPr>
            <w:tcW w:w="1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184,698</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172,538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172,388</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171,589</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Customer Relationships (2)</w:t>
            </w:r>
          </w:p>
        </w:tc>
        <w:tc>
          <w:tcPr>
            <w:tcW w:w="18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Video customers</w:t>
            </w:r>
          </w:p>
        </w:tc>
        <w:tc>
          <w:tcPr>
            <w:tcW w:w="1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48,924</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48,184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48,421</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49,247</w:t>
            </w: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Non-video customers</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28,469</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24,550</w:t>
            </w:r>
          </w:p>
        </w:tc>
        <w:tc>
          <w:tcPr>
            <w:tcW w:w="120" w:type="dxa"/>
            <w:vAlign w:val="bottom"/>
          </w:tcPr>
          <w:p>
            <w:pPr>
              <w:spacing w:after="0"/>
              <w:rPr>
                <w:sz w:val="21"/>
                <w:szCs w:val="21"/>
                <w:color w:val="auto"/>
              </w:rPr>
            </w:pP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23,816</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22,051</w:t>
            </w:r>
          </w:p>
        </w:tc>
      </w:tr>
      <w:tr>
        <w:trPr>
          <w:trHeight w:val="27"/>
        </w:trPr>
        <w:tc>
          <w:tcPr>
            <w:tcW w:w="4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customer relationships</w:t>
            </w:r>
          </w:p>
        </w:tc>
        <w:tc>
          <w:tcPr>
            <w:tcW w:w="1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77,393</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72,734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72,237</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71,298</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Video</w:t>
            </w:r>
          </w:p>
        </w:tc>
        <w:tc>
          <w:tcPr>
            <w:tcW w:w="18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Customers (3)</w:t>
            </w:r>
          </w:p>
        </w:tc>
        <w:tc>
          <w:tcPr>
            <w:tcW w:w="1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51,379</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50,215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50,839</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52,095</w:t>
            </w: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Penetration (4)</w:t>
            </w: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27.8%</w:t>
            </w:r>
          </w:p>
        </w:tc>
        <w:tc>
          <w:tcPr>
            <w:tcW w:w="154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29.5%</w:t>
            </w:r>
          </w:p>
        </w:tc>
        <w:tc>
          <w:tcPr>
            <w:tcW w:w="15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7"/>
        </w:trPr>
        <w:tc>
          <w:tcPr>
            <w:tcW w:w="4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Digital video penetration (5)</w:t>
            </w:r>
          </w:p>
        </w:tc>
        <w:tc>
          <w:tcPr>
            <w:tcW w:w="1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76.3%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75.2%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High-speed Internet</w:t>
            </w:r>
          </w:p>
        </w:tc>
        <w:tc>
          <w:tcPr>
            <w:tcW w:w="18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 Homes (6)</w:t>
            </w:r>
          </w:p>
        </w:tc>
        <w:tc>
          <w:tcPr>
            <w:tcW w:w="1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183,814</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172,538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172,388</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171,589</w:t>
            </w: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59,852</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55,131</w:t>
            </w:r>
          </w:p>
        </w:tc>
        <w:tc>
          <w:tcPr>
            <w:tcW w:w="120" w:type="dxa"/>
            <w:vAlign w:val="bottom"/>
          </w:tcPr>
          <w:p>
            <w:pPr>
              <w:spacing w:after="0"/>
              <w:rPr>
                <w:sz w:val="21"/>
                <w:szCs w:val="21"/>
                <w:color w:val="auto"/>
              </w:rPr>
            </w:pP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53,960</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50,686</w:t>
            </w:r>
          </w:p>
        </w:tc>
      </w:tr>
      <w:tr>
        <w:trPr>
          <w:trHeight w:val="27"/>
        </w:trPr>
        <w:tc>
          <w:tcPr>
            <w:tcW w:w="4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Penetration (4)</w:t>
            </w:r>
          </w:p>
        </w:tc>
        <w:tc>
          <w:tcPr>
            <w:tcW w:w="1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Voice</w:t>
            </w:r>
          </w:p>
        </w:tc>
        <w:tc>
          <w:tcPr>
            <w:tcW w:w="18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4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 Homes (6)</w:t>
            </w:r>
          </w:p>
        </w:tc>
        <w:tc>
          <w:tcPr>
            <w:tcW w:w="1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181,077</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169,801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169,651</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168,852</w:t>
            </w: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Customers (3)</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21,199</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20,166</w:t>
            </w:r>
          </w:p>
        </w:tc>
        <w:tc>
          <w:tcPr>
            <w:tcW w:w="120" w:type="dxa"/>
            <w:vAlign w:val="bottom"/>
          </w:tcPr>
          <w:p>
            <w:pPr>
              <w:spacing w:after="0"/>
              <w:rPr>
                <w:sz w:val="21"/>
                <w:szCs w:val="21"/>
                <w:color w:val="auto"/>
              </w:rPr>
            </w:pP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19,723</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18,262</w:t>
            </w:r>
          </w:p>
        </w:tc>
      </w:tr>
      <w:tr>
        <w:trPr>
          <w:trHeight w:val="27"/>
        </w:trPr>
        <w:tc>
          <w:tcPr>
            <w:tcW w:w="4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Penetration (4)</w:t>
            </w:r>
          </w:p>
        </w:tc>
        <w:tc>
          <w:tcPr>
            <w:tcW w:w="18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11.7%</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Total Revenue Generating Units (7)</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132,430</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125,512</w:t>
            </w:r>
          </w:p>
        </w:tc>
        <w:tc>
          <w:tcPr>
            <w:tcW w:w="120" w:type="dxa"/>
            <w:vAlign w:val="bottom"/>
          </w:tcPr>
          <w:p>
            <w:pPr>
              <w:spacing w:after="0"/>
              <w:rPr>
                <w:sz w:val="21"/>
                <w:szCs w:val="21"/>
                <w:color w:val="auto"/>
              </w:rPr>
            </w:pP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124,522</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121,043</w:t>
            </w:r>
          </w:p>
        </w:tc>
      </w:tr>
      <w:tr>
        <w:trPr>
          <w:trHeight w:val="27"/>
        </w:trPr>
        <w:tc>
          <w:tcPr>
            <w:tcW w:w="4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Fiber Route Miles</w:t>
            </w:r>
          </w:p>
        </w:tc>
        <w:tc>
          <w:tcPr>
            <w:tcW w:w="18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3,124</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2,842</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2,834</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Total Fiber Miles (8)</w:t>
            </w:r>
          </w:p>
        </w:tc>
        <w:tc>
          <w:tcPr>
            <w:tcW w:w="1840" w:type="dxa"/>
            <w:vAlign w:val="bottom"/>
          </w:tcPr>
          <w:p>
            <w:pPr>
              <w:jc w:val="right"/>
              <w:ind w:right="290"/>
              <w:spacing w:after="0"/>
              <w:rPr>
                <w:sz w:val="20"/>
                <w:szCs w:val="20"/>
                <w:color w:val="auto"/>
              </w:rPr>
            </w:pPr>
            <w:r>
              <w:rPr>
                <w:rFonts w:ascii="Arial" w:cs="Arial" w:eastAsia="Arial" w:hAnsi="Arial"/>
                <w:sz w:val="18"/>
                <w:szCs w:val="18"/>
                <w:color w:val="auto"/>
              </w:rPr>
              <w:t>84,945</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76,949</w:t>
            </w:r>
          </w:p>
        </w:tc>
        <w:tc>
          <w:tcPr>
            <w:tcW w:w="120" w:type="dxa"/>
            <w:vAlign w:val="bottom"/>
          </w:tcPr>
          <w:p>
            <w:pPr>
              <w:spacing w:after="0"/>
              <w:rPr>
                <w:sz w:val="21"/>
                <w:szCs w:val="21"/>
                <w:color w:val="auto"/>
              </w:rPr>
            </w:pPr>
          </w:p>
        </w:tc>
        <w:tc>
          <w:tcPr>
            <w:tcW w:w="1820" w:type="dxa"/>
            <w:vAlign w:val="bottom"/>
          </w:tcPr>
          <w:p>
            <w:pPr>
              <w:jc w:val="right"/>
              <w:ind w:right="290"/>
              <w:spacing w:after="0"/>
              <w:rPr>
                <w:sz w:val="20"/>
                <w:szCs w:val="20"/>
                <w:color w:val="auto"/>
              </w:rPr>
            </w:pPr>
            <w:r>
              <w:rPr>
                <w:rFonts w:ascii="Arial" w:cs="Arial" w:eastAsia="Arial" w:hAnsi="Arial"/>
                <w:sz w:val="18"/>
                <w:szCs w:val="18"/>
                <w:color w:val="auto"/>
              </w:rPr>
              <w:t>75,021</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72,694</w:t>
            </w:r>
          </w:p>
        </w:tc>
      </w:tr>
      <w:tr>
        <w:trPr>
          <w:trHeight w:val="27"/>
        </w:trPr>
        <w:tc>
          <w:tcPr>
            <w:tcW w:w="4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Revenue Generating Units</w:t>
            </w:r>
          </w:p>
        </w:tc>
        <w:tc>
          <w:tcPr>
            <w:tcW w:w="1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131,707</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124,054</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123,282</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117,744</w:t>
            </w:r>
          </w:p>
        </w:tc>
      </w:tr>
      <w:tr>
        <w:trPr>
          <w:trHeight w:val="27"/>
        </w:trPr>
        <w:tc>
          <w:tcPr>
            <w:tcW w:w="45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4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relationships represent the number of customers who receive at least one of our services.</w:t>
      </w:r>
    </w:p>
    <w:p>
      <w:pPr>
        <w:spacing w:after="0" w:line="63" w:lineRule="exact"/>
        <w:rPr>
          <w:rFonts w:ascii="Arial" w:cs="Arial" w:eastAsia="Arial" w:hAnsi="Arial"/>
          <w:sz w:val="18"/>
          <w:szCs w:val="18"/>
          <w:color w:val="auto"/>
        </w:rPr>
      </w:pPr>
    </w:p>
    <w:p>
      <w:pPr>
        <w:ind w:left="660" w:right="20" w:hanging="328"/>
        <w:spacing w:after="0" w:line="293"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 During the first quarter of 2016, we modified the way we count subscribers when a commercial customer upgrades its internet service via a fiber contract. We retroactively applied the new count methodology to prior periods, and applied similar logic to certain bulk customers; the net result was reductions in internet subscriber counts of 559, 660 and 673 subscribers to December 31, 2015, September 30, 2015 and December 31, 2014 totals, respectively.</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Penetration is calculated by dividing the number of customers by the number of homes passed or available homes, as appropriate.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306" w:lineRule="exact"/>
        <w:rPr>
          <w:sz w:val="20"/>
          <w:szCs w:val="20"/>
          <w:color w:val="auto"/>
        </w:rPr>
      </w:pPr>
    </w:p>
    <w:p>
      <w:pPr>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9"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Homes and businesses are considered available (“available homes”) if we can connect them to our distribution system without further extending the transmission lines and if we offer the service in that area.</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generating units are the sum of video, voice and high-speed internet customers.</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2016 Compared with the Three Months Ended September 30, 2015</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3"/>
          </w:tcPr>
          <w:p>
            <w:pPr>
              <w:jc w:val="right"/>
              <w:ind w:right="49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3"/>
          </w:tcPr>
          <w:p>
            <w:pPr>
              <w:jc w:val="right"/>
              <w:ind w:right="73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270"/>
        </w:trPr>
        <w:tc>
          <w:tcPr>
            <w:tcW w:w="316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3"/>
                <w:szCs w:val="23"/>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3"/>
                <w:szCs w:val="23"/>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34"/>
        </w:trPr>
        <w:tc>
          <w:tcPr>
            <w:tcW w:w="31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revenues</w:t>
            </w:r>
          </w:p>
        </w:tc>
        <w:tc>
          <w:tcPr>
            <w:tcW w:w="2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24,948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22,284</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2,664</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3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9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2,618</w:t>
            </w: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2,133</w:t>
            </w: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485</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84"/>
        </w:trPr>
        <w:tc>
          <w:tcPr>
            <w:tcW w:w="3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segment operating revenues</w:t>
            </w:r>
          </w:p>
        </w:tc>
        <w:tc>
          <w:tcPr>
            <w:tcW w:w="29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27,566</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24,417</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3,149</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expenses</w:t>
            </w:r>
          </w:p>
        </w:tc>
        <w:tc>
          <w:tcPr>
            <w:tcW w:w="2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3160" w:type="dxa"/>
            <w:vAlign w:val="bottom"/>
          </w:tcPr>
          <w:p>
            <w:pPr>
              <w:ind w:left="180"/>
              <w:spacing w:after="0"/>
              <w:rPr>
                <w:sz w:val="20"/>
                <w:szCs w:val="20"/>
                <w:color w:val="auto"/>
              </w:rPr>
            </w:pPr>
            <w:r>
              <w:rPr>
                <w:rFonts w:ascii="Arial" w:cs="Arial" w:eastAsia="Arial" w:hAnsi="Arial"/>
                <w:sz w:val="18"/>
                <w:szCs w:val="18"/>
                <w:color w:val="auto"/>
                <w:w w:val="92"/>
              </w:rPr>
              <w:t>Cost of goods and services, exclusive of</w:t>
            </w:r>
          </w:p>
        </w:tc>
        <w:tc>
          <w:tcPr>
            <w:tcW w:w="32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depreciation and amortization shown</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separately below</w:t>
            </w:r>
          </w:p>
        </w:tc>
        <w:tc>
          <w:tcPr>
            <w:tcW w:w="2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14,654</w:t>
            </w:r>
          </w:p>
        </w:tc>
        <w:tc>
          <w:tcPr>
            <w:tcW w:w="3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14,124</w:t>
            </w:r>
          </w:p>
        </w:tc>
        <w:tc>
          <w:tcPr>
            <w:tcW w:w="42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530</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6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8"/>
              </w:rPr>
              <w:t>Selling, general, and administrative, exclusive of depreciation and amortization</w:t>
            </w: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shown separately below</w:t>
            </w:r>
          </w:p>
        </w:tc>
        <w:tc>
          <w:tcPr>
            <w:tcW w:w="29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4,770</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4,948</w:t>
            </w: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(178)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84"/>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29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5,860</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5,948</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1"/>
        </w:trPr>
        <w:tc>
          <w:tcPr>
            <w:tcW w:w="3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Total segment operating expenses</w:t>
            </w:r>
          </w:p>
        </w:tc>
        <w:tc>
          <w:tcPr>
            <w:tcW w:w="29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25,284</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25,020</w:t>
            </w: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264</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64"/>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Segment operating income (loss)</w:t>
            </w:r>
          </w:p>
        </w:tc>
        <w:tc>
          <w:tcPr>
            <w:tcW w:w="3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2,282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2,885</w:t>
            </w:r>
          </w:p>
        </w:tc>
        <w:tc>
          <w:tcPr>
            <w:tcW w:w="860" w:type="dxa"/>
            <w:vAlign w:val="bottom"/>
          </w:tcPr>
          <w:p>
            <w:pPr>
              <w:jc w:val="right"/>
              <w:spacing w:after="0"/>
              <w:rPr>
                <w:sz w:val="20"/>
                <w:szCs w:val="20"/>
                <w:color w:val="auto"/>
              </w:rPr>
            </w:pPr>
            <w:r>
              <w:rPr>
                <w:rFonts w:ascii="Arial" w:cs="Arial" w:eastAsia="Arial" w:hAnsi="Arial"/>
                <w:sz w:val="18"/>
                <w:szCs w:val="18"/>
                <w:color w:val="auto"/>
              </w:rPr>
              <w:t>(478.4)</w:t>
            </w:r>
          </w:p>
        </w:tc>
      </w:tr>
      <w:tr>
        <w:trPr>
          <w:trHeight w:val="20"/>
        </w:trPr>
        <w:tc>
          <w:tcPr>
            <w:tcW w:w="3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Cable segment service revenues increased $2.7 million, or 12.0%, due to a 6.8% increase in average revenue generating units, video rate increases in January 2016 to offset increases in programming costs, new and existing customers selecting higher-speed data (HSD) access packages and growth in the HSD and phone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$0.5 million, primarily due to new fiber contracts to towers, schools and libraries.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Cable segment cost of goods and services increased $0.5 million, or 3.8%, in the third quarter of 2016 over the comparable 2015 period. Video programming costs, including retransmission fees, increased $0.3 million, due to a 1.5% increase in average RGU's and programming cost increases of 8% to 10% per affected channel. The remainder of the increase resulted from higher network and maintenance costs.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decreased $0.2 million against the prior year quarter due to lower advertising costs, down $0.2 million.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2016 Compared with the Nine Months Ended September 30, 2015</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2380" w:type="dxa"/>
            <w:vAlign w:val="bottom"/>
            <w:gridSpan w:val="3"/>
          </w:tcPr>
          <w:p>
            <w:pPr>
              <w:jc w:val="right"/>
              <w:ind w:right="530"/>
              <w:spacing w:after="0"/>
              <w:rPr>
                <w:sz w:val="20"/>
                <w:szCs w:val="20"/>
                <w:color w:val="auto"/>
              </w:rPr>
            </w:pPr>
            <w:r>
              <w:rPr>
                <w:rFonts w:ascii="Arial" w:cs="Arial" w:eastAsia="Arial" w:hAnsi="Arial"/>
                <w:sz w:val="18"/>
                <w:szCs w:val="18"/>
                <w:color w:val="auto"/>
              </w:rPr>
              <w:t>Nine Months Ended</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3"/>
          </w:tcPr>
          <w:p>
            <w:pPr>
              <w:jc w:val="right"/>
              <w:ind w:right="730"/>
              <w:spacing w:after="0"/>
              <w:rPr>
                <w:sz w:val="20"/>
                <w:szCs w:val="20"/>
                <w:color w:val="auto"/>
              </w:rPr>
            </w:pPr>
            <w:r>
              <w:rPr>
                <w:rFonts w:ascii="Arial" w:cs="Arial" w:eastAsia="Arial" w:hAnsi="Arial"/>
                <w:sz w:val="18"/>
                <w:szCs w:val="18"/>
                <w:color w:val="auto"/>
              </w:rPr>
              <w:t>September 30,</w:t>
            </w:r>
          </w:p>
        </w:tc>
        <w:tc>
          <w:tcPr>
            <w:tcW w:w="42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270"/>
        </w:trPr>
        <w:tc>
          <w:tcPr>
            <w:tcW w:w="6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3"/>
                <w:szCs w:val="23"/>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color w:val="auto"/>
              </w:rPr>
              <w:t>2015</w:t>
            </w:r>
          </w:p>
        </w:tc>
        <w:tc>
          <w:tcPr>
            <w:tcW w:w="420" w:type="dxa"/>
            <w:vAlign w:val="bottom"/>
          </w:tcPr>
          <w:p>
            <w:pPr>
              <w:spacing w:after="0"/>
              <w:rPr>
                <w:sz w:val="23"/>
                <w:szCs w:val="23"/>
                <w:color w:val="auto"/>
              </w:rPr>
            </w:pPr>
          </w:p>
        </w:tc>
        <w:tc>
          <w:tcPr>
            <w:tcW w:w="140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34"/>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73,455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65,802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7,653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6,958</w:t>
            </w: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6,080</w:t>
            </w: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878</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8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80,413</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71,882</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8,531</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r>
      <w:tr>
        <w:trPr>
          <w:trHeight w:val="129"/>
        </w:trPr>
        <w:tc>
          <w:tcPr>
            <w:tcW w:w="6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separately below</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43,864</w:t>
            </w: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41,378</w:t>
            </w: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2,486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14,672</w:t>
            </w:r>
          </w:p>
        </w:tc>
        <w:tc>
          <w:tcPr>
            <w:tcW w:w="38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14,924</w:t>
            </w:r>
          </w:p>
        </w:tc>
        <w:tc>
          <w:tcPr>
            <w:tcW w:w="42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(252)</w:t>
            </w: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17,834</w:t>
            </w: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17,286</w:t>
            </w: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548</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8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76,370</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73,588</w:t>
            </w: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2,782</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operating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4,043</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5,749</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337.0</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Cable segment service revenues increased $7.7 million, or 11.6%, due to a 6.6% increase in average revenue generating units, video rate increases in January 2016 to offset increases in programming costs, new and existing customers selecting higher-speed data (HSD) access packages and growth in the HSD and phone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Other revenue grew $0.9 million, primarily due to new fiber contracts to towers, schools and libraries.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Cable segment cost of goods and services increased $2.5 million, or 6.0%, in the nine months ended September 30, 2016 over the comparable 2015 period. Video programming costs, including retransmission fees, increased $0.8 million, primarily due to programming cost increases of 8% to 10% per affected channel. The remainder of the increase resulted from higher network and maintenance costs, up $1.1 million, and video regulatory fees, up $0.6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and cable modem internet access services in portions of Shenandoah County, and leases fiber optic facilities throughout the northern Shenandoah Valley of Virginia, northern Virginia and adjacent areas along the Interstate 81 corridor through West Virginia, Maryland and portions of Pennsylvania.</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September 30,</w:t>
            </w:r>
          </w:p>
        </w:tc>
        <w:tc>
          <w:tcPr>
            <w:tcW w:w="1520" w:type="dxa"/>
            <w:vAlign w:val="bottom"/>
          </w:tcPr>
          <w:p>
            <w:pPr>
              <w:jc w:val="right"/>
              <w:ind w:right="450"/>
              <w:spacing w:after="0"/>
              <w:rPr>
                <w:sz w:val="20"/>
                <w:szCs w:val="20"/>
                <w:color w:val="auto"/>
              </w:rPr>
            </w:pPr>
            <w:r>
              <w:rPr>
                <w:rFonts w:ascii="Arial" w:cs="Arial" w:eastAsia="Arial" w:hAnsi="Arial"/>
                <w:sz w:val="18"/>
                <w:szCs w:val="18"/>
                <w:color w:val="auto"/>
              </w:rPr>
              <w:t>Dec. 31,</w:t>
            </w:r>
          </w:p>
        </w:tc>
        <w:tc>
          <w:tcPr>
            <w:tcW w:w="1920" w:type="dxa"/>
            <w:vAlign w:val="bottom"/>
          </w:tcPr>
          <w:p>
            <w:pPr>
              <w:spacing w:after="0"/>
              <w:rPr>
                <w:sz w:val="18"/>
                <w:szCs w:val="18"/>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Dec. 31,</w:t>
            </w:r>
          </w:p>
        </w:tc>
      </w:tr>
      <w:tr>
        <w:trPr>
          <w:trHeight w:val="230"/>
        </w:trPr>
        <w:tc>
          <w:tcPr>
            <w:tcW w:w="4700" w:type="dxa"/>
            <w:vAlign w:val="bottom"/>
          </w:tcPr>
          <w:p>
            <w:pPr>
              <w:spacing w:after="0"/>
              <w:rPr>
                <w:sz w:val="20"/>
                <w:szCs w:val="20"/>
                <w:color w:val="auto"/>
              </w:rPr>
            </w:pPr>
          </w:p>
        </w:tc>
        <w:tc>
          <w:tcPr>
            <w:tcW w:w="1860" w:type="dxa"/>
            <w:vAlign w:val="bottom"/>
          </w:tcPr>
          <w:p>
            <w:pPr>
              <w:jc w:val="right"/>
              <w:ind w:right="770"/>
              <w:spacing w:after="0"/>
              <w:rPr>
                <w:sz w:val="20"/>
                <w:szCs w:val="20"/>
                <w:color w:val="auto"/>
              </w:rPr>
            </w:pPr>
            <w:r>
              <w:rPr>
                <w:rFonts w:ascii="Arial" w:cs="Arial" w:eastAsia="Arial" w:hAnsi="Arial"/>
                <w:sz w:val="18"/>
                <w:szCs w:val="18"/>
                <w:color w:val="auto"/>
              </w:rPr>
              <w:t>2016</w:t>
            </w:r>
          </w:p>
        </w:tc>
        <w:tc>
          <w:tcPr>
            <w:tcW w:w="1520" w:type="dxa"/>
            <w:vAlign w:val="bottom"/>
          </w:tcPr>
          <w:p>
            <w:pPr>
              <w:jc w:val="right"/>
              <w:ind w:right="570"/>
              <w:spacing w:after="0"/>
              <w:rPr>
                <w:sz w:val="20"/>
                <w:szCs w:val="20"/>
                <w:color w:val="auto"/>
              </w:rPr>
            </w:pPr>
            <w:r>
              <w:rPr>
                <w:rFonts w:ascii="Arial" w:cs="Arial" w:eastAsia="Arial" w:hAnsi="Arial"/>
                <w:sz w:val="18"/>
                <w:szCs w:val="18"/>
                <w:color w:val="auto"/>
              </w:rPr>
              <w:t>2015</w:t>
            </w:r>
          </w:p>
        </w:tc>
        <w:tc>
          <w:tcPr>
            <w:tcW w:w="1920" w:type="dxa"/>
            <w:vAlign w:val="bottom"/>
          </w:tcPr>
          <w:p>
            <w:pPr>
              <w:jc w:val="right"/>
              <w:ind w:right="250"/>
              <w:spacing w:after="0"/>
              <w:rPr>
                <w:sz w:val="20"/>
                <w:szCs w:val="20"/>
                <w:color w:val="auto"/>
              </w:rPr>
            </w:pPr>
            <w:r>
              <w:rPr>
                <w:rFonts w:ascii="Arial" w:cs="Arial" w:eastAsia="Arial" w:hAnsi="Arial"/>
                <w:sz w:val="18"/>
                <w:szCs w:val="18"/>
                <w:color w:val="auto"/>
                <w:w w:val="95"/>
              </w:rPr>
              <w:t>September 30, 2015</w:t>
            </w: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2014</w:t>
            </w:r>
          </w:p>
        </w:tc>
      </w:tr>
      <w:tr>
        <w:trPr>
          <w:trHeight w:val="34"/>
        </w:trPr>
        <w:tc>
          <w:tcPr>
            <w:tcW w:w="47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Telephone Access Lines (1)</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18,737</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20,252</w:t>
            </w:r>
          </w:p>
        </w:tc>
        <w:tc>
          <w:tcPr>
            <w:tcW w:w="1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21,598</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 Distance Subscribers</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9,186</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9,476</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9,651</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9,571</w:t>
            </w:r>
          </w:p>
        </w:tc>
      </w:tr>
      <w:tr>
        <w:trPr>
          <w:trHeight w:val="27"/>
        </w:trPr>
        <w:tc>
          <w:tcPr>
            <w:tcW w:w="4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Video Customers (2)</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5,285</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5,356</w:t>
            </w:r>
          </w:p>
        </w:tc>
        <w:tc>
          <w:tcPr>
            <w:tcW w:w="1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5,375</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DSL and Cable Modem Subscribers (3)</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14,195</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13,890</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13,323</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13,094</w:t>
            </w:r>
          </w:p>
        </w:tc>
      </w:tr>
      <w:tr>
        <w:trPr>
          <w:trHeight w:val="27"/>
        </w:trPr>
        <w:tc>
          <w:tcPr>
            <w:tcW w:w="47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Fiber Route Miles</w:t>
            </w:r>
          </w:p>
        </w:tc>
        <w:tc>
          <w:tcPr>
            <w:tcW w:w="18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1,916</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1,736</w:t>
            </w:r>
          </w:p>
        </w:tc>
        <w:tc>
          <w:tcPr>
            <w:tcW w:w="1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1,625</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Fiber Miles (4)</w:t>
            </w:r>
          </w:p>
        </w:tc>
        <w:tc>
          <w:tcPr>
            <w:tcW w:w="1860" w:type="dxa"/>
            <w:vAlign w:val="bottom"/>
          </w:tcPr>
          <w:p>
            <w:pPr>
              <w:jc w:val="right"/>
              <w:ind w:right="270"/>
              <w:spacing w:after="0"/>
              <w:rPr>
                <w:sz w:val="20"/>
                <w:szCs w:val="20"/>
                <w:color w:val="auto"/>
              </w:rPr>
            </w:pPr>
            <w:r>
              <w:rPr>
                <w:rFonts w:ascii="Arial" w:cs="Arial" w:eastAsia="Arial" w:hAnsi="Arial"/>
                <w:sz w:val="18"/>
                <w:szCs w:val="18"/>
                <w:color w:val="auto"/>
              </w:rPr>
              <w:t>133,903</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123,891</w:t>
            </w:r>
          </w:p>
        </w:tc>
        <w:tc>
          <w:tcPr>
            <w:tcW w:w="1920" w:type="dxa"/>
            <w:vAlign w:val="bottom"/>
          </w:tcPr>
          <w:p>
            <w:pPr>
              <w:jc w:val="right"/>
              <w:ind w:right="290"/>
              <w:spacing w:after="0"/>
              <w:rPr>
                <w:sz w:val="20"/>
                <w:szCs w:val="20"/>
                <w:color w:val="auto"/>
              </w:rPr>
            </w:pPr>
            <w:r>
              <w:rPr>
                <w:rFonts w:ascii="Arial" w:cs="Arial" w:eastAsia="Arial" w:hAnsi="Arial"/>
                <w:sz w:val="18"/>
                <w:szCs w:val="18"/>
                <w:color w:val="auto"/>
              </w:rPr>
              <w:t>107,432</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99,387</w:t>
            </w:r>
          </w:p>
        </w:tc>
      </w:tr>
    </w:tbl>
    <w:p>
      <w:pPr>
        <w:spacing w:after="0" w:line="229" w:lineRule="exact"/>
        <w:rPr>
          <w:sz w:val="20"/>
          <w:szCs w:val="20"/>
          <w:color w:val="auto"/>
        </w:rPr>
      </w:pPr>
    </w:p>
    <w:p>
      <w:pPr>
        <w:ind w:left="660" w:right="4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 October 1, 2015, we launched cable modem services on our cable plant, and ceased the requirement that a customer have a telephone access line to purchase internet service.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30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Wireline segment’s video service passes approximately 16,000 homes.</w:t>
      </w:r>
    </w:p>
    <w:p>
      <w:pPr>
        <w:spacing w:after="0" w:line="63" w:lineRule="exact"/>
        <w:rPr>
          <w:rFonts w:ascii="Arial" w:cs="Arial" w:eastAsia="Arial" w:hAnsi="Arial"/>
          <w:sz w:val="18"/>
          <w:szCs w:val="18"/>
          <w:color w:val="auto"/>
        </w:rPr>
      </w:pPr>
    </w:p>
    <w:p>
      <w:pPr>
        <w:ind w:left="660" w:right="120" w:hanging="328"/>
        <w:spacing w:after="0" w:line="27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September 2016 and December 2015 totals include 911 and 420 customers, respectively, served via the coaxial cable network. During first quarter 2016, we modified the way we count subscribers when a commercial customer upgrades its internet service via a fiber contract. We retroactively applied the new count methodology to prior periods and the net result was increases in internet subscriber counts of 804, 489 and 352 subscribers to December 31, 2015, September 30, 2015 and December 31, 2014 totals, respectively.</w:t>
      </w:r>
    </w:p>
    <w:p>
      <w:pPr>
        <w:spacing w:after="0" w:line="9" w:lineRule="exact"/>
        <w:rPr>
          <w:rFonts w:ascii="Arial" w:cs="Arial" w:eastAsia="Arial" w:hAnsi="Arial"/>
          <w:sz w:val="17"/>
          <w:szCs w:val="17"/>
          <w:color w:val="auto"/>
        </w:rPr>
      </w:pPr>
    </w:p>
    <w:p>
      <w:pPr>
        <w:jc w:val="both"/>
        <w:ind w:left="660" w:right="6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Fiber miles are measured by taking the number of fiber strands in a cable and multiplying that number by the route distance. For example, a 10 mile route with 144 fiber strands would equal 1,440 fiber miles. Fiber counts were revised following a review of fiber records in the first quarter of 2015.</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gridSpan w:val="5"/>
          </w:tcPr>
          <w:p>
            <w:pPr>
              <w:spacing w:after="0"/>
              <w:rPr>
                <w:sz w:val="20"/>
                <w:szCs w:val="20"/>
                <w:color w:val="auto"/>
              </w:rPr>
            </w:pPr>
            <w:r>
              <w:rPr>
                <w:rFonts w:ascii="Arial" w:cs="Arial" w:eastAsia="Arial" w:hAnsi="Arial"/>
                <w:sz w:val="18"/>
                <w:szCs w:val="18"/>
                <w:b w:val="1"/>
                <w:bCs w:val="1"/>
                <w:color w:val="auto"/>
                <w:w w:val="99"/>
              </w:rPr>
              <w:t>Three Months Ended September 30, 2016 Compared with the Three Months Ended September 30, 2015</w:t>
            </w: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580"/>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3"/>
          </w:tcPr>
          <w:p>
            <w:pPr>
              <w:jc w:val="right"/>
              <w:ind w:right="47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3"/>
          </w:tcPr>
          <w:p>
            <w:pPr>
              <w:jc w:val="right"/>
              <w:ind w:right="710"/>
              <w:spacing w:after="0"/>
              <w:rPr>
                <w:sz w:val="20"/>
                <w:szCs w:val="20"/>
                <w:color w:val="auto"/>
              </w:rPr>
            </w:pPr>
            <w:r>
              <w:rPr>
                <w:rFonts w:ascii="Arial" w:cs="Arial" w:eastAsia="Arial" w:hAnsi="Arial"/>
                <w:sz w:val="18"/>
                <w:szCs w:val="18"/>
                <w:color w:val="auto"/>
              </w:rPr>
              <w:t>September 30,</w:t>
            </w:r>
          </w:p>
        </w:tc>
        <w:tc>
          <w:tcPr>
            <w:tcW w:w="4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04"/>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5,596</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(80)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Carrier access and fiber revenues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12,365</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10,854</w:t>
            </w:r>
          </w:p>
        </w:tc>
        <w:tc>
          <w:tcPr>
            <w:tcW w:w="44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1,511</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13.9</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851</w:t>
            </w: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828</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23</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84"/>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18,732</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17,278</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1,454</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r>
      <w:tr>
        <w:trPr>
          <w:trHeight w:val="291"/>
        </w:trPr>
        <w:tc>
          <w:tcPr>
            <w:tcW w:w="6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separately below</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9,442</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8,212</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1,230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1,676</w:t>
            </w:r>
          </w:p>
        </w:tc>
        <w:tc>
          <w:tcPr>
            <w:tcW w:w="3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1,688</w:t>
            </w:r>
          </w:p>
        </w:tc>
        <w:tc>
          <w:tcPr>
            <w:tcW w:w="44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(12)</w:t>
            </w: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2,822</w:t>
            </w: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3,404</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(582)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84"/>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13,940</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13,304</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636</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w:t>
            </w: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4,792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3,974</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818</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Total operating revenues in the quarter ended September 30, 2016 increased $1.5 million, or 8.4%, against the comparable 2015 period, as a result of increases in fiber and access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expenses overall increased $0.6 million, or 4.8%, in the quarter ended September 30, 2016, compared to the 2015 quarter. The $1.2 million increase in cost of goods and services primarily resulted from costs to support the increase in carrier access and fiber revenues shown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2016 Compared with the Nine Months Ended September 30, 2015</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Nine Months Ended</w:t>
            </w: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gridSpan w:val="3"/>
          </w:tcPr>
          <w:p>
            <w:pPr>
              <w:jc w:val="right"/>
              <w:ind w:right="710"/>
              <w:spacing w:after="0"/>
              <w:rPr>
                <w:sz w:val="20"/>
                <w:szCs w:val="20"/>
                <w:color w:val="auto"/>
              </w:rPr>
            </w:pPr>
            <w:r>
              <w:rPr>
                <w:rFonts w:ascii="Arial" w:cs="Arial" w:eastAsia="Arial" w:hAnsi="Arial"/>
                <w:sz w:val="18"/>
                <w:szCs w:val="18"/>
                <w:color w:val="auto"/>
              </w:rPr>
              <w:t>September 30,</w:t>
            </w:r>
          </w:p>
        </w:tc>
        <w:tc>
          <w:tcPr>
            <w:tcW w:w="44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60" w:type="dxa"/>
            <w:vAlign w:val="bottom"/>
          </w:tcPr>
          <w:p>
            <w:pPr>
              <w:spacing w:after="0"/>
              <w:rPr>
                <w:sz w:val="20"/>
                <w:szCs w:val="20"/>
                <w:color w:val="auto"/>
              </w:rPr>
            </w:pPr>
          </w:p>
        </w:tc>
      </w:tr>
      <w:tr>
        <w:trPr>
          <w:trHeight w:val="304"/>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Segment operating revenues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16,433</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16,420</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13</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Carrier access and fiber revenue</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36,628</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30,532</w:t>
            </w:r>
          </w:p>
        </w:tc>
        <w:tc>
          <w:tcPr>
            <w:tcW w:w="44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6,096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2,641</w:t>
            </w: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2,375</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266</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84"/>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segment operating revenues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55,702</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49,327</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6,375</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r>
      <w:tr>
        <w:trPr>
          <w:trHeight w:val="318"/>
        </w:trPr>
        <w:tc>
          <w:tcPr>
            <w:tcW w:w="6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Segment operating expenses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Cost of goods and services, exclusive of depreciation and amortization shown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separately below</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26,892</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23,224</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3,668</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w w:val="94"/>
              </w:rPr>
              <w:t>Selling, general and administrative, exclusive of depreciation and amortization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shown separately below</w:t>
            </w:r>
          </w:p>
        </w:tc>
        <w:tc>
          <w:tcPr>
            <w:tcW w:w="2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4,951</w:t>
            </w:r>
          </w:p>
        </w:tc>
        <w:tc>
          <w:tcPr>
            <w:tcW w:w="3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4,923</w:t>
            </w:r>
          </w:p>
        </w:tc>
        <w:tc>
          <w:tcPr>
            <w:tcW w:w="44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28</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7"/>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8,789</w:t>
            </w: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9,411</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(622)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84"/>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segment operating expenses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40,632</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37,558</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3,074</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operating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15,070</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11,769</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3,301</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operating revenues in the nine months ended September 30, 2016 increased $6.4 million, or 12.9%, against the comparable 2015 period. Carrier access and fiber revenues increased $6.1 million due to increases in fiber and access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Operating expenses overall increased $3.1 million, or 8.2%, in the nine months ended September 30, 2016, compared to the 2015 period. The $3.7 million increase in cost of goods and services primarily resulted from costs to support the increase in carrier access and fiber revenues shown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managing our business and assessing our financial performance, management supplements the information provided by financial statement measures prepared in accordance with GAAP with adjusted OIBDA and continuing OIBDA, which are considered “non-GAAP financial measures” under SEC rules.</w:t>
      </w:r>
    </w:p>
    <w:p>
      <w:pPr>
        <w:spacing w:after="0" w:line="12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Adjusted OIBDA is defined by us as operating income (loss) before depreciation and amortization, adjusted to exclude the effects of: certain non-recurring transactions; impairment of assets; gains and losses on asset sales; straight-line adjustments for the waived management fee; amortization of the affiliate agreement expansion asset; and share-based compensation expense. Adjusted OIBDA should not be construed as an alternative to operating income as determined in accordance with GAAP as a measure of operating performance. Continuing OIBDA is defined by us as adjusted OIBDA, less the benefit received from the waived management fee by Sprint over the next approximately six–year period.</w:t>
      </w:r>
    </w:p>
    <w:p>
      <w:pPr>
        <w:spacing w:after="0" w:line="17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 capital-intensive industry such as telecommunications, management believes that adjusted OIBDA and continuing OIBDA and the associated percentage margin calculations are meaningful measures of our operating performance. We use adjusted OIBDA and continuing OIBDA as supplemental performance measures because management believes they facilitate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and continuing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and continuing OIBDA facilitates internal comparisons of our historical operating performance, which are used by management for business planning purposes, and also facilitates comparisons of our performance relative to that of our competitors. In addition, we believe that adjusted OIBDA and continuing OIBDA and similar measures are widely used by investors and financial analysts as measures of our financial performance over time, and to compare our financial performance with that of other companies in our industry.</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Adjusted OIBDA and continuing OIBDA have limitations as an analytical tool, and should not be considered in isolation or as a substitute for analysis of our results as reported under GAAP. These limitations include the following:</w:t>
      </w:r>
    </w:p>
    <w:p>
      <w:pPr>
        <w:spacing w:after="0" w:line="1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capital expenditures;</w:t>
      </w:r>
    </w:p>
    <w:p>
      <w:pPr>
        <w:spacing w:after="0" w:line="23"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and continuing OIBDA do not reflect cash requirements for such replacements;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expenses incurred for the payment of income taxes; and</w:t>
      </w:r>
    </w:p>
    <w:p>
      <w:pPr>
        <w:spacing w:after="0" w:line="9"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and continuing OIBDA differently than we do, limiting its usefulness as a comparative measure.</w:t>
      </w:r>
    </w:p>
    <w:p>
      <w:pPr>
        <w:spacing w:after="0" w:line="18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In light of these limitations, management considers adjusted OIBDA and continuing OIBDA as a financial performance measure that supplements but does not replace the information reflected in our GAAP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adjusted OIBDA and continuing OIBDA for the three and nine months ended September 30, 2016 and 2015.</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3"/>
          </w:tcPr>
          <w:p>
            <w:pPr>
              <w:jc w:val="right"/>
              <w:ind w:right="45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18"/>
                <w:szCs w:val="18"/>
                <w:color w:val="auto"/>
              </w:rPr>
            </w:pPr>
          </w:p>
        </w:tc>
        <w:tc>
          <w:tcPr>
            <w:tcW w:w="2340" w:type="dxa"/>
            <w:vAlign w:val="bottom"/>
            <w:gridSpan w:val="3"/>
          </w:tcPr>
          <w:p>
            <w:pPr>
              <w:jc w:val="right"/>
              <w:ind w:right="490"/>
              <w:spacing w:after="0"/>
              <w:rPr>
                <w:sz w:val="20"/>
                <w:szCs w:val="20"/>
                <w:color w:val="auto"/>
              </w:rPr>
            </w:pPr>
            <w:r>
              <w:rPr>
                <w:rFonts w:ascii="Arial" w:cs="Arial" w:eastAsia="Arial" w:hAnsi="Arial"/>
                <w:sz w:val="18"/>
                <w:szCs w:val="18"/>
                <w:color w:val="auto"/>
              </w:rPr>
              <w:t>Nine Months Ended</w:t>
            </w: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3"/>
          </w:tcPr>
          <w:p>
            <w:pPr>
              <w:jc w:val="right"/>
              <w:ind w:right="690"/>
              <w:spacing w:after="0"/>
              <w:rPr>
                <w:sz w:val="20"/>
                <w:szCs w:val="20"/>
                <w:color w:val="auto"/>
              </w:rPr>
            </w:pPr>
            <w:r>
              <w:rPr>
                <w:rFonts w:ascii="Arial" w:cs="Arial" w:eastAsia="Arial" w:hAnsi="Arial"/>
                <w:sz w:val="18"/>
                <w:szCs w:val="18"/>
                <w:color w:val="auto"/>
              </w:rPr>
              <w:t>September 30,</w:t>
            </w:r>
          </w:p>
        </w:tc>
        <w:tc>
          <w:tcPr>
            <w:tcW w:w="380" w:type="dxa"/>
            <w:vAlign w:val="bottom"/>
          </w:tcPr>
          <w:p>
            <w:pPr>
              <w:spacing w:after="0"/>
              <w:rPr>
                <w:sz w:val="20"/>
                <w:szCs w:val="20"/>
                <w:color w:val="auto"/>
              </w:rPr>
            </w:pPr>
          </w:p>
        </w:tc>
        <w:tc>
          <w:tcPr>
            <w:tcW w:w="2340" w:type="dxa"/>
            <w:vAlign w:val="bottom"/>
            <w:gridSpan w:val="3"/>
          </w:tcPr>
          <w:p>
            <w:pPr>
              <w:jc w:val="right"/>
              <w:ind w:right="690"/>
              <w:spacing w:after="0"/>
              <w:rPr>
                <w:sz w:val="20"/>
                <w:szCs w:val="20"/>
                <w:color w:val="auto"/>
              </w:rPr>
            </w:pPr>
            <w:r>
              <w:rPr>
                <w:rFonts w:ascii="Arial" w:cs="Arial" w:eastAsia="Arial" w:hAnsi="Arial"/>
                <w:sz w:val="18"/>
                <w:szCs w:val="18"/>
                <w:color w:val="auto"/>
              </w:rPr>
              <w:t>September 30,</w:t>
            </w:r>
          </w:p>
        </w:tc>
      </w:tr>
      <w:tr>
        <w:trPr>
          <w:trHeight w:val="311"/>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73,746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36,804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170,166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110,759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Continuing OIBDA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64,228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36,804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154,554</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110,759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adjusted OIBDA and continuing OIBDA to operating income (loss), which we consider to be the most directly comparable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financial measure, for the three and nine months ended September 30, 2016 and 2015:</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Consolidated:</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9"/>
                <w:szCs w:val="19"/>
                <w:color w:val="auto"/>
              </w:rPr>
            </w:pPr>
          </w:p>
        </w:tc>
        <w:tc>
          <w:tcPr>
            <w:tcW w:w="2340" w:type="dxa"/>
            <w:vAlign w:val="bottom"/>
            <w:gridSpan w:val="3"/>
          </w:tcPr>
          <w:p>
            <w:pPr>
              <w:jc w:val="right"/>
              <w:ind w:right="49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3"/>
          </w:tcPr>
          <w:p>
            <w:pPr>
              <w:jc w:val="right"/>
              <w:ind w:right="69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311"/>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6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9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10,337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52,365</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46,807</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96,961</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53,119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(gain) loss on asset sales</w:t>
            </w:r>
          </w:p>
        </w:tc>
        <w:tc>
          <w:tcPr>
            <w:tcW w:w="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Plus share based compensation expense</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2,570</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straight line adjustment to management fee waiver</w:t>
            </w:r>
          </w:p>
        </w:tc>
        <w:tc>
          <w:tcPr>
            <w:tcW w:w="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4,640</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7,687</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revenue</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5,593</w:t>
            </w: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8,883</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Plus temporary backoffice costs to support the billing operations through</w:t>
            </w:r>
          </w:p>
        </w:tc>
        <w:tc>
          <w:tcPr>
            <w:tcW w:w="620" w:type="dxa"/>
            <w:vAlign w:val="bottom"/>
            <w:shd w:val="clear" w:color="auto" w:fill="CCEE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60" w:type="dxa"/>
            <w:vAlign w:val="bottom"/>
            <w:shd w:val="clear" w:color="auto" w:fill="BFE4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980" w:type="dxa"/>
            <w:vAlign w:val="bottom"/>
            <w:shd w:val="clear" w:color="auto" w:fill="BFE4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migration </w:t>
            </w:r>
            <w:r>
              <w:rPr>
                <w:rFonts w:ascii="Arial" w:cs="Arial" w:eastAsia="Arial" w:hAnsi="Arial"/>
                <w:sz w:val="25"/>
                <w:szCs w:val="25"/>
                <w:color w:val="auto"/>
                <w:vertAlign w:val="superscript"/>
              </w:rPr>
              <w:t>(1)</w:t>
            </w:r>
          </w:p>
        </w:tc>
        <w:tc>
          <w:tcPr>
            <w:tcW w:w="620" w:type="dxa"/>
            <w:vAlign w:val="bottom"/>
            <w:shd w:val="clear" w:color="auto" w:fill="CCEEFF"/>
          </w:tcPr>
          <w:p>
            <w:pPr>
              <w:spacing w:after="0"/>
              <w:rPr>
                <w:sz w:val="22"/>
                <w:szCs w:val="22"/>
                <w:color w:val="auto"/>
              </w:rPr>
            </w:pPr>
          </w:p>
        </w:tc>
        <w:tc>
          <w:tcPr>
            <w:tcW w:w="28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4,948</w:t>
            </w:r>
          </w:p>
        </w:tc>
        <w:tc>
          <w:tcPr>
            <w:tcW w:w="4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BFE4FF"/>
          </w:tcPr>
          <w:p>
            <w:pPr>
              <w:spacing w:after="0"/>
              <w:rPr>
                <w:sz w:val="22"/>
                <w:szCs w:val="22"/>
                <w:color w:val="auto"/>
              </w:rPr>
            </w:pPr>
          </w:p>
        </w:tc>
        <w:tc>
          <w:tcPr>
            <w:tcW w:w="98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8,071</w:t>
            </w: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Plus integration and acquisition related expenses</w:t>
            </w:r>
          </w:p>
        </w:tc>
        <w:tc>
          <w:tcPr>
            <w:tcW w:w="6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15,272</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35,801</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71"/>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6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73,746</w:t>
            </w:r>
          </w:p>
        </w:tc>
        <w:tc>
          <w:tcPr>
            <w:tcW w:w="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36,804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170,166</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110,759</w:t>
            </w:r>
          </w:p>
        </w:tc>
        <w:tc>
          <w:tcPr>
            <w:tcW w:w="0" w:type="dxa"/>
            <w:vAlign w:val="bottom"/>
          </w:tcPr>
          <w:p>
            <w:pPr>
              <w:spacing w:after="0"/>
              <w:rPr>
                <w:sz w:val="1"/>
                <w:szCs w:val="1"/>
                <w:color w:val="auto"/>
              </w:rPr>
            </w:pPr>
          </w:p>
        </w:tc>
      </w:tr>
      <w:tr>
        <w:trPr>
          <w:trHeight w:val="28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waived management fee</w:t>
            </w:r>
          </w:p>
        </w:tc>
        <w:tc>
          <w:tcPr>
            <w:tcW w:w="6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(15,612)</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Continuing OIBDA</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64,228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154,554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110,759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43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6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ind w:firstLine="8"/>
        <w:spacing w:after="0" w:line="273" w:lineRule="auto"/>
        <w:tabs>
          <w:tab w:leader="none" w:pos="204"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Once former nTelos customers migrate to the Sprint backoffice, the Company incurs certain postpaid fees retained by Sprint and prepaid costs passed to us by Sprint that would offset a portion of these savings. For the three and nine months ended September 30, 2016, these offsets were estimated at $1.3 million and $3.1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reconcile adjusted OIBDA and continuing OIBDA to operating income by major segment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2015:</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Wireless Segment:</w:t>
            </w:r>
          </w:p>
        </w:tc>
        <w:tc>
          <w:tcPr>
            <w:tcW w:w="280" w:type="dxa"/>
            <w:vAlign w:val="bottom"/>
          </w:tcPr>
          <w:p>
            <w:pPr>
              <w:spacing w:after="0"/>
              <w:rPr>
                <w:sz w:val="19"/>
                <w:szCs w:val="19"/>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9"/>
                <w:szCs w:val="19"/>
                <w:color w:val="auto"/>
              </w:rPr>
            </w:pPr>
          </w:p>
        </w:tc>
        <w:tc>
          <w:tcPr>
            <w:tcW w:w="2340" w:type="dxa"/>
            <w:vAlign w:val="bottom"/>
            <w:gridSpan w:val="3"/>
          </w:tcPr>
          <w:p>
            <w:pPr>
              <w:jc w:val="center"/>
              <w:ind w:right="17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311"/>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20,905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56,101</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38,038</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70,026</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26,089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(gain) loss on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246</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1,058</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straight line adjustment to management fee waiver</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4,640</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7,687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Plus amortization of intangible netted in revenue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5,593</w:t>
            </w:r>
          </w:p>
        </w:tc>
        <w:tc>
          <w:tcPr>
            <w:tcW w:w="3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8,883</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Plus temporary backoffice costs to support the billing operations through</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migration</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4,945</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8,067</w:t>
            </w: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080" w:type="dxa"/>
            <w:vAlign w:val="bottom"/>
          </w:tcPr>
          <w:p>
            <w:pPr>
              <w:ind w:left="40"/>
              <w:spacing w:after="0"/>
              <w:rPr>
                <w:sz w:val="20"/>
                <w:szCs w:val="20"/>
                <w:color w:val="auto"/>
              </w:rPr>
            </w:pPr>
            <w:r>
              <w:rPr>
                <w:rFonts w:ascii="Arial" w:cs="Arial" w:eastAsia="Arial" w:hAnsi="Arial"/>
                <w:sz w:val="18"/>
                <w:szCs w:val="18"/>
                <w:color w:val="auto"/>
              </w:rPr>
              <w:t>Plus integration and acquisition related expenses</w:t>
            </w: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14,499</w:t>
            </w:r>
          </w:p>
        </w:tc>
        <w:tc>
          <w:tcPr>
            <w:tcW w:w="3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19,889</w:t>
            </w:r>
          </w:p>
        </w:tc>
        <w:tc>
          <w:tcPr>
            <w:tcW w:w="3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62,509</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27,186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136,431</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82,704</w:t>
            </w:r>
          </w:p>
        </w:tc>
        <w:tc>
          <w:tcPr>
            <w:tcW w:w="0" w:type="dxa"/>
            <w:vAlign w:val="bottom"/>
          </w:tcPr>
          <w:p>
            <w:pPr>
              <w:spacing w:after="0"/>
              <w:rPr>
                <w:sz w:val="1"/>
                <w:szCs w:val="1"/>
                <w:color w:val="auto"/>
              </w:rPr>
            </w:pPr>
          </w:p>
        </w:tc>
      </w:tr>
      <w:tr>
        <w:trPr>
          <w:trHeight w:val="284"/>
        </w:trPr>
        <w:tc>
          <w:tcPr>
            <w:tcW w:w="6080" w:type="dxa"/>
            <w:vAlign w:val="bottom"/>
          </w:tcPr>
          <w:p>
            <w:pPr>
              <w:ind w:left="40"/>
              <w:spacing w:after="0"/>
              <w:rPr>
                <w:sz w:val="20"/>
                <w:szCs w:val="20"/>
                <w:color w:val="auto"/>
              </w:rPr>
            </w:pPr>
            <w:r>
              <w:rPr>
                <w:rFonts w:ascii="Arial" w:cs="Arial" w:eastAsia="Arial" w:hAnsi="Arial"/>
                <w:sz w:val="18"/>
                <w:szCs w:val="18"/>
                <w:color w:val="auto"/>
              </w:rPr>
              <w:t>Less waived management fee</w:t>
            </w: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(9,518)</w:t>
            </w:r>
          </w:p>
        </w:tc>
        <w:tc>
          <w:tcPr>
            <w:tcW w:w="3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(15,612)</w:t>
            </w:r>
          </w:p>
        </w:tc>
        <w:tc>
          <w:tcPr>
            <w:tcW w:w="3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OIBDA</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52,991</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27,186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120,819</w:t>
            </w:r>
          </w:p>
        </w:tc>
        <w:tc>
          <w:tcPr>
            <w:tcW w:w="3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82,704</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Cable Segment:</w:t>
            </w:r>
          </w:p>
        </w:tc>
        <w:tc>
          <w:tcPr>
            <w:tcW w:w="2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6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340" w:type="dxa"/>
            <w:vAlign w:val="bottom"/>
            <w:gridSpan w:val="3"/>
          </w:tcPr>
          <w:p>
            <w:pPr>
              <w:jc w:val="center"/>
              <w:ind w:right="17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3"/>
                <w:szCs w:val="23"/>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3"/>
                <w:szCs w:val="23"/>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4"/>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2,282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4,043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5,860</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17,834</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17,286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(gain) loss on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673</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34"/>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 and Continuing OIBDA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8,231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22,497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16,257</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Wireline Segment: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60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c>
          <w:tcPr>
            <w:tcW w:w="2340" w:type="dxa"/>
            <w:vAlign w:val="bottom"/>
            <w:gridSpan w:val="3"/>
          </w:tcPr>
          <w:p>
            <w:pPr>
              <w:jc w:val="center"/>
              <w:ind w:right="17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4"/>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311"/>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 thousands)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4,792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15,070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11,769</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Plus depreciation and amortization</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2,822</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8,789</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9,411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Plus (gain) loss on asset sales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8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Plus share based compensation expense</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284</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 and Continuing OIBDA</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7,663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24,183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21,642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have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Sources and Uses of Cash</w:t>
      </w:r>
      <w:r>
        <w:rPr>
          <w:rFonts w:ascii="Arial" w:cs="Arial" w:eastAsia="Arial" w:hAnsi="Arial"/>
          <w:sz w:val="18"/>
          <w:szCs w:val="18"/>
          <w:color w:val="auto"/>
        </w:rPr>
        <w:t>. We generated $105.8 million of net cash from operations in the first nine months of 2016, compared to $83.1 million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of 2015. Changes included a net loss compared to net income, increases in non-cash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expenses including depreciation, amortization, and other items, changes in tax accounts, and by the timing of cash receipts and disbursements for taxes, inventories, and other items.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As of September 30, 2016, our indebtedness totaled $809.6 million in term loans with an annualized effective interest rate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4.16% after considering the impact of the interest rate swap contract and unamortized loan costs. The balance consists of the $478.9 million Term Loan A-1 at a variable rate (3.27% as of September 30, 2016) that resets monthly based on one month LIBOR plus a margin of 2.75%, and the $350 million Term Loan A-2 at a variable rate (3.52% as of September 30, 2016) that resets monthly based on one month LIBOR plus a margin of 3.00%. The Term Loan A-1 requires quarterly principal repayments of $6.1 million, which began on September 30, 2016 and will continue through June 30, 2017, increasing to $12.1 million quarterly from September 30, 2017 through June 30, 2020, increasing to $18.2 million quarterly from September 30, 2020 thereafter through March 31, 2021, with the remaining balance of approximately $260.7 million due June 30, 2021. The Term Loan A-2 requires quarterly principal repayments of $10.0 million beginning on September 30, 2018 through March 31, 2023, with the current remaining expected balance of approximately $160.0 million due June 30, 2023.</w:t>
      </w:r>
    </w:p>
    <w:p>
      <w:pPr>
        <w:spacing w:after="0" w:line="19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We are bound by certain financial covenants under the 2016 credit agreement. Noncompliance with any one or more of the debt covenants may have an adverse effect on our financial condition or liquidity in the event such noncompliance cannot be cured or should we be unable to obtain a waiver from the lenders. As of September 30, 2016, we were in compliance with all debt covenants, and ratios at September 30, 2016 were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Covenant Requirement at</w:t>
            </w:r>
          </w:p>
        </w:tc>
      </w:tr>
      <w:tr>
        <w:trPr>
          <w:trHeight w:val="230"/>
        </w:trPr>
        <w:tc>
          <w:tcPr>
            <w:tcW w:w="802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color w:val="auto"/>
              </w:rPr>
              <w:t>Actual</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September 30, 2016</w:t>
            </w:r>
          </w:p>
        </w:tc>
      </w:tr>
      <w:tr>
        <w:trPr>
          <w:trHeight w:val="34"/>
        </w:trPr>
        <w:tc>
          <w:tcPr>
            <w:tcW w:w="8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Leverage Ratio</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3.75 or Lower</w:t>
            </w: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color w:val="auto"/>
              </w:rPr>
              <w:t>Debt Service Coverage Ratio</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2.00 or Higher</w:t>
            </w:r>
          </w:p>
        </w:tc>
      </w:tr>
    </w:tbl>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accordance with the Credit Agreement, the total leverage and debt service coverage ratios noted above are based on consolidated EBITDA, cash taxes, scheduled principal payments and cash interest expense for the three months ended September 30, 2016, multiplied by four. In addition to the covenants above, we are required to supply the lenders with quarterly financial statements and other reports as defined by the 2016 credit agreement. We were in compliance with all reporting requirements at September 30, 2016.</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no off-balance sheet arrangements (other than operating leases) and have not entered into any transactions involving unconsolidated, limited purpose entities or commodity contracts.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Capital Commitments. </w:t>
      </w:r>
      <w:r>
        <w:rPr>
          <w:rFonts w:ascii="Arial" w:cs="Arial" w:eastAsia="Arial" w:hAnsi="Arial"/>
          <w:sz w:val="18"/>
          <w:szCs w:val="18"/>
          <w:color w:val="auto"/>
        </w:rPr>
        <w:t>Capital expenditures budgeted for 2016 totaled $218.5 million, including $120.3 million in the Wireless segment for upgrades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of the nTelos wireless network. In addition, $21.2 million is budgeted for information technology upgrades, new and renovated buildings and other projects, $24.2 million for additional network capacity, and $36.4 million for network expansion including new fiber routes, new cell towers, and cable market expansion. As of September 30, 2016, expectations for 2016 total capital spending have been revised downward to $179.4 million, a decrease of $39.1 million. Of the decrease, $28.0 million is from the Wireless segment, and $19.0 million of that resulted from the additional spending undertaken by nTelos in the last few months before the closing of the acquisition. An additional $7.5 million of the overall decrease is on the Cable segment, and largely relates to a fiber build project that is carrying over into 2017.</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nine months of 2016, we spent $102.9 million on capital projects, compared to $39.6 million in the comparable 2015 period. Spending related to Wireless projects accounted for $65.6 million in the first nine months of 2016, primarily for additional network capacity and technology upgrades. Cable capital spending of $16.4 million related to network and cable market expansion. Wireline capital projects cost $12.1 million, driven primarily by fiber builds. Other projects totaled $8.8 million, largely related to information technology projects.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believe that cash on hand, cash flow from operations and borrowings expected to be available under our existing credit facilities will provide sufficient cash to enable us to fund planned capital expenditures, make scheduled principal and interest payments, meet our other cash requirements and maintain compliance with the terms of our financing agreements for at least the next twelve months. Thereafter, capital expenditures will likely continue to be required to continue planned capital upgrades to the acquired wireless network and provide increased capacity to meet our expected growth in demand for our products and services. The actual amount and timing of our future capital requirements may differ materially from our estimate depending on the demand for our products and new market developments and opportunities.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availability of labor resources and capital, changes in our relationship with Sprint,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the acquired cable markets, is also critical to our ability to maintain a positive cash flow from operations. The foregoing events individually or collectively could affect our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May 2014, the FASB issued ASU No. 2014-09, “Revenue from Contracts with Customers”, which requires an entity to recognize the amount of revenue to which it expects to be entitled for the transfer of promised goods or services to customers. The ASU will replace most existing revenue recognition guidance in U.S. GAAP when it becomes effective. In August 2015, the FASB issued ASU No. 2015-14, delaying the effective date of ASU 2014-09. Three other amendments have been issued during 2016 modifying the original ASU. As amended, the new standard is effective for the Company on January 1, 2018, using either a retrospective basis or a modified retrospective basis with early adoption permitted, but not earlier than the original effective date beginning after December 15, 2016 We continue to evaluate the impact that the new standard and available adoption methods will have on our consolidated financial statements and related disclosures.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February 2016, the FASB issued ASU No. 2016-02, “Leases”, which requires the recognition of lease assets and lease liabilities by lessees for those leases classified as operating leases under previous generally accepted accounting principles. This change will result in an increase to recorded assets and liabilities on lessees’ financial statements, as well as changes in the categorization of rental costs, from rent expense to interest and depreciation expense. Other effects may occur depending on the types of leases and the specific terms of them utilized by particular lessees. The ASU is effective for us on January 1, 2019, and early application is permitted. Modified retrospective application is required. We are evaluating the effect that ASU 2016-02 will have on our consolidated financial statements and related disclosures.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two components. The first component is outstanding debt with variable rates. As of September 30, 2016, the Company had $828.9 million of variable rate debt outstanding (excluding unamortized loan fees and costs of $19.4 million), bearing interest at a weighted average rate of 3.38% as determined on a monthly basis. An increase in market interest rates of 1.00% would add approximately $8.2 million to annual interest expense, excluding the effect of the interest rate swap. In May 2016, the Company entered into a pay-fixed, receive-variable interest rate swap with three counterparties totaling $256.6 of notional principal (subject to change based upon expected draws under the delayed draw term loan and principal payments due under our debt agreements). These swaps, combined with the swap purchased in 2012, cover notional principal equal to approximately 50% of the expected outstanding variable rate debt through maturity in 2023. The Company is required to pay a combined fixed rate of approximately 1.16% and receive a variable rate based on one month LIBOR (0.52% as of September 30, 2016), to manage a portion of its interest rate risk. Changes in the net interest paid or received under the swaps would offset approximately 50% of the change in interest expense on the variable rate debt outstanding. The swap agreements currently add approximately $2.3 million to annual interest expense, based on the spread between the fixed rate and the variable rate currently in effect on our debt.</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second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Facility, the applicable interest rate margin on the Term Loan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September 30, 2016, the Company has $402.0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Supplemental Executive Retirement Plan. General economic conditions affected by regulatory changes, competition or other external influences may pose a higher risk to the Company’s overall results.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 Based on this evaluation, the Company's principal executive officer and its principal financial officer concluded that the Company's disclosure controls and procedures were effective as of September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acquisition of nTelos was completed on May 6, 2016, and had a material impact on the financial position, results of operations and cash flows of the Company from the date of acquisition. Management is integrating the acquired operation into its business processes and control structures as quickly as possible, although it is certain that the integration of customers and back office operations will not be completed until sometime during 2017. As a result of the acquisition, and the ongoing impact to the business, management has elected to exclude the legacy systems of nTelos from our 2016 assessment of internal controls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Relating to Internal Control Over Financial Reporting</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Under the Company’s agreements with Sprint, Sprint provides the Company with billing, collections, customer care, certain network operations and other back-office services for the PCS operation. As a result, Sprint remits to the Company a substantial portion of the Company’s total operating revenues, which will increase as legacy nTelos subscribers migrate to the Sprint billing platform in the future.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Information provided by Sprint includes reports regarding the subscriber accounts receivable in the Company’s markets. Sprint provides the Company with monthly accounts receivable, billing and cash receipts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and the 16.6% of revenue currently retained by Sprint (before the effect of fee waivers).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2015 to September 30, 2015. The most recent report indicated there were no material issues which would adversely affect the information used to support the recording of the revenues provided by Sprint related to the Company’s relationship with them.</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discuss in our Annual Report on Form 10-K various risks that may materially affect our business. We use this section to update this discussion to reflect material developments since our Form 10-K was filed.</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In connection with the nTelos acquisition, we incurred significant additional indebtedness, which could materially and adversely affect us, including by decreasing our business flexibility.</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substantially increased indebtedness following completion of the nTelos acquisition in comparison to that of the Company on a recent historical basis, which has increased our interest expense and amortization requirements and could have the effect, among other things, of reducing our flexibility to respond to changing business and economic conditions. The amount of cash required to pay interest on our increased indebtedness and the increased amortization requirements to pay down the loan balances following the nTelos acquisition, and thus the demands on our cash resources, could be greater than the amount of cash flows required to service our indebtedness prior to the nTelos acquisition. Our increased levels of indebtedness could also reduce funds available for working capital, capital expenditures, dividends and other general corporate purposes and may create competitive disadvantages for us relative to other companies with lower debt levels. If we do not achieve the expected benefits and cost savings from the nTelos acquisition, or if the financial performance of the combined company does not meet current expectations, then our ability to service this indebtedness may be materially and adversely impacted.</w:t>
      </w:r>
    </w:p>
    <w:p>
      <w:pPr>
        <w:spacing w:after="0" w:line="193" w:lineRule="exact"/>
        <w:rPr>
          <w:sz w:val="20"/>
          <w:szCs w:val="20"/>
          <w:color w:val="auto"/>
        </w:rPr>
      </w:pPr>
    </w:p>
    <w:p>
      <w:pPr>
        <w:ind w:right="640"/>
        <w:spacing w:after="0" w:line="313" w:lineRule="auto"/>
        <w:rPr>
          <w:sz w:val="20"/>
          <w:szCs w:val="20"/>
          <w:color w:val="auto"/>
        </w:rPr>
      </w:pPr>
      <w:r>
        <w:rPr>
          <w:rFonts w:ascii="Arial" w:cs="Arial" w:eastAsia="Arial" w:hAnsi="Arial"/>
          <w:sz w:val="17"/>
          <w:szCs w:val="17"/>
          <w:b w:val="1"/>
          <w:bCs w:val="1"/>
          <w:color w:val="auto"/>
        </w:rPr>
        <w:t>It may be difficult to successfully integrate the business of nTelos and we may fail to realize the anticipated benefits expected from the nTelos acquisition, which could materially and adversely affect our operating results and the market price of our common stock.</w:t>
      </w:r>
    </w:p>
    <w:p>
      <w:pPr>
        <w:spacing w:after="0" w:line="14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we experience greater than anticipated costs to integrate nTelos into our existing operations or are not able to achieve the anticipated benefits of the nTelos acquisition, our business and results of operations could be materially and negatively affected. In addition, it is possible that the ongoing integration process could result in the disruption of our ongoing business or inconsistencies in standards, controls, procedures and policies that adversely affect our ability to maintain relationships with customers and employees or to achieve the anticipated benefits of the nTelos acquisition. Integration efforts also may divert management attention and resources.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success of the nTelos acquisition will also depend, in significant part, on our ability to successfully integrate the acquired business and realize the synergies anticipated with the nTelos acquisition. Many of these synergies are not expected to occur for a period of time and will require capital expenditures to be fully realized. If we are unable to integrate nTelos successfully, we may not realize the anticipated benefits of the nTelos acquisition, including the anticipated synergies.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satisfy some of the exercise price of the options being exercised or taxes payable associated with the distribution of shares. The following table provides information about the Company’s repurchases of shares during the three months ended September 30,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Number of Shares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color w:val="auto"/>
              </w:rPr>
              <w:t>Average Price</w:t>
            </w:r>
          </w:p>
        </w:tc>
      </w:tr>
      <w:tr>
        <w:trPr>
          <w:trHeight w:val="230"/>
        </w:trPr>
        <w:tc>
          <w:tcPr>
            <w:tcW w:w="7440" w:type="dxa"/>
            <w:vAlign w:val="bottom"/>
          </w:tcPr>
          <w:p>
            <w:pPr>
              <w:spacing w:after="0"/>
              <w:rPr>
                <w:sz w:val="20"/>
                <w:szCs w:val="20"/>
                <w:color w:val="auto"/>
              </w:rPr>
            </w:pPr>
          </w:p>
        </w:tc>
        <w:tc>
          <w:tcPr>
            <w:tcW w:w="1940" w:type="dxa"/>
            <w:vAlign w:val="bottom"/>
          </w:tcPr>
          <w:p>
            <w:pPr>
              <w:jc w:val="right"/>
              <w:ind w:right="510"/>
              <w:spacing w:after="0"/>
              <w:rPr>
                <w:sz w:val="20"/>
                <w:szCs w:val="20"/>
                <w:color w:val="auto"/>
              </w:rPr>
            </w:pPr>
            <w:r>
              <w:rPr>
                <w:rFonts w:ascii="Arial" w:cs="Arial" w:eastAsia="Arial" w:hAnsi="Arial"/>
                <w:sz w:val="18"/>
                <w:szCs w:val="18"/>
                <w:color w:val="auto"/>
              </w:rPr>
              <w:t>Purchased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ind w:right="350"/>
              <w:spacing w:after="0"/>
              <w:rPr>
                <w:sz w:val="20"/>
                <w:szCs w:val="20"/>
                <w:color w:val="auto"/>
              </w:rPr>
            </w:pPr>
            <w:r>
              <w:rPr>
                <w:rFonts w:ascii="Arial" w:cs="Arial" w:eastAsia="Arial" w:hAnsi="Arial"/>
                <w:sz w:val="18"/>
                <w:szCs w:val="18"/>
                <w:color w:val="auto"/>
                <w:w w:val="99"/>
              </w:rPr>
              <w:t>Paid per Share</w:t>
            </w:r>
          </w:p>
        </w:tc>
      </w:tr>
      <w:tr>
        <w:trPr>
          <w:trHeight w:val="34"/>
        </w:trPr>
        <w:tc>
          <w:tcPr>
            <w:tcW w:w="74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July 1 to July 31</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21,841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41.87</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1 to August 31</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September 1 to September 30</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318"/>
        </w:trPr>
        <w:tc>
          <w:tcPr>
            <w:tcW w:w="74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21,841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41.87</w:t>
            </w: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May 6, 2016, in connection with the closing of the nTelos acquisition, the Company issued 380,000 shares of its common stock as consideration for the acquisition of the non-controlling interests in a subsidiary of nTelos. Such shares were valued 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$10.4 million. The sale of these securities was exempt from registration pursuant to Section 4(a)(2) of the Securities Act of 1933, as amended, based upon representations made to us by the equity holders in purchase agreements we entered into with each equity holder.</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exhibits are filed with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51" w:lineRule="exact"/>
        <w:rPr>
          <w:sz w:val="20"/>
          <w:szCs w:val="20"/>
          <w:color w:val="auto"/>
        </w:rPr>
      </w:pPr>
    </w:p>
    <w:p>
      <w:pPr>
        <w:ind w:left="840" w:right="540" w:hanging="809"/>
        <w:spacing w:after="0" w:line="277" w:lineRule="auto"/>
        <w:tabs>
          <w:tab w:leader="none" w:pos="8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Bylaws of Shenandoah Telecommunications Company, effective July 18, 2016, filed as Exhibit 3.1 to the Company Current Report on Form 8-K dated July 18,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840" w:hanging="805"/>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101.INS</w:t>
            </w:r>
          </w:p>
        </w:tc>
        <w:tc>
          <w:tcPr>
            <w:tcW w:w="9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Instance Document</w:t>
            </w:r>
          </w:p>
        </w:tc>
      </w:tr>
      <w:tr>
        <w:trPr>
          <w:trHeight w:val="270"/>
        </w:trPr>
        <w:tc>
          <w:tcPr>
            <w:tcW w:w="1820" w:type="dxa"/>
            <w:vAlign w:val="bottom"/>
          </w:tcPr>
          <w:p>
            <w:pPr>
              <w:spacing w:after="0"/>
              <w:rPr>
                <w:sz w:val="23"/>
                <w:szCs w:val="23"/>
                <w:color w:val="auto"/>
              </w:rPr>
            </w:pPr>
          </w:p>
        </w:tc>
        <w:tc>
          <w:tcPr>
            <w:tcW w:w="9600" w:type="dxa"/>
            <w:vAlign w:val="bottom"/>
          </w:tcPr>
          <w:p>
            <w:pPr>
              <w:spacing w:after="0"/>
              <w:rPr>
                <w:sz w:val="23"/>
                <w:szCs w:val="23"/>
                <w:color w:val="auto"/>
              </w:rPr>
            </w:pPr>
          </w:p>
        </w:tc>
      </w:tr>
      <w:tr>
        <w:trPr>
          <w:trHeight w:val="250"/>
        </w:trPr>
        <w:tc>
          <w:tcPr>
            <w:tcW w:w="18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101.SCH</w:t>
            </w:r>
          </w:p>
        </w:tc>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820" w:type="dxa"/>
            <w:vAlign w:val="bottom"/>
          </w:tcPr>
          <w:p>
            <w:pPr>
              <w:spacing w:after="0"/>
              <w:rPr>
                <w:sz w:val="23"/>
                <w:szCs w:val="23"/>
                <w:color w:val="auto"/>
              </w:rPr>
            </w:pPr>
          </w:p>
        </w:tc>
        <w:tc>
          <w:tcPr>
            <w:tcW w:w="9600" w:type="dxa"/>
            <w:vAlign w:val="bottom"/>
          </w:tcPr>
          <w:p>
            <w:pPr>
              <w:spacing w:after="0"/>
              <w:rPr>
                <w:sz w:val="23"/>
                <w:szCs w:val="23"/>
                <w:color w:val="auto"/>
              </w:rPr>
            </w:pPr>
          </w:p>
        </w:tc>
      </w:tr>
      <w:tr>
        <w:trPr>
          <w:trHeight w:val="250"/>
        </w:trPr>
        <w:tc>
          <w:tcPr>
            <w:tcW w:w="18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101.CAL</w:t>
            </w:r>
          </w:p>
        </w:tc>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820" w:type="dxa"/>
            <w:vAlign w:val="bottom"/>
          </w:tcPr>
          <w:p>
            <w:pPr>
              <w:spacing w:after="0"/>
              <w:rPr>
                <w:sz w:val="23"/>
                <w:szCs w:val="23"/>
                <w:color w:val="auto"/>
              </w:rPr>
            </w:pPr>
          </w:p>
        </w:tc>
        <w:tc>
          <w:tcPr>
            <w:tcW w:w="9600" w:type="dxa"/>
            <w:vAlign w:val="bottom"/>
          </w:tcPr>
          <w:p>
            <w:pPr>
              <w:spacing w:after="0"/>
              <w:rPr>
                <w:sz w:val="23"/>
                <w:szCs w:val="23"/>
                <w:color w:val="auto"/>
              </w:rPr>
            </w:pPr>
          </w:p>
        </w:tc>
      </w:tr>
      <w:tr>
        <w:trPr>
          <w:trHeight w:val="250"/>
        </w:trPr>
        <w:tc>
          <w:tcPr>
            <w:tcW w:w="18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101.DEF</w:t>
            </w:r>
          </w:p>
        </w:tc>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820" w:type="dxa"/>
            <w:vAlign w:val="bottom"/>
          </w:tcPr>
          <w:p>
            <w:pPr>
              <w:spacing w:after="0"/>
              <w:rPr>
                <w:sz w:val="23"/>
                <w:szCs w:val="23"/>
                <w:color w:val="auto"/>
              </w:rPr>
            </w:pPr>
          </w:p>
        </w:tc>
        <w:tc>
          <w:tcPr>
            <w:tcW w:w="9600" w:type="dxa"/>
            <w:vAlign w:val="bottom"/>
          </w:tcPr>
          <w:p>
            <w:pPr>
              <w:spacing w:after="0"/>
              <w:rPr>
                <w:sz w:val="23"/>
                <w:szCs w:val="23"/>
                <w:color w:val="auto"/>
              </w:rPr>
            </w:pPr>
          </w:p>
        </w:tc>
      </w:tr>
      <w:tr>
        <w:trPr>
          <w:trHeight w:val="250"/>
        </w:trPr>
        <w:tc>
          <w:tcPr>
            <w:tcW w:w="18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101.LAB</w:t>
            </w:r>
          </w:p>
        </w:tc>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820" w:type="dxa"/>
            <w:vAlign w:val="bottom"/>
          </w:tcPr>
          <w:p>
            <w:pPr>
              <w:spacing w:after="0"/>
              <w:rPr>
                <w:sz w:val="23"/>
                <w:szCs w:val="23"/>
                <w:color w:val="auto"/>
              </w:rPr>
            </w:pPr>
          </w:p>
        </w:tc>
        <w:tc>
          <w:tcPr>
            <w:tcW w:w="9600" w:type="dxa"/>
            <w:vAlign w:val="bottom"/>
          </w:tcPr>
          <w:p>
            <w:pPr>
              <w:spacing w:after="0"/>
              <w:rPr>
                <w:sz w:val="23"/>
                <w:szCs w:val="23"/>
                <w:color w:val="auto"/>
              </w:rPr>
            </w:pPr>
          </w:p>
        </w:tc>
      </w:tr>
      <w:tr>
        <w:trPr>
          <w:trHeight w:val="243"/>
        </w:trPr>
        <w:tc>
          <w:tcPr>
            <w:tcW w:w="18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101.PRE</w:t>
            </w:r>
          </w:p>
        </w:tc>
        <w:tc>
          <w:tcPr>
            <w:tcW w:w="9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1820" w:type="dxa"/>
            <w:vAlign w:val="bottom"/>
            <w:shd w:val="clear" w:color="auto" w:fill="CCEEFF"/>
          </w:tcPr>
          <w:p>
            <w:pPr>
              <w:spacing w:after="0"/>
              <w:rPr>
                <w:sz w:val="2"/>
                <w:szCs w:val="2"/>
                <w:color w:val="auto"/>
              </w:rPr>
            </w:pPr>
          </w:p>
        </w:tc>
        <w:tc>
          <w:tcPr>
            <w:tcW w:w="9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5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SHENANDOAH TELECOMMUNICATIONS COMPANY</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auto"/>
        </w:rPr>
        <w:t>/s/Adele M. Skolits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Adele M. Skolits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Vice President - Finance and Chief Financial Officer</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Date: November 7, 2016</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600"/>
          </w:cols>
          <w:pgMar w:left="240" w:top="125" w:right="10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540" w:type="dxa"/>
            <w:vAlign w:val="bottom"/>
            <w:gridSpan w:val="6"/>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4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80"/>
        </w:trPr>
        <w:tc>
          <w:tcPr>
            <w:tcW w:w="1540" w:type="dxa"/>
            <w:vAlign w:val="bottom"/>
            <w:gridSpan w:val="6"/>
          </w:tcPr>
          <w:p>
            <w:pPr>
              <w:spacing w:after="0"/>
              <w:rPr>
                <w:sz w:val="20"/>
                <w:szCs w:val="20"/>
                <w:color w:val="auto"/>
              </w:rPr>
            </w:pPr>
            <w:r>
              <w:rPr>
                <w:rFonts w:ascii="Arial" w:cs="Arial" w:eastAsia="Arial" w:hAnsi="Arial"/>
                <w:sz w:val="18"/>
                <w:szCs w:val="18"/>
                <w:color w:val="auto"/>
              </w:rPr>
              <w:t>EXHIBIT INDEX</w:t>
            </w:r>
          </w:p>
        </w:tc>
        <w:tc>
          <w:tcPr>
            <w:tcW w:w="4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554"/>
        </w:trPr>
        <w:tc>
          <w:tcPr>
            <w:tcW w:w="400" w:type="dxa"/>
            <w:vAlign w:val="bottom"/>
          </w:tcPr>
          <w:p>
            <w:pPr>
              <w:spacing w:after="0"/>
              <w:rPr>
                <w:sz w:val="24"/>
                <w:szCs w:val="24"/>
                <w:color w:val="auto"/>
              </w:rPr>
            </w:pPr>
          </w:p>
        </w:tc>
        <w:tc>
          <w:tcPr>
            <w:tcW w:w="1140" w:type="dxa"/>
            <w:vAlign w:val="bottom"/>
            <w:gridSpan w:val="5"/>
          </w:tcPr>
          <w:p>
            <w:pPr>
              <w:ind w:left="20"/>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3"/>
          </w:tcPr>
          <w:p>
            <w:pPr>
              <w:ind w:left="4740"/>
              <w:spacing w:after="0"/>
              <w:rPr>
                <w:sz w:val="20"/>
                <w:szCs w:val="20"/>
                <w:color w:val="auto"/>
              </w:rPr>
            </w:pPr>
            <w:r>
              <w:rPr>
                <w:rFonts w:ascii="Arial" w:cs="Arial" w:eastAsia="Arial" w:hAnsi="Arial"/>
                <w:sz w:val="18"/>
                <w:szCs w:val="18"/>
                <w:b w:val="1"/>
                <w:bCs w:val="1"/>
                <w:color w:val="auto"/>
              </w:rPr>
              <w:t>Exhibit</w:t>
            </w:r>
          </w:p>
        </w:tc>
      </w:tr>
      <w:tr>
        <w:trPr>
          <w:trHeight w:val="345"/>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560" w:type="dxa"/>
            <w:vAlign w:val="bottom"/>
          </w:tcPr>
          <w:p>
            <w:pPr>
              <w:spacing w:after="0"/>
              <w:rPr>
                <w:sz w:val="24"/>
                <w:szCs w:val="24"/>
                <w:color w:val="auto"/>
              </w:rPr>
            </w:pPr>
          </w:p>
        </w:tc>
      </w:tr>
      <w:tr>
        <w:trPr>
          <w:trHeight w:val="229"/>
        </w:trPr>
        <w:tc>
          <w:tcPr>
            <w:tcW w:w="1020" w:type="dxa"/>
            <w:vAlign w:val="bottom"/>
            <w:gridSpan w:val="4"/>
            <w:shd w:val="clear" w:color="auto" w:fill="CCEEFF"/>
          </w:tcPr>
          <w:p>
            <w:pPr>
              <w:jc w:val="center"/>
              <w:ind w:left="630"/>
              <w:spacing w:after="0"/>
              <w:rPr>
                <w:sz w:val="20"/>
                <w:szCs w:val="20"/>
                <w:color w:val="auto"/>
              </w:rPr>
            </w:pPr>
            <w:r>
              <w:rPr>
                <w:rFonts w:ascii="Arial" w:cs="Arial" w:eastAsia="Arial" w:hAnsi="Arial"/>
                <w:sz w:val="18"/>
                <w:szCs w:val="18"/>
                <w:color w:val="auto"/>
                <w:w w:val="87"/>
              </w:rPr>
              <w:t>3.3</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3"/>
              </w:rPr>
              <w:t>Amended and Restated Bylaws of Shenandoah Telecommunications Company, effective July 18, 2016, filed as Exhibit 3.1 to the</w:t>
            </w:r>
          </w:p>
        </w:tc>
      </w:tr>
      <w:tr>
        <w:trPr>
          <w:trHeight w:val="237"/>
        </w:trPr>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Company Current Report on Form 8-K dated July 18, 2016.</w:t>
            </w:r>
          </w:p>
        </w:tc>
      </w:tr>
      <w:tr>
        <w:trPr>
          <w:trHeight w:val="270"/>
        </w:trPr>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560" w:type="dxa"/>
            <w:vAlign w:val="bottom"/>
          </w:tcPr>
          <w:p>
            <w:pPr>
              <w:spacing w:after="0"/>
              <w:rPr>
                <w:sz w:val="23"/>
                <w:szCs w:val="23"/>
                <w:color w:val="auto"/>
              </w:rPr>
            </w:pPr>
          </w:p>
        </w:tc>
      </w:tr>
      <w:tr>
        <w:trPr>
          <w:trHeight w:val="250"/>
        </w:trPr>
        <w:tc>
          <w:tcPr>
            <w:tcW w:w="1300" w:type="dxa"/>
            <w:vAlign w:val="bottom"/>
            <w:gridSpan w:val="5"/>
            <w:shd w:val="clear" w:color="auto" w:fill="CCEEFF"/>
          </w:tcPr>
          <w:p>
            <w:pPr>
              <w:jc w:val="center"/>
              <w:ind w:left="330"/>
              <w:spacing w:after="0" w:line="202"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240" w:type="dxa"/>
            <w:vAlign w:val="bottom"/>
            <w:shd w:val="clear" w:color="auto" w:fill="CCEEFF"/>
          </w:tcPr>
          <w:p>
            <w:pPr>
              <w:spacing w:after="0"/>
              <w:rPr>
                <w:sz w:val="21"/>
                <w:szCs w:val="21"/>
                <w:color w:val="auto"/>
              </w:rPr>
            </w:pPr>
          </w:p>
        </w:tc>
        <w:tc>
          <w:tcPr>
            <w:tcW w:w="988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w w:val="97"/>
              </w:rPr>
              <w:t>Certification of President and Chief Executive Officer pursuant to Rule 13a-14(a) under the Securities Exchange Act of 1934.</w:t>
            </w:r>
          </w:p>
        </w:tc>
      </w:tr>
      <w:tr>
        <w:trPr>
          <w:trHeight w:val="270"/>
        </w:trPr>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7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4560" w:type="dxa"/>
            <w:vAlign w:val="bottom"/>
            <w:tcBorders>
              <w:top w:val="single" w:sz="8" w:color="CCEEFF"/>
            </w:tcBorders>
          </w:tcPr>
          <w:p>
            <w:pPr>
              <w:spacing w:after="0"/>
              <w:rPr>
                <w:sz w:val="23"/>
                <w:szCs w:val="23"/>
                <w:color w:val="auto"/>
              </w:rPr>
            </w:pPr>
          </w:p>
        </w:tc>
      </w:tr>
      <w:tr>
        <w:trPr>
          <w:trHeight w:val="203"/>
        </w:trPr>
        <w:tc>
          <w:tcPr>
            <w:tcW w:w="1300" w:type="dxa"/>
            <w:vAlign w:val="bottom"/>
            <w:gridSpan w:val="5"/>
            <w:shd w:val="clear" w:color="auto" w:fill="CCEEFF"/>
          </w:tcPr>
          <w:p>
            <w:pPr>
              <w:jc w:val="center"/>
              <w:ind w:left="330"/>
              <w:spacing w:after="0" w:line="202"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240" w:type="dxa"/>
            <w:vAlign w:val="bottom"/>
            <w:shd w:val="clear" w:color="auto" w:fill="CCEEFF"/>
          </w:tcPr>
          <w:p>
            <w:pPr>
              <w:spacing w:after="0"/>
              <w:rPr>
                <w:sz w:val="17"/>
                <w:szCs w:val="17"/>
                <w:color w:val="auto"/>
              </w:rPr>
            </w:pPr>
          </w:p>
        </w:tc>
        <w:tc>
          <w:tcPr>
            <w:tcW w:w="9880" w:type="dxa"/>
            <w:vAlign w:val="bottom"/>
            <w:gridSpan w:val="3"/>
            <w:shd w:val="clear" w:color="auto" w:fill="CCEEFF"/>
          </w:tcPr>
          <w:p>
            <w:pPr>
              <w:ind w:left="220"/>
              <w:spacing w:after="0" w:line="202" w:lineRule="exact"/>
              <w:rPr>
                <w:sz w:val="20"/>
                <w:szCs w:val="20"/>
                <w:color w:val="auto"/>
              </w:rPr>
            </w:pPr>
            <w:r>
              <w:rPr>
                <w:rFonts w:ascii="Arial" w:cs="Arial" w:eastAsia="Arial" w:hAnsi="Arial"/>
                <w:sz w:val="18"/>
                <w:szCs w:val="18"/>
                <w:color w:val="auto"/>
                <w:w w:val="93"/>
              </w:rPr>
              <w:t>Certification of Vice President - Finance and Chief Financial Officer pursuant to Rule 13a-14(a) under the Securities Exchange Act</w:t>
            </w:r>
          </w:p>
        </w:tc>
      </w:tr>
      <w:tr>
        <w:trPr>
          <w:trHeight w:val="237"/>
        </w:trPr>
        <w:tc>
          <w:tcPr>
            <w:tcW w:w="4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of 1934.</w:t>
            </w:r>
          </w:p>
        </w:tc>
      </w:tr>
      <w:tr>
        <w:trPr>
          <w:trHeight w:val="27"/>
        </w:trPr>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1760" w:hanging="984"/>
        <w:spacing w:after="0"/>
        <w:tabs>
          <w:tab w:leader="none" w:pos="1760" w:val="left"/>
        </w:tabs>
        <w:numPr>
          <w:ilvl w:val="0"/>
          <w:numId w:val="29"/>
        </w:numPr>
        <w:rPr>
          <w:rFonts w:ascii="Arial" w:cs="Arial" w:eastAsia="Arial" w:hAnsi="Arial"/>
          <w:sz w:val="18"/>
          <w:szCs w:val="18"/>
          <w:u w:val="single" w:color="auto"/>
          <w:color w:val="0000EE"/>
        </w:rPr>
      </w:pPr>
      <w:r>
        <w:rPr>
          <w:rFonts w:ascii="Arial" w:cs="Arial" w:eastAsia="Arial" w:hAnsi="Arial"/>
          <w:sz w:val="18"/>
          <w:szCs w:val="18"/>
          <w:color w:val="auto"/>
        </w:rPr>
        <w:t>Certifications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1760" w:hanging="1089"/>
        <w:spacing w:after="0"/>
        <w:tabs>
          <w:tab w:leader="none" w:pos="1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7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101.INS</w:t>
            </w:r>
          </w:p>
        </w:tc>
        <w:tc>
          <w:tcPr>
            <w:tcW w:w="8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Instance Document</w:t>
            </w:r>
          </w:p>
        </w:tc>
      </w:tr>
      <w:tr>
        <w:trPr>
          <w:trHeight w:val="270"/>
        </w:trPr>
        <w:tc>
          <w:tcPr>
            <w:tcW w:w="2720" w:type="dxa"/>
            <w:vAlign w:val="bottom"/>
          </w:tcPr>
          <w:p>
            <w:pPr>
              <w:spacing w:after="0"/>
              <w:rPr>
                <w:sz w:val="23"/>
                <w:szCs w:val="23"/>
                <w:color w:val="auto"/>
              </w:rPr>
            </w:pPr>
          </w:p>
        </w:tc>
        <w:tc>
          <w:tcPr>
            <w:tcW w:w="8700" w:type="dxa"/>
            <w:vAlign w:val="bottom"/>
          </w:tcPr>
          <w:p>
            <w:pPr>
              <w:spacing w:after="0"/>
              <w:rPr>
                <w:sz w:val="23"/>
                <w:szCs w:val="23"/>
                <w:color w:val="auto"/>
              </w:rPr>
            </w:pPr>
          </w:p>
        </w:tc>
      </w:tr>
      <w:tr>
        <w:trPr>
          <w:trHeight w:val="250"/>
        </w:trPr>
        <w:tc>
          <w:tcPr>
            <w:tcW w:w="272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101.SCH</w:t>
            </w:r>
          </w:p>
        </w:tc>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2720" w:type="dxa"/>
            <w:vAlign w:val="bottom"/>
          </w:tcPr>
          <w:p>
            <w:pPr>
              <w:spacing w:after="0"/>
              <w:rPr>
                <w:sz w:val="23"/>
                <w:szCs w:val="23"/>
                <w:color w:val="auto"/>
              </w:rPr>
            </w:pPr>
          </w:p>
        </w:tc>
        <w:tc>
          <w:tcPr>
            <w:tcW w:w="8700" w:type="dxa"/>
            <w:vAlign w:val="bottom"/>
          </w:tcPr>
          <w:p>
            <w:pPr>
              <w:spacing w:after="0"/>
              <w:rPr>
                <w:sz w:val="23"/>
                <w:szCs w:val="23"/>
                <w:color w:val="auto"/>
              </w:rPr>
            </w:pPr>
          </w:p>
        </w:tc>
      </w:tr>
      <w:tr>
        <w:trPr>
          <w:trHeight w:val="250"/>
        </w:trPr>
        <w:tc>
          <w:tcPr>
            <w:tcW w:w="272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101.CAL</w:t>
            </w:r>
          </w:p>
        </w:tc>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2720" w:type="dxa"/>
            <w:vAlign w:val="bottom"/>
          </w:tcPr>
          <w:p>
            <w:pPr>
              <w:spacing w:after="0"/>
              <w:rPr>
                <w:sz w:val="23"/>
                <w:szCs w:val="23"/>
                <w:color w:val="auto"/>
              </w:rPr>
            </w:pPr>
          </w:p>
        </w:tc>
        <w:tc>
          <w:tcPr>
            <w:tcW w:w="8700" w:type="dxa"/>
            <w:vAlign w:val="bottom"/>
          </w:tcPr>
          <w:p>
            <w:pPr>
              <w:spacing w:after="0"/>
              <w:rPr>
                <w:sz w:val="23"/>
                <w:szCs w:val="23"/>
                <w:color w:val="auto"/>
              </w:rPr>
            </w:pPr>
          </w:p>
        </w:tc>
      </w:tr>
      <w:tr>
        <w:trPr>
          <w:trHeight w:val="250"/>
        </w:trPr>
        <w:tc>
          <w:tcPr>
            <w:tcW w:w="272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101.DEF</w:t>
            </w:r>
          </w:p>
        </w:tc>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2720" w:type="dxa"/>
            <w:vAlign w:val="bottom"/>
          </w:tcPr>
          <w:p>
            <w:pPr>
              <w:spacing w:after="0"/>
              <w:rPr>
                <w:sz w:val="23"/>
                <w:szCs w:val="23"/>
                <w:color w:val="auto"/>
              </w:rPr>
            </w:pPr>
          </w:p>
        </w:tc>
        <w:tc>
          <w:tcPr>
            <w:tcW w:w="8700" w:type="dxa"/>
            <w:vAlign w:val="bottom"/>
          </w:tcPr>
          <w:p>
            <w:pPr>
              <w:spacing w:after="0"/>
              <w:rPr>
                <w:sz w:val="23"/>
                <w:szCs w:val="23"/>
                <w:color w:val="auto"/>
              </w:rPr>
            </w:pPr>
          </w:p>
        </w:tc>
      </w:tr>
      <w:tr>
        <w:trPr>
          <w:trHeight w:val="250"/>
        </w:trPr>
        <w:tc>
          <w:tcPr>
            <w:tcW w:w="272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101.LAB</w:t>
            </w:r>
          </w:p>
        </w:tc>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2720" w:type="dxa"/>
            <w:vAlign w:val="bottom"/>
          </w:tcPr>
          <w:p>
            <w:pPr>
              <w:spacing w:after="0"/>
              <w:rPr>
                <w:sz w:val="23"/>
                <w:szCs w:val="23"/>
                <w:color w:val="auto"/>
              </w:rPr>
            </w:pPr>
          </w:p>
        </w:tc>
        <w:tc>
          <w:tcPr>
            <w:tcW w:w="8700" w:type="dxa"/>
            <w:vAlign w:val="bottom"/>
          </w:tcPr>
          <w:p>
            <w:pPr>
              <w:spacing w:after="0"/>
              <w:rPr>
                <w:sz w:val="23"/>
                <w:szCs w:val="23"/>
                <w:color w:val="auto"/>
              </w:rPr>
            </w:pPr>
          </w:p>
        </w:tc>
      </w:tr>
      <w:tr>
        <w:trPr>
          <w:trHeight w:val="250"/>
        </w:trPr>
        <w:tc>
          <w:tcPr>
            <w:tcW w:w="272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8"/>
                <w:szCs w:val="18"/>
                <w:color w:val="auto"/>
              </w:rPr>
              <w:t>101.PRE</w:t>
            </w:r>
          </w:p>
        </w:tc>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37"/>
        </w:trPr>
        <w:tc>
          <w:tcPr>
            <w:tcW w:w="2720" w:type="dxa"/>
            <w:vAlign w:val="bottom"/>
          </w:tcPr>
          <w:p>
            <w:pPr>
              <w:spacing w:after="0"/>
              <w:rPr>
                <w:sz w:val="24"/>
                <w:szCs w:val="24"/>
                <w:color w:val="auto"/>
              </w:rPr>
            </w:pPr>
          </w:p>
        </w:tc>
        <w:tc>
          <w:tcPr>
            <w:tcW w:w="8700" w:type="dxa"/>
            <w:vAlign w:val="bottom"/>
          </w:tcPr>
          <w:p>
            <w:pPr>
              <w:ind w:left="290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108"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2"/>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20" w:hanging="324"/>
        <w:spacing w:after="0" w:line="264"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571"/>
        <w:spacing w:after="0" w:line="342" w:lineRule="auto"/>
        <w:tabs>
          <w:tab w:leader="none" w:pos="6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November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70" w:lineRule="exact"/>
        <w:rPr>
          <w:sz w:val="20"/>
          <w:szCs w:val="20"/>
          <w:color w:val="auto"/>
        </w:rPr>
      </w:pPr>
    </w:p>
    <w:p>
      <w:pPr>
        <w:ind w:right="160" w:firstLine="656"/>
        <w:spacing w:after="0" w:line="264" w:lineRule="auto"/>
        <w:tabs>
          <w:tab w:leader="none" w:pos="13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three months ended September 30, 2016 filed on the date hereof with the Securities and Exchange Commission (the “Report”) fully complies with the requirements of Section 13(a) or 15(d) of the Securities Exchange Act of 1934; and</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10"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November 7, 2016</w:t>
      </w:r>
    </w:p>
    <w:p>
      <w:pPr>
        <w:spacing w:after="0" w:line="333" w:lineRule="exact"/>
        <w:rPr>
          <w:sz w:val="20"/>
          <w:szCs w:val="20"/>
          <w:color w:val="auto"/>
        </w:rPr>
      </w:pPr>
    </w:p>
    <w:p>
      <w:pPr>
        <w:ind w:left="6880"/>
        <w:spacing w:after="0"/>
        <w:rPr>
          <w:sz w:val="20"/>
          <w:szCs w:val="20"/>
          <w:color w:val="auto"/>
        </w:rPr>
      </w:pPr>
      <w:r>
        <w:rPr>
          <w:rFonts w:ascii="Arial" w:cs="Arial" w:eastAsia="Arial" w:hAnsi="Arial"/>
          <w:sz w:val="18"/>
          <w:szCs w:val="18"/>
          <w:u w:val="single" w:color="auto"/>
          <w:color w:val="auto"/>
        </w:rPr>
        <w:t>/S/ADELE M. SKOLITS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Adele M. Skolits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Vice President - Finance and</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November 7, 2016</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1."/>
      <w:numFmt w:val="decimal"/>
      <w:start w:val="4"/>
    </w:lvl>
  </w:abstractNum>
  <w:abstractNum w:abstractNumId="9">
    <w:nsid w:val="333AB105"/>
    <w:multiLevelType w:val="hybridMultilevel"/>
    <w:lvl w:ilvl="0">
      <w:lvlJc w:val="left"/>
      <w:lvlText w:val="%1."/>
      <w:numFmt w:val="decimal"/>
      <w:start w:val="6"/>
    </w:lvl>
  </w:abstractNum>
  <w:abstractNum w:abstractNumId="10">
    <w:nsid w:val="721DA317"/>
    <w:multiLevelType w:val="hybridMultilevel"/>
    <w:lvl w:ilvl="0">
      <w:lvlJc w:val="left"/>
      <w:lvlText w:val="%1."/>
      <w:numFmt w:val="decimal"/>
      <w:start w:val="7"/>
    </w:lvl>
  </w:abstractNum>
  <w:abstractNum w:abstractNumId="11">
    <w:nsid w:val="2443A858"/>
    <w:multiLevelType w:val="hybridMultilevel"/>
    <w:lvl w:ilvl="0">
      <w:lvlJc w:val="left"/>
      <w:lvlText w:val="%1."/>
      <w:numFmt w:val="decimal"/>
      <w:start w:val="8"/>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3"/>
    </w:lvl>
  </w:abstractNum>
  <w:abstractNum w:abstractNumId="14">
    <w:nsid w:val="75A2A8D4"/>
    <w:multiLevelType w:val="hybridMultilevel"/>
    <w:lvl w:ilvl="0">
      <w:lvlJc w:val="left"/>
      <w:lvlText w:val="%1."/>
      <w:numFmt w:val="decimal"/>
      <w:start w:val="14"/>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5"/>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5"/>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2"/>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decimal"/>
      <w:start w:val="101"/>
    </w:lvl>
  </w:abstractNum>
  <w:abstractNum w:abstractNumId="28">
    <w:nsid w:val="7C3DBD3D"/>
    <w:multiLevelType w:val="hybridMultilevel"/>
    <w:lvl w:ilvl="0">
      <w:lvlJc w:val="left"/>
      <w:lvlText w:val="%1"/>
      <w:numFmt w:val="decimal"/>
      <w:start w:val="32"/>
    </w:lvl>
  </w:abstractNum>
  <w:abstractNum w:abstractNumId="29">
    <w:nsid w:val="737B8DDC"/>
    <w:multiLevelType w:val="hybridMultilevel"/>
    <w:lvl w:ilvl="0">
      <w:lvlJc w:val="left"/>
      <w:lvlText w:val="(%1)"/>
      <w:numFmt w:val="decimal"/>
      <w:start w:val="10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2019-12-29T10:11:46Z</dcterms:created>
  <dcterms:modified xsi:type="dcterms:W3CDTF">2019-12-29T10:11:46Z</dcterms:modified>
</cp:coreProperties>
</file>