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 OF AMERICA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jc w:val="center"/>
        <w:ind w:right="-19"/>
        <w:spacing w:after="0" w:line="230" w:lineRule="auto"/>
        <w:rPr>
          <w:sz w:val="20"/>
          <w:szCs w:val="20"/>
          <w:color w:val="auto"/>
        </w:rPr>
      </w:pPr>
      <w:r>
        <w:rPr>
          <w:rFonts w:ascii="Arial" w:cs="Arial" w:eastAsia="Arial" w:hAnsi="Arial"/>
          <w:sz w:val="22"/>
          <w:szCs w:val="22"/>
          <w:color w:val="auto"/>
        </w:rPr>
        <w:t>Washington, D. C. 20549</w:t>
      </w: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00" w:right="2240" w:hanging="492"/>
        <w:spacing w:after="0" w:line="524"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2014</w:t>
      </w: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SECURITIESEXCHANGE ACT OF 1934</w:t>
      </w:r>
    </w:p>
    <w:p>
      <w:pPr>
        <w:spacing w:after="0" w:line="25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from__________ to __________</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169545</wp:posOffset>
            </wp:positionV>
            <wp:extent cx="2383790" cy="403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790"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SHENANDOAH TELECOMMUNICATIONS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1" w:right="239" w:bottom="1440" w:gutter="0" w:footer="0" w:header="0"/>
        </w:sectPr>
      </w:pPr>
    </w:p>
    <w:p>
      <w:pPr>
        <w:spacing w:after="0" w:line="232"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54-1162807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00"/>
          </w:cols>
          <w:pgMar w:left="240" w:top="541" w:right="239" w:bottom="1440" w:gutter="0" w:footer="0" w:header="0"/>
          <w:type w:val="continuous"/>
        </w:sectPr>
      </w:pPr>
    </w:p>
    <w:p>
      <w:pPr>
        <w:spacing w:after="0" w:line="61"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41" w:right="239" w:bottom="1440" w:gutter="0" w:footer="0" w:header="0"/>
          <w:type w:val="continuous"/>
        </w:sectPr>
      </w:pP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541"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Arial" w:cs="Arial" w:eastAsia="Arial" w:hAnsi="Arial"/>
          <w:sz w:val="18"/>
          <w:szCs w:val="18"/>
          <w:b w:val="1"/>
          <w:bCs w:val="1"/>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41" w:right="239" w:bottom="1440" w:gutter="0" w:footer="0" w:header="0"/>
          <w:type w:val="continuous"/>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jc w:val="center"/>
        <w:ind w:right="5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4">
            <w:col w:w="2280" w:space="720"/>
            <w:col w:w="2000" w:space="720"/>
            <w:col w:w="2140" w:space="720"/>
            <w:col w:w="2840"/>
          </w:cols>
          <w:pgMar w:left="240" w:top="541"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8680" w:space="180"/>
            <w:col w:w="220" w:space="80"/>
            <w:col w:w="2260"/>
          </w:cols>
          <w:pgMar w:left="240" w:top="541"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on July 24, 2014 was 24,113,100.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224790</wp:posOffset>
            </wp:positionV>
            <wp:extent cx="183070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070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316865</wp:posOffset>
            </wp:positionV>
            <wp:extent cx="72720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569595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Numbers</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720" w:type="dxa"/>
            <w:vAlign w:val="bottom"/>
            <w:gridSpan w:val="17"/>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2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2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June 30, 2014 and December 31, 2013</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96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Statements of Income and Comprehensive Income (Loss) for the Three and Six Months Ended June 30, 2014</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720" w:type="dxa"/>
            <w:vAlign w:val="bottom"/>
            <w:gridSpan w:val="17"/>
            <w:shd w:val="clear" w:color="auto" w:fill="CCEEFF"/>
          </w:tcPr>
          <w:p>
            <w:pPr>
              <w:ind w:left="16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2013</w:t>
              </w:r>
            </w:hyperlink>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720" w:type="dxa"/>
            <w:vAlign w:val="bottom"/>
            <w:gridSpan w:val="17"/>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Consolidated Statements of Shareholders’ Equity for the Six Months Ended June 30, 2014 and the Year Ended December</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0000EE"/>
            </w:tcBorders>
            <w:gridSpan w:val="5"/>
            <w:shd w:val="clear" w:color="auto" w:fill="CCEEFF"/>
          </w:tcPr>
          <w:p>
            <w:pPr>
              <w:ind w:left="160"/>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31, 2013</w:t>
              </w:r>
            </w:hyperlink>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780" w:type="dxa"/>
            <w:vAlign w:val="bottom"/>
            <w:tcBorders>
              <w:top w:val="single" w:sz="8" w:color="0000EE"/>
            </w:tcBorders>
            <w:shd w:val="clear" w:color="auto" w:fill="CCEEFF"/>
          </w:tcPr>
          <w:p>
            <w:pPr>
              <w:spacing w:after="0"/>
              <w:rPr>
                <w:sz w:val="18"/>
                <w:szCs w:val="18"/>
                <w:color w:val="auto"/>
              </w:rPr>
            </w:pPr>
          </w:p>
        </w:tc>
        <w:tc>
          <w:tcPr>
            <w:tcW w:w="218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34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0000EE"/>
            </w:tcBorders>
            <w:shd w:val="clear" w:color="auto" w:fill="CCEEFF"/>
          </w:tcPr>
          <w:p>
            <w:pPr>
              <w:spacing w:after="0"/>
              <w:rPr>
                <w:sz w:val="18"/>
                <w:szCs w:val="18"/>
                <w:color w:val="auto"/>
              </w:rPr>
            </w:pPr>
          </w:p>
        </w:tc>
        <w:tc>
          <w:tcPr>
            <w:tcW w:w="880" w:type="dxa"/>
            <w:vAlign w:val="bottom"/>
            <w:tcBorders>
              <w:top w:val="single" w:sz="8" w:color="0000EE"/>
            </w:tcBorders>
            <w:shd w:val="clear" w:color="auto" w:fill="CCEEFF"/>
          </w:tcPr>
          <w:p>
            <w:pPr>
              <w:spacing w:after="0"/>
              <w:rPr>
                <w:sz w:val="18"/>
                <w:szCs w:val="18"/>
                <w:color w:val="auto"/>
              </w:rPr>
            </w:pPr>
          </w:p>
        </w:tc>
        <w:tc>
          <w:tcPr>
            <w:tcW w:w="22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20" w:type="dxa"/>
            <w:vAlign w:val="bottom"/>
            <w:gridSpan w:val="1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Cash Flows for the Six Months Ended June 30, 2014 and 2013</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20" w:type="dxa"/>
            <w:vAlign w:val="bottom"/>
            <w:gridSpan w:val="17"/>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9-13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20" w:type="dxa"/>
            <w:vAlign w:val="bottom"/>
            <w:gridSpan w:val="17"/>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20" w:type="dxa"/>
            <w:vAlign w:val="bottom"/>
            <w:gridSpan w:val="1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20" w:type="dxa"/>
            <w:vAlign w:val="bottom"/>
            <w:gridSpan w:val="1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72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20" w:type="dxa"/>
            <w:vAlign w:val="bottom"/>
            <w:gridSpan w:val="1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20" w:type="dxa"/>
            <w:vAlign w:val="bottom"/>
            <w:gridSpan w:val="1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720" w:type="dxa"/>
            <w:vAlign w:val="bottom"/>
            <w:gridSpan w:val="17"/>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20" w:type="dxa"/>
            <w:vAlign w:val="bottom"/>
            <w:gridSpan w:val="1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Exhibit Index</w:t>
              </w:r>
            </w:hyperlink>
          </w:p>
        </w:tc>
        <w:tc>
          <w:tcPr>
            <w:tcW w:w="8720" w:type="dxa"/>
            <w:vAlign w:val="bottom"/>
            <w:tcBorders>
              <w:bottom w:val="single" w:sz="8" w:color="CCEEFF"/>
            </w:tcBorders>
            <w:gridSpan w:val="10"/>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00" w:type="dxa"/>
            <w:vAlign w:val="bottom"/>
            <w:gridSpan w:val="12"/>
          </w:tcPr>
          <w:p>
            <w:pPr>
              <w:ind w:left="4760"/>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7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w w:val="95"/>
              </w:rPr>
              <w:t>June 30,</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72,085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26,844</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receivable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Materials and supplies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7,595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4,411</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111,801</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including $2,656 and $2,528 carried at fair value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9,668</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405,810</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69,165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charges and other assets, net</w:t>
            </w:r>
          </w:p>
        </w:tc>
        <w:tc>
          <w:tcPr>
            <w:tcW w:w="1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7,559</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 other assets</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76,724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604,003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SHENANDOAH TELECOMMUNICATIONS COMPANY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w w:val="95"/>
              </w:rPr>
              <w:t>June 30,</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17,250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8,478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Advanced billings and customer deposits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11,912</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2,961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Accrued liabilities and other</w:t>
            </w: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8,333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2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49,515</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2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212,750</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lease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Asset retirement obligations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jc w:val="right"/>
        <w:ind w:right="5360"/>
        <w:spacing w:after="0"/>
        <w:rPr>
          <w:sz w:val="20"/>
          <w:szCs w:val="20"/>
          <w:color w:val="auto"/>
        </w:rPr>
      </w:pPr>
      <w:r>
        <w:rPr>
          <w:rFonts w:ascii="Arial" w:cs="Arial" w:eastAsia="Arial" w:hAnsi="Arial"/>
          <w:sz w:val="18"/>
          <w:szCs w:val="18"/>
          <w:b w:val="1"/>
          <w:bCs w:val="1"/>
          <w:color w:val="auto"/>
        </w:rPr>
        <w:t>Total other long-term liabilities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jc w:val="right"/>
              <w:ind w:right="330"/>
              <w:spacing w:after="0"/>
              <w:rPr>
                <w:sz w:val="20"/>
                <w:szCs w:val="20"/>
                <w:color w:val="auto"/>
              </w:rPr>
            </w:pPr>
            <w:r>
              <w:rPr>
                <w:rFonts w:ascii="Arial" w:cs="Arial" w:eastAsia="Arial" w:hAnsi="Arial"/>
                <w:sz w:val="18"/>
                <w:szCs w:val="18"/>
                <w:color w:val="auto"/>
              </w:rPr>
              <w:t>68,228</w:t>
            </w:r>
          </w:p>
        </w:tc>
        <w:tc>
          <w:tcPr>
            <w:tcW w:w="940" w:type="dxa"/>
            <w:vAlign w:val="bottom"/>
          </w:tcPr>
          <w:p>
            <w:pPr>
              <w:jc w:val="right"/>
              <w:spacing w:after="0"/>
              <w:rPr>
                <w:sz w:val="20"/>
                <w:szCs w:val="20"/>
                <w:color w:val="auto"/>
              </w:rPr>
            </w:pPr>
            <w:r>
              <w:rPr>
                <w:rFonts w:ascii="Arial" w:cs="Arial" w:eastAsia="Arial" w:hAnsi="Arial"/>
                <w:sz w:val="18"/>
                <w:szCs w:val="18"/>
                <w:color w:val="auto"/>
              </w:rPr>
              <w:t>74,547</w:t>
            </w:r>
          </w:p>
        </w:tc>
      </w:tr>
      <w:tr>
        <w:trPr>
          <w:trHeight w:val="216"/>
        </w:trPr>
        <w:tc>
          <w:tcPr>
            <w:tcW w:w="1560" w:type="dxa"/>
            <w:vAlign w:val="bottom"/>
          </w:tcPr>
          <w:p>
            <w:pPr>
              <w:jc w:val="right"/>
              <w:ind w:right="330"/>
              <w:spacing w:after="0"/>
              <w:rPr>
                <w:sz w:val="20"/>
                <w:szCs w:val="20"/>
                <w:color w:val="auto"/>
              </w:rPr>
            </w:pPr>
            <w:r>
              <w:rPr>
                <w:rFonts w:ascii="Arial" w:cs="Arial" w:eastAsia="Arial" w:hAnsi="Arial"/>
                <w:sz w:val="18"/>
                <w:szCs w:val="18"/>
                <w:color w:val="auto"/>
              </w:rPr>
              <w:t>6,658</w:t>
            </w:r>
          </w:p>
        </w:tc>
        <w:tc>
          <w:tcPr>
            <w:tcW w:w="940" w:type="dxa"/>
            <w:vAlign w:val="bottom"/>
          </w:tcPr>
          <w:p>
            <w:pPr>
              <w:jc w:val="right"/>
              <w:spacing w:after="0"/>
              <w:rPr>
                <w:sz w:val="20"/>
                <w:szCs w:val="20"/>
                <w:color w:val="auto"/>
              </w:rPr>
            </w:pPr>
            <w:r>
              <w:rPr>
                <w:rFonts w:ascii="Arial" w:cs="Arial" w:eastAsia="Arial" w:hAnsi="Arial"/>
                <w:sz w:val="18"/>
                <w:szCs w:val="18"/>
                <w:color w:val="auto"/>
              </w:rPr>
              <w:t>6,156</w:t>
            </w:r>
          </w:p>
        </w:tc>
      </w:tr>
      <w:tr>
        <w:trPr>
          <w:trHeight w:val="216"/>
        </w:trPr>
        <w:tc>
          <w:tcPr>
            <w:tcW w:w="1560" w:type="dxa"/>
            <w:vAlign w:val="bottom"/>
          </w:tcPr>
          <w:p>
            <w:pPr>
              <w:jc w:val="right"/>
              <w:ind w:right="330"/>
              <w:spacing w:after="0"/>
              <w:rPr>
                <w:sz w:val="20"/>
                <w:szCs w:val="20"/>
                <w:color w:val="auto"/>
              </w:rPr>
            </w:pPr>
            <w:r>
              <w:rPr>
                <w:rFonts w:ascii="Arial" w:cs="Arial" w:eastAsia="Arial" w:hAnsi="Arial"/>
                <w:sz w:val="18"/>
                <w:szCs w:val="18"/>
                <w:color w:val="auto"/>
              </w:rPr>
              <w:t>6,763</w:t>
            </w:r>
          </w:p>
        </w:tc>
        <w:tc>
          <w:tcPr>
            <w:tcW w:w="940" w:type="dxa"/>
            <w:vAlign w:val="bottom"/>
          </w:tcPr>
          <w:p>
            <w:pPr>
              <w:jc w:val="right"/>
              <w:spacing w:after="0"/>
              <w:rPr>
                <w:sz w:val="20"/>
                <w:szCs w:val="20"/>
                <w:color w:val="auto"/>
              </w:rPr>
            </w:pPr>
            <w:r>
              <w:rPr>
                <w:rFonts w:ascii="Arial" w:cs="Arial" w:eastAsia="Arial" w:hAnsi="Arial"/>
                <w:sz w:val="18"/>
                <w:szCs w:val="18"/>
                <w:color w:val="auto"/>
              </w:rPr>
              <w:t>6,485</w:t>
            </w:r>
          </w:p>
        </w:tc>
      </w:tr>
      <w:tr>
        <w:trPr>
          <w:trHeight w:val="237"/>
        </w:trPr>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8,326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w:t>
            </w:r>
          </w:p>
        </w:tc>
      </w:tr>
      <w:tr>
        <w:trPr>
          <w:trHeight w:val="223"/>
        </w:trPr>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89,975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94,447</w:t>
            </w:r>
          </w:p>
        </w:tc>
      </w:tr>
    </w:tbl>
    <w:p>
      <w:pPr>
        <w:spacing w:after="0" w:line="20" w:lineRule="exact"/>
        <w:rPr>
          <w:sz w:val="20"/>
          <w:szCs w:val="20"/>
          <w:color w:val="auto"/>
        </w:rPr>
      </w:pPr>
    </w:p>
    <w:p>
      <w:pPr>
        <w:sectPr>
          <w:pgSz w:w="11900" w:h="16838" w:orient="portrait"/>
          <w:cols w:equalWidth="0" w:num="2">
            <w:col w:w="8100" w:space="720"/>
            <w:col w:w="260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Shareholders’ Equity</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28,236</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1,334</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7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222,193</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320"/>
              <w:spacing w:after="0"/>
              <w:rPr>
                <w:sz w:val="20"/>
                <w:szCs w:val="20"/>
                <w:color w:val="auto"/>
              </w:rPr>
            </w:pPr>
            <w:r>
              <w:rPr>
                <w:rFonts w:ascii="Arial" w:cs="Arial" w:eastAsia="Arial" w:hAnsi="Arial"/>
                <w:sz w:val="18"/>
                <w:szCs w:val="18"/>
                <w:b w:val="1"/>
                <w:bCs w:val="1"/>
                <w:color w:val="auto"/>
              </w:rPr>
              <w:t>Total shareholders’ equity</w:t>
            </w:r>
          </w:p>
        </w:tc>
        <w:tc>
          <w:tcPr>
            <w:tcW w:w="1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251,763</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604,003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597,006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40" w:type="dxa"/>
            <w:vAlign w:val="bottom"/>
            <w:vMerge w:val="restart"/>
          </w:tcPr>
          <w:p>
            <w:pPr>
              <w:ind w:left="80"/>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1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04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INCOME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4"/>
          </w:tcPr>
          <w:p>
            <w:pPr>
              <w:jc w:val="right"/>
              <w:ind w:righ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4"/>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81,416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161,868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160"/>
              <w:spacing w:after="0" w:line="201" w:lineRule="exact"/>
              <w:rPr>
                <w:sz w:val="20"/>
                <w:szCs w:val="20"/>
                <w:color w:val="auto"/>
              </w:rPr>
            </w:pPr>
            <w:r>
              <w:rPr>
                <w:rFonts w:ascii="Arial" w:cs="Arial" w:eastAsia="Arial" w:hAnsi="Arial"/>
                <w:sz w:val="18"/>
                <w:szCs w:val="18"/>
                <w:color w:val="auto"/>
                <w:w w:val="93"/>
              </w:rPr>
              <w:t>Cost of goods and services, exclusive of depreciation and amortization shown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80"/>
              <w:spacing w:after="0"/>
              <w:rPr>
                <w:sz w:val="20"/>
                <w:szCs w:val="20"/>
                <w:color w:val="auto"/>
              </w:rPr>
            </w:pPr>
            <w:r>
              <w:rPr>
                <w:rFonts w:ascii="Arial" w:cs="Arial" w:eastAsia="Arial" w:hAnsi="Arial"/>
                <w:sz w:val="18"/>
                <w:szCs w:val="18"/>
                <w:color w:val="auto"/>
              </w:rPr>
              <w:t>separately below</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32,403</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30,528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64,639</w:t>
            </w:r>
          </w:p>
        </w:tc>
        <w:tc>
          <w:tcPr>
            <w:tcW w:w="3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61,229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Selling, general and administrative, exclusive of depreciation and amortization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shown separately below</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16,625</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16,355</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33,773</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16,595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16,071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31,983</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65,623</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62,954</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130,395</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15,793</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31,473</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(2,068)</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Gain on investments,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Non-operating income, net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459</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1,086</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before taxes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14,301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28,543</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5,686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11,312</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8,615</w:t>
            </w: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17,231</w:t>
            </w:r>
          </w:p>
        </w:tc>
        <w:tc>
          <w:tcPr>
            <w:tcW w:w="3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Unrealized gain (loss) on interest rate hedge, net of tax</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(913)</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7,702</w:t>
            </w: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15,971</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0.36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0.72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0.35</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shares outstanding, basic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24,102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24,080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shares outstanding, diluted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24,320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24,271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24,055</w:t>
            </w:r>
          </w:p>
        </w:tc>
        <w:tc>
          <w:tcPr>
            <w:tcW w:w="0" w:type="dxa"/>
            <w:vAlign w:val="bottom"/>
          </w:tcPr>
          <w:p>
            <w:pPr>
              <w:spacing w:after="0"/>
              <w:rPr>
                <w:sz w:val="1"/>
                <w:szCs w:val="1"/>
                <w:color w:val="auto"/>
              </w:rPr>
            </w:pPr>
          </w:p>
        </w:tc>
      </w:tr>
      <w:tr>
        <w:trPr>
          <w:trHeight w:val="353"/>
        </w:trPr>
        <w:tc>
          <w:tcPr>
            <w:tcW w:w="5960" w:type="dxa"/>
            <w:vAlign w:val="bottom"/>
            <w:gridSpan w:val="2"/>
          </w:tcPr>
          <w:p>
            <w:pPr>
              <w:jc w:val="right"/>
              <w:ind w:right="13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ind w:right="494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CONSOLIDATED STATEMENTS OF SHAREHOLDERS' EQUITY </w:t>
      </w:r>
      <w:r>
        <w:rPr>
          <w:rFonts w:ascii="Arial" w:cs="Arial" w:eastAsia="Arial" w:hAnsi="Arial"/>
          <w:sz w:val="18"/>
          <w:szCs w:val="18"/>
          <w:i w:val="1"/>
          <w:i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90"/>
              <w:spacing w:after="0"/>
              <w:rPr>
                <w:sz w:val="20"/>
                <w:szCs w:val="20"/>
                <w:color w:val="auto"/>
              </w:rPr>
            </w:pPr>
            <w:r>
              <w:rPr>
                <w:rFonts w:ascii="Arial" w:cs="Arial" w:eastAsia="Arial" w:hAnsi="Arial"/>
                <w:sz w:val="18"/>
                <w:szCs w:val="18"/>
                <w:color w:val="auto"/>
                <w:w w:val="93"/>
              </w:rPr>
              <w:t>Other</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98"/>
              </w:rPr>
              <w:t>Common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9"/>
              </w:rPr>
              <w:t>Comprehensive</w:t>
            </w:r>
          </w:p>
        </w:tc>
        <w:tc>
          <w:tcPr>
            <w:tcW w:w="320" w:type="dxa"/>
            <w:vAlign w:val="bottom"/>
          </w:tcPr>
          <w:p>
            <w:pPr>
              <w:spacing w:after="0"/>
              <w:rPr>
                <w:sz w:val="18"/>
                <w:szCs w:val="18"/>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3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14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23,962</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24,688</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184,023</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29,586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3,457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($0.36 per share)</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Dividends reinvested in common stock</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w w:val="99"/>
              </w:rPr>
              <w:t>Common stock issued through exercise of incentive stock</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options</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1,186</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share awards</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issued</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24,040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26,759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204,962</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2,594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17,231</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1,730</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issued for share awards</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(1,771)</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394</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June 30, 2014</w:t>
            </w: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24,113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28,236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222,193</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1,334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251,763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20" w:type="dxa"/>
            <w:vAlign w:val="bottom"/>
          </w:tcPr>
          <w:p>
            <w:pPr>
              <w:jc w:val="right"/>
              <w:ind w:right="191"/>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8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17,231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30,325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1,658</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Provision for bad debt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Stock based compensation expense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1,730</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Excess tax benefits on stock awards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(4,983)</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(gain) loss on disposal of equipment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Realized gain on disposal of investments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Unrealized gains on investments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Net gains from patronage and equity investments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(1,570)</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Materials and supplies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Income taxes receivable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16,576</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2,367</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lease payable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581</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prepaids, deferrals and accruals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460" w:type="dxa"/>
            <w:vAlign w:val="bottom"/>
            <w:tcBorders>
              <w:top w:val="single" w:sz="8" w:color="CCEEFF"/>
            </w:tcBorders>
          </w:tcPr>
          <w:p>
            <w:pPr>
              <w:ind w:left="30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66,576</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52,155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and construction of property, plant and equipment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Proceeds from sale of assets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of equipment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(Purchase) sale of investment securities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of investment securities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(32,554)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(48,115)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7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Excess tax benefits on stock awards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394</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Repurchases of stock</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Proceeds from issuances of stock</w:t>
            </w: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1,124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Net cash used in financing activities</w:t>
            </w:r>
          </w:p>
        </w:tc>
        <w:tc>
          <w:tcPr>
            <w:tcW w:w="1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Net increase in cash and cash equivalents</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33,769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Beginning</w:t>
            </w: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38,316</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Ending</w:t>
            </w:r>
          </w:p>
        </w:tc>
        <w:tc>
          <w:tcPr>
            <w:tcW w:w="1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72,085</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Cash payments for:</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3,930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taxes (received) paid</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color w:val="auto"/>
        </w:rPr>
        <w:t>During the first six months of 2013, the Company traded in certain PCS equipment and received credits of $10,778 against the purchase price of new equipment.</w:t>
      </w:r>
    </w:p>
    <w:p>
      <w:pPr>
        <w:spacing w:after="0" w:line="197"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color w:val="auto"/>
        </w:rPr>
        <w:t>At December 31, 2013, accounts payable included approximately $7.6 million associated with the capital expenditures related to the Network Vision project. These payables were disbursed during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ind w:right="5040"/>
        <w:spacing w:after="0" w:line="282" w:lineRule="auto"/>
        <w:rPr>
          <w:sz w:val="20"/>
          <w:szCs w:val="20"/>
          <w:color w:val="auto"/>
        </w:rPr>
      </w:pPr>
      <w:r>
        <w:rPr>
          <w:rFonts w:ascii="Arial" w:cs="Arial" w:eastAsia="Arial" w:hAnsi="Arial"/>
          <w:sz w:val="18"/>
          <w:szCs w:val="18"/>
          <w:b w:val="1"/>
          <w:bCs w:val="1"/>
          <w:color w:val="auto"/>
        </w:rPr>
        <w:t>SHENANDOAH TELECOMMUNICATIONS COMPANY AND SUBSIDIARIES NOTES TO UNAUDITED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interim consolidated financial statements of Shenandoah Telecommunications Company and Subsidiaries (collectively, the “Company”) are unaudited. In the opinion of management, all adjustments necessary for a fair presentation of the interim results have been reflected therein. All such adjustments were of a normal and recurring nature. These statements should be read in conjunction with the consolidated financial statements and related notes in the Company’s Annual Report on Form 10-K for the year ended December 31, 2013. The balance sheet information at December 31, 2013 was derived from the audited December 31, 2013 consolidated balance sheet. Operating revenues and income from operations for any interim period are not necessarily indicative of results that may be expected for the entire year.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2. Property, Plant and Equipment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54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 (in thousands):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June 30,</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37"/>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Plant in service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633,480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Plant under construction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23,181</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656,661</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277,138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247,698</w:t>
            </w:r>
          </w:p>
        </w:tc>
      </w:tr>
      <w:tr>
        <w:trPr>
          <w:trHeight w:val="257"/>
        </w:trPr>
        <w:tc>
          <w:tcPr>
            <w:tcW w:w="20" w:type="dxa"/>
            <w:vAlign w:val="bottom"/>
          </w:tcPr>
          <w:p>
            <w:pPr>
              <w:spacing w:after="0"/>
              <w:rPr>
                <w:sz w:val="22"/>
                <w:szCs w:val="22"/>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405,810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408,963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 Earnings per share</w:t>
      </w:r>
    </w:p>
    <w:p>
      <w:pPr>
        <w:spacing w:after="0" w:line="25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Basic net income per share was computed on the weighted average number of shares outstanding. Diluted net income per share was computed under the treasury stock method, assuming the conversion as of the beginning of the period, for all dilutive stock options. Of 694 thousand and 809 thousand shares and options outstanding at June 30, 2014 and 2013, respectively, zero and 345 thousand were anti-dilutive, respectively. These options have been excluded from the computations of diluted earnings per share for their respective period. There were no adjustments to net income for either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 Investments Carried at Fair Value</w:t>
      </w:r>
    </w:p>
    <w:p>
      <w:pPr>
        <w:spacing w:after="0" w:line="25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Investments include $2.7 million and $2.5 million of investments carried at fair value as of June 30, 2014 and December 31, 2013, respectively, consisting of equity, bond and money market mutual funds. These investments were acquired under a rabbi trust arrangement related to a non-qualified supplemental retirement plan maintained by the Company. During the six months ended June 30, 2014, the Company recognized $104 thousand in dividend and interest income from investments, and recorded net unrealized gains of $74 thousand on these investments. Fair values for these investments held under the rabbi trust were determined by Level 1 quoted market prices for the underlying mutual funds.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5. Financial Instruments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instruments on the consolidated balance sheets that approximate fair value include: cash and cash equivalents, receivables, investments carried at fair value, payables, accrued liabilities, interest rate swaps and variable rate long-term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6. Derivative Instruments, Hedging Activities and Accumulated Other Comprehensive Income</w:t>
      </w:r>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this objective,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9" w:name="page10"/>
    <w:bookmarkEnd w:id="9"/>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entered into a pay-fixed, receive-variable interest rate swap of $63.3 million of notional principal in August 2010. This interest rate swap was not designated as a cash flow hedge. Changes in the fair value of interest rate swaps not designated as cash flow hedges are recorded in interest expense each</w:t>
      </w:r>
    </w:p>
    <w:p>
      <w:pPr>
        <w:spacing w:after="0" w:line="1"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 xml:space="preserve">reporting period. </w:t>
      </w:r>
      <w:r>
        <w:rPr>
          <w:rFonts w:ascii="Arial" w:cs="Arial" w:eastAsia="Arial" w:hAnsi="Arial"/>
          <w:sz w:val="21"/>
          <w:szCs w:val="21"/>
          <w:color w:val="auto"/>
        </w:rPr>
        <w:t>The changes in fair value recorded in interest expense for the three and six months ended June 30, 2013 were</w:t>
      </w:r>
      <w:r>
        <w:rPr>
          <w:rFonts w:ascii="Arial" w:cs="Arial" w:eastAsia="Arial" w:hAnsi="Arial"/>
          <w:sz w:val="18"/>
          <w:szCs w:val="18"/>
          <w:color w:val="auto"/>
        </w:rPr>
        <w:t xml:space="preserve"> </w:t>
      </w:r>
      <w:r>
        <w:rPr>
          <w:rFonts w:ascii="Arial" w:cs="Arial" w:eastAsia="Arial" w:hAnsi="Arial"/>
          <w:sz w:val="21"/>
          <w:szCs w:val="21"/>
          <w:color w:val="auto"/>
        </w:rPr>
        <w:t xml:space="preserve">decreases of $102 thousand and $206 thousand, respectively. </w:t>
      </w:r>
      <w:r>
        <w:rPr>
          <w:rFonts w:ascii="Arial" w:cs="Arial" w:eastAsia="Arial" w:hAnsi="Arial"/>
          <w:sz w:val="18"/>
          <w:szCs w:val="18"/>
          <w:color w:val="auto"/>
        </w:rPr>
        <w:t>This swap expired in July 2013.</w:t>
      </w:r>
    </w:p>
    <w:p>
      <w:pPr>
        <w:spacing w:after="0" w:line="20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entered into a pay-fixed, receive-variable interest rate swap of $174.6 million of notional principal in September 2012. This interest rate swap was designated as a cash flow hedge. The total outstanding notional amount of cash flow hedges was $174.6 million as of June 30, 2014.</w:t>
      </w:r>
    </w:p>
    <w:p>
      <w:pPr>
        <w:spacing w:after="0" w:line="17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Amounts reported in accumulated other comprehensive income related to the interest rate swap designated and that qualify as a cash flow hedge are reclassified to interest expense as interest payments are made on the Company’s variable-rate debt. As of June 30, 2014, the Company estimates that $1.6 million will be reclassified as an increase to interest expense during the next twelve months due to the interest rate swap since the hedge interest rate exceeds the variable interest rate on the debt.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fair value of the Company’s derivative financial instruments as well as its classification on the consolidated balance sheet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December 31, 2013 (in thousands; amounts in parentheses indicate debits):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240" w:type="dxa"/>
            <w:vAlign w:val="bottom"/>
            <w:tcBorders>
              <w:bottom w:val="single" w:sz="8" w:color="auto"/>
            </w:tcBorders>
            <w:gridSpan w:val="2"/>
          </w:tcPr>
          <w:p>
            <w:pPr>
              <w:ind w:left="2960"/>
              <w:spacing w:after="0"/>
              <w:rPr>
                <w:sz w:val="20"/>
                <w:szCs w:val="20"/>
                <w:color w:val="auto"/>
              </w:rPr>
            </w:pPr>
            <w:r>
              <w:rPr>
                <w:rFonts w:ascii="Arial" w:cs="Arial" w:eastAsia="Arial" w:hAnsi="Arial"/>
                <w:sz w:val="18"/>
                <w:szCs w:val="18"/>
                <w:color w:val="auto"/>
              </w:rPr>
              <w:t>Derivatives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color w:val="auto"/>
              </w:rPr>
              <w:t>Fair Value as of</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40" w:type="dxa"/>
            <w:vAlign w:val="bottom"/>
            <w:gridSpan w:val="2"/>
          </w:tcPr>
          <w:p>
            <w:pPr>
              <w:jc w:val="center"/>
              <w:ind w:left="1410"/>
              <w:spacing w:after="0" w:line="201" w:lineRule="exact"/>
              <w:rPr>
                <w:sz w:val="20"/>
                <w:szCs w:val="20"/>
                <w:color w:val="auto"/>
              </w:rPr>
            </w:pPr>
            <w:r>
              <w:rPr>
                <w:rFonts w:ascii="Arial" w:cs="Arial" w:eastAsia="Arial" w:hAnsi="Arial"/>
                <w:sz w:val="18"/>
                <w:szCs w:val="18"/>
                <w:color w:val="auto"/>
                <w:w w:val="87"/>
              </w:rPr>
              <w:t>Balance Sheet</w:t>
            </w:r>
          </w:p>
        </w:tc>
        <w:tc>
          <w:tcPr>
            <w:tcW w:w="180" w:type="dxa"/>
            <w:vAlign w:val="bottom"/>
          </w:tcPr>
          <w:p>
            <w:pPr>
              <w:spacing w:after="0"/>
              <w:rPr>
                <w:sz w:val="17"/>
                <w:szCs w:val="17"/>
                <w:color w:val="auto"/>
              </w:rPr>
            </w:pPr>
          </w:p>
        </w:tc>
        <w:tc>
          <w:tcPr>
            <w:tcW w:w="110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w w:val="98"/>
              </w:rPr>
              <w:t>June 30,</w:t>
            </w:r>
          </w:p>
        </w:tc>
        <w:tc>
          <w:tcPr>
            <w:tcW w:w="8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4120" w:type="dxa"/>
            <w:vAlign w:val="bottom"/>
            <w:tcBorders>
              <w:bottom w:val="single" w:sz="8" w:color="auto"/>
            </w:tcBorders>
          </w:tcPr>
          <w:p>
            <w:pPr>
              <w:jc w:val="center"/>
              <w:ind w:left="1510"/>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2"/>
                <w:szCs w:val="22"/>
                <w:color w:val="auto"/>
              </w:rPr>
            </w:pPr>
          </w:p>
        </w:tc>
      </w:tr>
      <w:tr>
        <w:trPr>
          <w:trHeight w:val="418"/>
        </w:trPr>
        <w:tc>
          <w:tcPr>
            <w:tcW w:w="8820" w:type="dxa"/>
            <w:vAlign w:val="bottom"/>
            <w:gridSpan w:val="4"/>
          </w:tcPr>
          <w:p>
            <w:pPr>
              <w:spacing w:after="0"/>
              <w:rPr>
                <w:sz w:val="20"/>
                <w:szCs w:val="20"/>
                <w:color w:val="auto"/>
              </w:rPr>
            </w:pPr>
            <w:r>
              <w:rPr>
                <w:rFonts w:ascii="Arial" w:cs="Arial" w:eastAsia="Arial" w:hAnsi="Arial"/>
                <w:sz w:val="18"/>
                <w:szCs w:val="18"/>
                <w:color w:val="auto"/>
              </w:rPr>
              <w:t>Derivatives designated as hedging instruments: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 and other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1,613</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w:t>
            </w: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Deferred charges and other assets net</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(3,846)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(5,926)</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swaps is determined using a pricing model with inputs that are observable in the market (level 2 fair value inputs).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0"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The table below presents change in accumulated other comprehensive income by component for the six months ended June 30, 2014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Income</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(Losses) on</w:t>
            </w: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Tax</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Cash Flow</w:t>
            </w: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Expense</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Hedges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(1,742)</w:t>
            </w:r>
          </w:p>
        </w:tc>
        <w:tc>
          <w:tcPr>
            <w:tcW w:w="30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(2,957)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 (to interest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(2,103)</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7. Segment Information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makers.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Wireless segment provides digital wireless service to a portion of a four-state area covering the region from Harrisburg, York and Altoona, Pennsylvania, to Harrisonburg, Virginia, as a Sprint PCS Affiliate of Sprint. This segment also owns cell site towers built on leased land, and leases space on these towers to both affiliates and non-affiliated service providers.</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Cable segment provides video, internet and voice services in Virginia, West Virginia and Maryland. It does not include video, internet and voice services provided to customers in Shenandoah County, Virginia.</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and Maryland.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Three months ended June 30, 2014</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220" w:type="dxa"/>
            <w:vAlign w:val="bottom"/>
          </w:tcPr>
          <w:p>
            <w:pPr>
              <w:jc w:val="right"/>
              <w:ind w:right="59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w w:val="94"/>
              </w:rPr>
              <w:t>Eliminations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47,868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17,416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2,813</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3,388</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50,681</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20,804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9,931</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5,713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(6,840)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51,775</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20,837</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15,644</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(6,840)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81,416</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18,476</w:t>
            </w: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12,421</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7,737</w:t>
            </w:r>
          </w:p>
        </w:tc>
        <w:tc>
          <w:tcPr>
            <w:tcW w:w="3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(6,231)</w:t>
            </w:r>
          </w:p>
        </w:tc>
        <w:tc>
          <w:tcPr>
            <w:tcW w:w="1060" w:type="dxa"/>
            <w:vAlign w:val="bottom"/>
          </w:tcPr>
          <w:p>
            <w:pPr>
              <w:jc w:val="right"/>
              <w:spacing w:after="0"/>
              <w:rPr>
                <w:sz w:val="20"/>
                <w:szCs w:val="20"/>
                <w:color w:val="auto"/>
              </w:rPr>
            </w:pPr>
            <w:r>
              <w:rPr>
                <w:rFonts w:ascii="Arial" w:cs="Arial" w:eastAsia="Arial" w:hAnsi="Arial"/>
                <w:sz w:val="18"/>
                <w:szCs w:val="18"/>
                <w:color w:val="auto"/>
              </w:rPr>
              <w:t>32,403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7,657</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4,735</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3,349</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8,071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5,766</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105</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34,204</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22,922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11,883</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3,454</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(6,840)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17,571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(3,454)</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71"/>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3340" w:type="dxa"/>
            <w:vAlign w:val="bottom"/>
            <w:gridSpan w:val="3"/>
          </w:tcPr>
          <w:p>
            <w:pPr>
              <w:spacing w:after="0"/>
              <w:rPr>
                <w:sz w:val="20"/>
                <w:szCs w:val="20"/>
                <w:color w:val="auto"/>
              </w:rPr>
            </w:pPr>
            <w:r>
              <w:rPr>
                <w:rFonts w:ascii="Arial" w:cs="Arial" w:eastAsia="Arial" w:hAnsi="Arial"/>
                <w:sz w:val="18"/>
                <w:szCs w:val="18"/>
                <w:color w:val="auto"/>
              </w:rPr>
              <w:t>Three months ended June 30, 2013</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46,362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2,328</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2,357</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48,690</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18,682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10,082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1,076</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(6,298)</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49,766</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18,735</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15,251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17,854</w:t>
            </w:r>
          </w:p>
        </w:tc>
        <w:tc>
          <w:tcPr>
            <w:tcW w:w="3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11,239</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7,198</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(5,763)</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8,068</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4,500</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3,071</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7,781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5,479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33,703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21,218</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11,251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3,080</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16,063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3"/>
            <w:vMerge w:val="restart"/>
          </w:tcPr>
          <w:p>
            <w:pPr>
              <w:spacing w:after="0"/>
              <w:rPr>
                <w:sz w:val="20"/>
                <w:szCs w:val="20"/>
                <w:color w:val="auto"/>
              </w:rPr>
            </w:pPr>
            <w:r>
              <w:rPr>
                <w:rFonts w:ascii="Arial" w:cs="Arial" w:eastAsia="Arial" w:hAnsi="Arial"/>
                <w:sz w:val="18"/>
                <w:szCs w:val="18"/>
                <w:color w:val="auto"/>
              </w:rPr>
              <w:t>Six months ended June 30, 2014</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95,100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5,569</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6,418</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9,721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100,669</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41,258</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19,941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11,478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(13,721)</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102,853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41,317</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31,419</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37,132</w:t>
            </w:r>
          </w:p>
        </w:tc>
        <w:tc>
          <w:tcPr>
            <w:tcW w:w="3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24,811</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15,219</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(12,523)</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16,089</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9,381</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2,737</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6,764</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15,268</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11,170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5,350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68,489</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45,362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23,306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6,959</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34,364</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3"/>
            <w:vMerge w:val="restart"/>
          </w:tcPr>
          <w:p>
            <w:pPr>
              <w:spacing w:after="0"/>
              <w:rPr>
                <w:sz w:val="20"/>
                <w:szCs w:val="20"/>
                <w:color w:val="auto"/>
              </w:rPr>
            </w:pPr>
            <w:r>
              <w:rPr>
                <w:rFonts w:ascii="Arial" w:cs="Arial" w:eastAsia="Arial" w:hAnsi="Arial"/>
                <w:sz w:val="18"/>
                <w:szCs w:val="18"/>
                <w:color w:val="auto"/>
              </w:rPr>
              <w:t>Six months ended June 30, 2013</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90,427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32,487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11,021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5,347</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4,659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9,522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95,774</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37,146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20,543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2,149</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9,808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(12,059)</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97,923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37,248</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30,351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(12,059)</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35,385</w:t>
            </w:r>
          </w:p>
        </w:tc>
        <w:tc>
          <w:tcPr>
            <w:tcW w:w="3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22,461</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14,364</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(10,981)</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15,955</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8,924</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2,612</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6,071</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13,809</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10,684</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5,532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65,149</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42,069</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22,508</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6,088</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(12,059)</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32,774</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7,843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(6,088)</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159"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159" w:gutter="0" w:footer="0" w:header="0"/>
          <w:type w:val="continuous"/>
        </w:sectPr>
      </w:pPr>
    </w:p>
    <w:bookmarkStart w:id="12" w:name="page13"/>
    <w:bookmarkEnd w:id="12"/>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A reconciliation of the total of the reportable segments’ operating income to consolidated income before taxes is as follows:</w:t>
      </w:r>
    </w:p>
    <w:p>
      <w:pPr>
        <w:spacing w:after="0" w:line="275"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auto"/>
        </w:rPr>
        <w:t>Three Months</w:t>
      </w:r>
    </w:p>
    <w:p>
      <w:pPr>
        <w:spacing w:after="0" w:line="23"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auto"/>
        </w:rPr>
        <w:t>Ended</w:t>
      </w:r>
    </w:p>
    <w:p>
      <w:pPr>
        <w:spacing w:after="0" w:line="9"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5715</wp:posOffset>
            </wp:positionV>
            <wp:extent cx="16122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operating income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15,793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(2,065)</w:t>
            </w:r>
          </w:p>
        </w:tc>
        <w:tc>
          <w:tcPr>
            <w:tcW w:w="3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Non-operating income (expense), net</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573</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before taxes</w:t>
            </w: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14,301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12,920</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4"/>
          </w:tcPr>
          <w:p>
            <w:pPr>
              <w:jc w:val="right"/>
              <w:ind w:right="7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operating income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31,473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(4,112)</w:t>
            </w:r>
          </w:p>
        </w:tc>
        <w:tc>
          <w:tcPr>
            <w:tcW w:w="3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Non-operating income (expense), net</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1,182</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before taxes</w:t>
            </w: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28,543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26,645</w:t>
            </w:r>
          </w:p>
        </w:tc>
        <w:tc>
          <w:tcPr>
            <w:tcW w:w="0" w:type="dxa"/>
            <w:vAlign w:val="bottom"/>
          </w:tcPr>
          <w:p>
            <w:pPr>
              <w:spacing w:after="0"/>
              <w:rPr>
                <w:sz w:val="1"/>
                <w:szCs w:val="1"/>
                <w:color w:val="auto"/>
              </w:rPr>
            </w:pPr>
          </w:p>
        </w:tc>
      </w:tr>
      <w:tr>
        <w:trPr>
          <w:trHeight w:val="21"/>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The Company’s assets by segment are as follows:</w:t>
            </w: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4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440" w:type="dxa"/>
            <w:vAlign w:val="bottom"/>
            <w:gridSpan w:val="2"/>
          </w:tcPr>
          <w:p>
            <w:pPr>
              <w:ind w:left="2300"/>
              <w:spacing w:after="0"/>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w w:val="95"/>
              </w:rPr>
              <w:t>June 30,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20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233,637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Cable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208,092</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Wireline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89,487</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92,455</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417,790</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Combined totals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949,006</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(345,003)</w:t>
            </w:r>
          </w:p>
        </w:tc>
        <w:tc>
          <w:tcPr>
            <w:tcW w:w="3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(359,475)</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totals</w:t>
            </w:r>
          </w:p>
        </w:tc>
        <w:tc>
          <w:tcPr>
            <w:tcW w:w="200" w:type="dxa"/>
            <w:vAlign w:val="bottom"/>
            <w:tcBorders>
              <w:top w:val="single" w:sz="8" w:color="auto"/>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604,003</w:t>
            </w:r>
          </w:p>
        </w:tc>
        <w:tc>
          <w:tcPr>
            <w:tcW w:w="3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597,006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8. Income Taxes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U.S. federal income tax returns and various state and local income tax returns. With few exceptions, years prior to 2010 are no longer subject to examination. The Company is under audit in the state of Maryland for the 2009, 2010 and 2011 tax years. No other state or federal income tax audits were in process as of June 30, 2014.</w:t>
      </w:r>
    </w:p>
    <w:p>
      <w:pPr>
        <w:spacing w:after="0" w:line="39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22" w:right="579" w:bottom="1440" w:gutter="0" w:footer="0" w:header="0"/>
        </w:sectPr>
      </w:pPr>
    </w:p>
    <w:bookmarkStart w:id="13" w:name="page14"/>
    <w:bookmarkEnd w:id="13"/>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2013. The following management’s discussion and analysis should be read in conjunction with the Company’s Annual Report on Form 10-K for its fiscal year ended December 31, 2013, including the financial statements and related notes included therein.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Shenandoah Telecommunications Company is a diversified telecommunications company providing both regulated and unregulated</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services through its wholly-owned subsidiaries. These subsidiaries provide wireless personal communications services (as a Sprint PCS Affiliate), local exchange telephone services, video, internet and data services, long distance, fiber optics facilities, and leased tower facilities. The Company has the following three reportable segments, which it operates and manages as strategic business units organized by lines of business:</w:t>
      </w:r>
    </w:p>
    <w:p>
      <w:pPr>
        <w:spacing w:after="0" w:line="181" w:lineRule="exact"/>
        <w:rPr>
          <w:sz w:val="20"/>
          <w:szCs w:val="20"/>
          <w:color w:val="auto"/>
        </w:rPr>
      </w:pPr>
    </w:p>
    <w:p>
      <w:pPr>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Wireless segment provides digital wireless service to a portion of a four-state area covering the region from Harrisburg, York and Altoona, Pennsylvania, to Harrisonburg, Virginia, as a Sprint PCS Affiliate. This segment also owns cell site towers built on leased land, and leases space on these towers to both affiliates and non-affiliated service providers.</w:t>
      </w:r>
    </w:p>
    <w:p>
      <w:pPr>
        <w:spacing w:after="0" w:line="208"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208" w:lineRule="exact"/>
        <w:rPr>
          <w:rFonts w:ascii="Arial" w:cs="Arial" w:eastAsia="Arial" w:hAnsi="Arial"/>
          <w:sz w:val="18"/>
          <w:szCs w:val="18"/>
          <w:color w:val="auto"/>
        </w:rPr>
      </w:pPr>
    </w:p>
    <w:p>
      <w:pPr>
        <w:ind w:left="980" w:right="60" w:hanging="324"/>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and Maryland.</w:t>
      </w:r>
    </w:p>
    <w:p>
      <w:pPr>
        <w:spacing w:after="0" w:line="19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fourth segment, Other, primarily includes Shenandoah Telecommunications Company, the parent holding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2014 Compared with the Three Months Ended June 30,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for the second quarters of 2014 and 2013 are summarized as follows: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1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81,416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77,454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3,962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65,623</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62,954</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2,669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15,793</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14,500</w:t>
            </w: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1,293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573</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85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14,301</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12,920</w:t>
            </w: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1,381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5,686</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5,078</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608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8,615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7,842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773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months ended June 30, 2014, operating revenues increased $4.0 million, or 5.1%. Wireless segment revenues increased $2.0 million compared to the second quarter of 2013. Net postpaid service revenues increased $1.2 million, driven by growth of data revenue and 4.2% year-over-year growth in average postpaid subscribers. Other Wireless revenue increased $0.6 million, as the prior year period included a $0.5 million adjustment to straight-line rent accruals related to the termination of iDEN tower leases. Cable segment revenue grew $2.1 million. A $1.1 million increase in cable service revenue reflected 6.3% growth in average subscriber counts and an increase in revenue per subscriber, while growth in equipment revenue of $1.0 million resulted primarily from an increase in customer premise equipment rents. Wireline segment revenue increased $0.4 million due primarily to an increase in affiliate revenue, which is eliminated in consolidation.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Total operating expenses were $65.6 million in the second quarter of 2014 compared to $63.0 million in the prior year period. Cost of goods and services sold increased $1.9 million, including increases of $0.7 million in cable programming costs, $0.7 million in network maintenance costs and $0.6 million in PCS handset costs. Selling, general and administrative expenses increased $0.3 million. Depreciation and amortization expense increased $0.5 million, primarily due to completion of the Network Vision upgrade project.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increased in the current year period due primarily to higher investment gains.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increased to 39.8% in the quarter ended June 30, 2014 from 39.3% in the 2013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three months ended June 30, 2014, net income increased $0.8 million, or 9.9%, primarily reflecting growth in subscriber counts and revenue per subscriber in both the wireless and cable segments.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5" w:name="page16"/>
    <w:bookmarkEnd w:id="1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Compared with the Six Months Ended June 30,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for the first six months of 2014 and 2013 are summarized as follows: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3"/>
          </w:tcPr>
          <w:p>
            <w:pPr>
              <w:jc w:val="right"/>
              <w:ind w:right="590"/>
              <w:spacing w:after="0"/>
              <w:rPr>
                <w:sz w:val="20"/>
                <w:szCs w:val="20"/>
                <w:color w:val="auto"/>
              </w:rPr>
            </w:pPr>
            <w:r>
              <w:rPr>
                <w:rFonts w:ascii="Arial" w:cs="Arial" w:eastAsia="Arial" w:hAnsi="Arial"/>
                <w:sz w:val="18"/>
                <w:szCs w:val="18"/>
                <w:color w:val="auto"/>
              </w:rPr>
              <w:t>Six Months Ended</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1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161,868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153,463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8,405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130,395</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123,755</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6,640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31,473</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29,708</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1,765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1,182</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1,157</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28,543</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26,645</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1,898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11,312</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10,452</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860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17,231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16,193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1,038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six months ended June 30, 2014, operating revenues increased $8.4 million, or 5.5%. Wireless segment revenues increased $4.9 million compared to the first six months of 2013. Net postpaid service revenues increased $2.4 million, driven by data fees and 4.3% year-over-year growth in average postpaid subscribers. Net prepaid service revenues grew $2.3 million, or 11.7%, due to 4.5% growth in average prepaid subscribers and higher average revenue per subscriber in 2014 over 2013. Cable segment revenues increased $4.1 million due to a 6.0% increase in average revenue generating units compared to the 2013 period and to a $1.1 million increase in rent revenues for customer premise equipment, due to a change in January 2014 of charging customers for their first set top box, which previously had been at no charge. Wireline segment revenue increased $1.1 million, due primarily to a $1.4 million increase in affiliate revenue, which is eliminated in consolidation.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Total operating expenses were $130.4 million in the six months ended June 30, 2014 compared to $123.8 million in the prior year period. Cost of goods and services sold increased $3.4 million, including increases of $1.5 million in network maintenance costs, $1.3 million in PCS handset costs and $0.8 million in video programming costs. Selling, general and administrative expenses increased $1.3 million, due to higher personnel costs, partially offset by lower wireless prepaid and bad debt expenses. Depreciation and amortization expense increased $1.9 million, primarily due to completion of the Network Vision upgrade project.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(expense), net</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Interest expense declined $0.1 million from the prior year period. During the first six months of 2013, the company recorded $0.1 million of interest expense charges to reflect changes in the fair value of an interest rate swap not designated as a cash flow hedge. This swap expired in July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increased to 39.6% in the six months ended June 30, 2014 from 39.2% in the 2013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the six months ended June 30, 2014, net income increased $1.0 million, or 6.4%, reflecting growth in subscriber counts and revenue per subscriber in both the Wireless and Cable segments, partially offset by increases in operating expenses incurred in support of this growth.</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16" w:name="page17"/>
    <w:bookmarkEnd w:id="16"/>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Wireless segment provides digital wireless service to a portion of a four-state area covering the region from Harrisburg, York and Altoona, Pennsylvania, to Harrisonburg, Virginia, through Shenandoah Personal Communications LLC (“PCS”), a Sprint PCS Affiliate. This segment also leases land on which it builds Company-owned cell towers, which it leases to affiliated and non-affiliated wireless service providers, throughout the same four-state area described above, through Shenandoah Mobile LLC (“Mobile”).</w:t>
      </w:r>
    </w:p>
    <w:p>
      <w:pPr>
        <w:spacing w:after="0" w:line="21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PCS receives revenues from Sprint for postpaid and prepaid subscribers that obtain service in PCS’s network coverage area. PCS relies on Sprint to provide timely, accurate and complete information to record the appropriate revenue for each financial period. Through July 31, 2013, postpaid revenues received from Sprint were recorded net of certain fees totaling 20% of net postpaid billed revenue retained by Sprint. These fees included an 8% management fee and a 12% net service fee. Effective August 1, 2013, the net service fee increased to 14%, the maximum allowed by the current Sprint Affiliate contract. The management fee remained unchanged at 8%. Sprint also retains a 6% management fee on prepaid revenues.</w:t>
      </w:r>
    </w:p>
    <w:p>
      <w:pPr>
        <w:spacing w:after="0" w:line="2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second quarter of 2014, the Company’s PCS stores began participating in Sprint’s Easy Pay handset financing program, whereby Sprint enters into a financing agreement with the subscriber and the subscriber receives a handset from Sprint. The equipment revenue from the subscriber and the expense of the handset are Sprint’s responsibility.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operating statistics of the Wireless segment as of the dates shown: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June 30,</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w w:val="90"/>
              </w:rPr>
              <w:t>December 31,</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June 30,</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2014</w:t>
            </w:r>
          </w:p>
        </w:tc>
        <w:tc>
          <w:tcPr>
            <w:tcW w:w="1360" w:type="dxa"/>
            <w:vAlign w:val="bottom"/>
          </w:tcPr>
          <w:p>
            <w:pPr>
              <w:jc w:val="right"/>
              <w:ind w:right="550"/>
              <w:spacing w:after="0"/>
              <w:rPr>
                <w:sz w:val="20"/>
                <w:szCs w:val="20"/>
                <w:color w:val="auto"/>
              </w:rPr>
            </w:pPr>
            <w:r>
              <w:rPr>
                <w:rFonts w:ascii="Arial" w:cs="Arial" w:eastAsia="Arial" w:hAnsi="Arial"/>
                <w:sz w:val="18"/>
                <w:szCs w:val="18"/>
                <w:color w:val="auto"/>
              </w:rPr>
              <w:t>2013</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2012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PCS Subscribers – Postpaid</w:t>
            </w:r>
          </w:p>
        </w:tc>
        <w:tc>
          <w:tcPr>
            <w:tcW w:w="1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277,673</w:t>
            </w:r>
          </w:p>
        </w:tc>
        <w:tc>
          <w:tcPr>
            <w:tcW w:w="1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273,721</w:t>
            </w:r>
          </w:p>
        </w:tc>
        <w:tc>
          <w:tcPr>
            <w:tcW w:w="1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266,297</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262,892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Retail PCS Subscribers – Prepaid</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138,176</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137,047</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131,372</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128,177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PCS Market POPS (000) (1)</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2,406</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2,397</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2,393</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PCS Covered POPS (000) (1)</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2,100</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2,067</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2,063</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CDMA Base Stations (sites)</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528</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526</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525</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Towers</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154</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153</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151</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Non-affiliate cell site leases (2)</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195</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217</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219</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2"/>
          </w:tcPr>
          <w:p>
            <w:pPr>
              <w:jc w:val="right"/>
              <w:ind w:right="830"/>
              <w:spacing w:after="0"/>
              <w:rPr>
                <w:sz w:val="20"/>
                <w:szCs w:val="20"/>
                <w:color w:val="auto"/>
              </w:rPr>
            </w:pPr>
            <w:r>
              <w:rPr>
                <w:rFonts w:ascii="Arial" w:cs="Arial" w:eastAsia="Arial" w:hAnsi="Arial"/>
                <w:sz w:val="18"/>
                <w:szCs w:val="18"/>
                <w:color w:val="auto"/>
              </w:rPr>
              <w:t>Three Months Ended</w:t>
            </w:r>
          </w:p>
        </w:tc>
        <w:tc>
          <w:tcPr>
            <w:tcW w:w="2560" w:type="dxa"/>
            <w:vAlign w:val="bottom"/>
            <w:gridSpan w:val="4"/>
          </w:tcPr>
          <w:p>
            <w:pPr>
              <w:jc w:val="right"/>
              <w:ind w:right="7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June 30,</w:t>
            </w:r>
          </w:p>
        </w:tc>
        <w:tc>
          <w:tcPr>
            <w:tcW w:w="1360" w:type="dxa"/>
            <w:vAlign w:val="bottom"/>
          </w:tcPr>
          <w:p>
            <w:pPr>
              <w:spacing w:after="0"/>
              <w:rPr>
                <w:sz w:val="20"/>
                <w:szCs w:val="20"/>
                <w:color w:val="auto"/>
              </w:rPr>
            </w:pPr>
          </w:p>
        </w:tc>
        <w:tc>
          <w:tcPr>
            <w:tcW w:w="2560" w:type="dxa"/>
            <w:vAlign w:val="bottom"/>
            <w:gridSpan w:val="4"/>
          </w:tcPr>
          <w:p>
            <w:pPr>
              <w:jc w:val="right"/>
              <w:ind w:right="114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2014</w:t>
            </w: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2013</w:t>
            </w: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2014</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PCS Subscriber Additions – Postpaid</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15,898</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15,184</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31,483</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Net PCS Subscriber Additions – Postpaid</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2,648</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2,340</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3,952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PCS Subscriber Additions – Prepaid</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15,286</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18,307</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34,458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Net PCS Subscriber Additions (Losses) – Prepaid</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(361)</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(3,032)</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1,129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PCS Average Monthly Retail Churn % - Postpaid (3)</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1.60%</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1.62%</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PCS Average Monthly Retail Churn % - Prepaid (3)</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3.78%</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5.33%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right="20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POPS refers to the estimated population of a given geographic area and is based on information purchased from third party sources. Market POPS are those within a market area which the Company is authorized to serve under its Sprint PCS affiliate agreements, and Covered POPS are those covered by the Company’s network.</w:t>
      </w:r>
    </w:p>
    <w:p>
      <w:pPr>
        <w:ind w:left="660" w:right="1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decrease from December 31, 2013 to June 30, 2014 is primarily a result of termination of Sprint iDEN leases associated with the former Nextel network.</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PCS Average Monthly Retail Churn is the average of the monthly subscriber turnover, or churn, calculations for the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49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85"/>
        </w:trPr>
        <w:tc>
          <w:tcPr>
            <w:tcW w:w="7120" w:type="dxa"/>
            <w:vAlign w:val="bottom"/>
            <w:gridSpan w:val="7"/>
          </w:tcPr>
          <w:p>
            <w:pPr>
              <w:jc w:val="right"/>
              <w:spacing w:after="0"/>
              <w:rPr>
                <w:sz w:val="20"/>
                <w:szCs w:val="20"/>
                <w:color w:val="auto"/>
              </w:rPr>
            </w:pPr>
            <w:r>
              <w:rPr>
                <w:rFonts w:ascii="Arial" w:cs="Arial" w:eastAsia="Arial" w:hAnsi="Arial"/>
                <w:sz w:val="18"/>
                <w:szCs w:val="18"/>
                <w:b w:val="1"/>
                <w:bCs w:val="1"/>
                <w:color w:val="auto"/>
                <w:w w:val="90"/>
              </w:rPr>
              <w:t>Three Months Ended June 30, 2014 Compared with the Three Months Ended June 30, 2013</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432"/>
        </w:trPr>
        <w:tc>
          <w:tcPr>
            <w:tcW w:w="360" w:type="dxa"/>
            <w:vAlign w:val="bottom"/>
          </w:tcPr>
          <w:p>
            <w:pPr>
              <w:spacing w:after="0"/>
              <w:rPr>
                <w:sz w:val="24"/>
                <w:szCs w:val="24"/>
                <w:color w:val="auto"/>
              </w:rPr>
            </w:pP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Segment operating revenues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Wireless service revenue</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47,868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46,362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Tower lease revenue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2,466</w:t>
            </w:r>
          </w:p>
        </w:tc>
        <w:tc>
          <w:tcPr>
            <w:tcW w:w="4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2,576</w:t>
            </w:r>
          </w:p>
        </w:tc>
        <w:tc>
          <w:tcPr>
            <w:tcW w:w="40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(110)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revenue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1,306</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1,270</w:t>
            </w: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w:t>
            </w:r>
          </w:p>
        </w:tc>
        <w:tc>
          <w:tcPr>
            <w:tcW w:w="400" w:type="dxa"/>
            <w:vAlign w:val="bottom"/>
          </w:tcPr>
          <w:p>
            <w:pPr>
              <w:spacing w:after="0"/>
              <w:rPr>
                <w:sz w:val="19"/>
                <w:szCs w:val="19"/>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577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(130.5)</w:t>
            </w: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revenues</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51,775</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49,766</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2,009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Cost of goods and services, exclusive of depreciation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18,476</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17,854</w:t>
            </w:r>
          </w:p>
        </w:tc>
        <w:tc>
          <w:tcPr>
            <w:tcW w:w="4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r>
      <w:tr>
        <w:trPr>
          <w:trHeight w:val="202"/>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40" w:type="dxa"/>
            <w:vAlign w:val="bottom"/>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 depreciation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tcPr>
          <w:p>
            <w:pPr>
              <w:ind w:left="30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7,657</w:t>
            </w:r>
          </w:p>
        </w:tc>
        <w:tc>
          <w:tcPr>
            <w:tcW w:w="4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8,068</w:t>
            </w:r>
          </w:p>
        </w:tc>
        <w:tc>
          <w:tcPr>
            <w:tcW w:w="4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(411)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8,071</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7,781</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290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Total segment operating expenses</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34,204</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33,703</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501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57"/>
        </w:trPr>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17,571</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16,063</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1,508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Wireless service revenue increased $1.5 million, or 3.2%, for the three months ended June 30, 2014, compared to the comparable 2013 period. Net postpaid service revenues increased $1.2 million, driven by data revenues and 4.2% year-over-year growth in average postpaid subscribers. As stated above, the net service fee increased from 12% of net billed revenues to 14% on August 1, 2013, reducing net postpaid service revenue by $0.9 million, approximately $0.3 million per month. Net prepaid service revenues grew $0.3 million, or 3.1%, due to 3.4% growth in average prepaid subscribers over 2013.</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decrease in tower lease revenue resulted from the termination of Sprint iDEN leases associated with the former Nextel network. Other revenue increased, as the prior year period included a $0.5 million unfavorable adjustment to straight-line rent accruals related to the termination of iDEN leases.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Cost of goods and services increased $0.6 million, or 3.5%, in 2014 from the second quarter of 2013. Postpaid handset costs increased $1.0 million, as higher volume of handset upgrades drove a $0.6 million increase and higher volume of tablets drove $0.2 million of incremental cost. Prepaid handset subsidies decreased $0.5 million on lower volume of handsets sold.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Selling, general and administrative costs decreased $0.4 million, or 5.1%, in the second quarter of 2014 from the comparable 2013 period. Costs to add new prepaid subscribers decreased $0.7 million due to lower volume of gross additions in the current year. This decrease was partially offset by growth in advertising expense and general and administrative support.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Depreciation and amortization increased $0.3 million, or 3.7%, in the second quarter of 2014 over the comparable 2013 period, following completion of Network Vision upgrades.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50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85"/>
        </w:trPr>
        <w:tc>
          <w:tcPr>
            <w:tcW w:w="6720" w:type="dxa"/>
            <w:vAlign w:val="bottom"/>
            <w:gridSpan w:val="6"/>
          </w:tcPr>
          <w:p>
            <w:pPr>
              <w:spacing w:after="0"/>
              <w:rPr>
                <w:sz w:val="20"/>
                <w:szCs w:val="20"/>
                <w:color w:val="auto"/>
              </w:rPr>
            </w:pPr>
            <w:r>
              <w:rPr>
                <w:rFonts w:ascii="Arial" w:cs="Arial" w:eastAsia="Arial" w:hAnsi="Arial"/>
                <w:sz w:val="18"/>
                <w:szCs w:val="18"/>
                <w:b w:val="1"/>
                <w:bCs w:val="1"/>
                <w:color w:val="auto"/>
                <w:w w:val="91"/>
              </w:rPr>
              <w:t>Six Months Ended June 30, 2014 Compared with the Six Months Ended June 30, 2013</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40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19"/>
                <w:szCs w:val="19"/>
                <w:color w:val="auto"/>
              </w:rPr>
            </w:pPr>
          </w:p>
        </w:tc>
        <w:tc>
          <w:tcPr>
            <w:tcW w:w="144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Segment operating revenues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Wireless service revenue</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95,100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90,427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4,673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Tower lease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5,030</w:t>
            </w:r>
          </w:p>
        </w:tc>
        <w:tc>
          <w:tcPr>
            <w:tcW w:w="4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5,137</w:t>
            </w:r>
          </w:p>
        </w:tc>
        <w:tc>
          <w:tcPr>
            <w:tcW w:w="40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(107)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Equipment revenue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2,503</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2,602</w:t>
            </w: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400" w:type="dxa"/>
            <w:vAlign w:val="bottom"/>
          </w:tcPr>
          <w:p>
            <w:pPr>
              <w:spacing w:after="0"/>
              <w:rPr>
                <w:sz w:val="19"/>
                <w:szCs w:val="19"/>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463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(190.5)</w:t>
            </w: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segment operating revenues</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102,853</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97,923</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4,930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goods and services, exclusive of depreciation and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shown separately below</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37,132</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35,385</w:t>
            </w:r>
          </w:p>
        </w:tc>
        <w:tc>
          <w:tcPr>
            <w:tcW w:w="4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1,747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r>
      <w:tr>
        <w:trPr>
          <w:trHeight w:val="202"/>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w w:val="92"/>
              </w:rPr>
              <w:t>Selling, general and administrative, exclusive of depreciation and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amortization shown separately below</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16,089</w:t>
            </w:r>
          </w:p>
        </w:tc>
        <w:tc>
          <w:tcPr>
            <w:tcW w:w="4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15,955</w:t>
            </w:r>
          </w:p>
        </w:tc>
        <w:tc>
          <w:tcPr>
            <w:tcW w:w="40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134</w:t>
            </w: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15,268</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13,809</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1,459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Total segment operating expenses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68,489</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65,149</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3,340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r>
      <w:tr>
        <w:trPr>
          <w:trHeight w:val="257"/>
        </w:trPr>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34,364</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32,774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1,590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Wireless service revenue increased $4.7 million, or 5.2%, for the six months ended June 30, 2014, compared to the comparable 2013 period. Net postpaid service revenues increased $2.4 million, driven by data revenues and 4.3% year-over-year growth in average postpaid subscribers. As stated above, the net service fee increased from 12% of net billed revenues to 14% on August 1, 2013, reducing net postpaid service revenue by $1.8 million, approximately $0.3 million per month. Net prepaid service revenues grew $2.3 million, or 11.7%, compared to the six months ended June 30, 2013. Average prepaid subscribers increased 4.5% in 2014 over 2013, with changes in the mix of subscribers accounting for the remainder of the increase in prepaid service revenues.</w:t>
      </w:r>
    </w:p>
    <w:p>
      <w:pPr>
        <w:spacing w:after="0" w:line="18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decrease in tower lease revenue resulted from the termination of Sprint iDEN leases associated with the former Nextel network. Other revenue increased, as the prior year period included a $0.5 million unfavorable adjustment to straight-line rent accruals related to the termination of iDEN leases.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5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Cost of goods and services increased $1.7 million, or 4.9%, in 2014 from the first half of 2013. Postpaid handset costs increased $2.4 million, driven primarily by higher average cost per handset sold and a higher volume of handset upgrades. Prepaid handset subsidies decreased $1.1 million on lower volume of handsets sold. Network costs increased $0.7 million, primarily due to increases in rent and backhaul costs associated with the Network Vision project. Maintenance expense grew $0.7 million due to increases in maintenance contracts that support the upgraded wireless network. These increases were largely offset by a one-time $0.4 million gain related to actual disposal costs for the Network Vision project being less than the previously accrued amounts and by $0.3 million lower costs from Sprint to service prepaid customers who take advantage of the “top-up”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Selling, general and administrative costs increased $0.1 million in the first six months of 2014 over the comparable 2013 period. Several factors contributed to this increase. Costs to add new prepaid subscribers decreased $0.9 million on lower volume of gross additions. Advertising costs grew $0.4 million as the Company increased marketing of the 4G network that was completed in the fourth quarter of 2013. Commission costs grew $0.4 million as growth in sales of higher-tier rate plans resulted in higher commission rates, primarily during the first quarter of 2014.</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9" w:name="page20"/>
    <w:bookmarkEnd w:id="19"/>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Depreciation and amortization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increased $1.5 million, 10.6%, in 2014 over the 2013 first half, following completion of Network Vision upgrades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256" w:lineRule="exact"/>
        <w:rPr>
          <w:sz w:val="20"/>
          <w:szCs w:val="20"/>
          <w:color w:val="auto"/>
        </w:rPr>
      </w:pPr>
    </w:p>
    <w:p>
      <w:pPr>
        <w:jc w:val="both"/>
        <w:ind w:right="880"/>
        <w:spacing w:after="0" w:line="264" w:lineRule="auto"/>
        <w:rPr>
          <w:sz w:val="20"/>
          <w:szCs w:val="20"/>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June 30,</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December 31,</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June 30,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2013</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Homes Passed (1)</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171,147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170,470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168,523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Customer Relationships (2)</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Video customers</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50,159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51,197</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51,591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Non-video customers</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19,730</w:t>
            </w:r>
          </w:p>
        </w:tc>
        <w:tc>
          <w:tcPr>
            <w:tcW w:w="1140" w:type="dxa"/>
            <w:vAlign w:val="bottom"/>
          </w:tcPr>
          <w:p>
            <w:pPr>
              <w:jc w:val="right"/>
              <w:spacing w:after="0"/>
              <w:rPr>
                <w:sz w:val="20"/>
                <w:szCs w:val="20"/>
                <w:color w:val="auto"/>
              </w:rPr>
            </w:pPr>
            <w:r>
              <w:rPr>
                <w:rFonts w:ascii="Arial" w:cs="Arial" w:eastAsia="Arial" w:hAnsi="Arial"/>
                <w:sz w:val="18"/>
                <w:szCs w:val="18"/>
                <w:color w:val="auto"/>
              </w:rPr>
              <w:t>18,341</w:t>
            </w:r>
          </w:p>
        </w:tc>
        <w:tc>
          <w:tcPr>
            <w:tcW w:w="2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16,731</w:t>
            </w:r>
          </w:p>
        </w:tc>
        <w:tc>
          <w:tcPr>
            <w:tcW w:w="1180" w:type="dxa"/>
            <w:vAlign w:val="bottom"/>
          </w:tcPr>
          <w:p>
            <w:pPr>
              <w:jc w:val="right"/>
              <w:spacing w:after="0"/>
              <w:rPr>
                <w:sz w:val="20"/>
                <w:szCs w:val="20"/>
                <w:color w:val="auto"/>
              </w:rPr>
            </w:pPr>
            <w:r>
              <w:rPr>
                <w:rFonts w:ascii="Arial" w:cs="Arial" w:eastAsia="Arial" w:hAnsi="Arial"/>
                <w:sz w:val="18"/>
                <w:szCs w:val="18"/>
                <w:color w:val="auto"/>
              </w:rPr>
              <w:t>15,709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customer relationships</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69,889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69,538</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68,322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Video</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Customers (3)</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51,699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53,395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Penetration (4)</w:t>
            </w:r>
          </w:p>
        </w:tc>
        <w:tc>
          <w:tcPr>
            <w:tcW w:w="1320" w:type="dxa"/>
            <w:vAlign w:val="bottom"/>
          </w:tcPr>
          <w:p>
            <w:pPr>
              <w:jc w:val="right"/>
              <w:spacing w:after="0"/>
              <w:rPr>
                <w:sz w:val="20"/>
                <w:szCs w:val="20"/>
                <w:color w:val="auto"/>
              </w:rPr>
            </w:pPr>
            <w:r>
              <w:rPr>
                <w:rFonts w:ascii="Arial" w:cs="Arial" w:eastAsia="Arial" w:hAnsi="Arial"/>
                <w:sz w:val="18"/>
                <w:szCs w:val="18"/>
                <w:color w:val="auto"/>
              </w:rPr>
              <w:t>30.2%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Digital video penetration (5)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High-speed Internet</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 Homes (6)</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168,923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166,675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163,273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Customers (3)</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48,096</w:t>
            </w:r>
          </w:p>
        </w:tc>
        <w:tc>
          <w:tcPr>
            <w:tcW w:w="1140" w:type="dxa"/>
            <w:vAlign w:val="bottom"/>
          </w:tcPr>
          <w:p>
            <w:pPr>
              <w:jc w:val="right"/>
              <w:spacing w:after="0"/>
              <w:rPr>
                <w:sz w:val="20"/>
                <w:szCs w:val="20"/>
                <w:color w:val="auto"/>
              </w:rPr>
            </w:pPr>
            <w:r>
              <w:rPr>
                <w:rFonts w:ascii="Arial" w:cs="Arial" w:eastAsia="Arial" w:hAnsi="Arial"/>
                <w:sz w:val="18"/>
                <w:szCs w:val="18"/>
                <w:color w:val="auto"/>
              </w:rPr>
              <w:t>45,776</w:t>
            </w:r>
          </w:p>
        </w:tc>
        <w:tc>
          <w:tcPr>
            <w:tcW w:w="2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42,519</w:t>
            </w:r>
          </w:p>
        </w:tc>
        <w:tc>
          <w:tcPr>
            <w:tcW w:w="1180" w:type="dxa"/>
            <w:vAlign w:val="bottom"/>
          </w:tcPr>
          <w:p>
            <w:pPr>
              <w:jc w:val="right"/>
              <w:spacing w:after="0"/>
              <w:rPr>
                <w:sz w:val="20"/>
                <w:szCs w:val="20"/>
                <w:color w:val="auto"/>
              </w:rPr>
            </w:pPr>
            <w:r>
              <w:rPr>
                <w:rFonts w:ascii="Arial" w:cs="Arial" w:eastAsia="Arial" w:hAnsi="Arial"/>
                <w:sz w:val="18"/>
                <w:szCs w:val="18"/>
                <w:color w:val="auto"/>
              </w:rPr>
              <w:t>40,981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Penetration (4)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Voice</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 Homes (6)</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166,186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163,282</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161,709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Customers (3)</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16,426</w:t>
            </w:r>
          </w:p>
        </w:tc>
        <w:tc>
          <w:tcPr>
            <w:tcW w:w="1140" w:type="dxa"/>
            <w:vAlign w:val="bottom"/>
          </w:tcPr>
          <w:p>
            <w:pPr>
              <w:jc w:val="right"/>
              <w:spacing w:after="0"/>
              <w:rPr>
                <w:sz w:val="20"/>
                <w:szCs w:val="20"/>
                <w:color w:val="auto"/>
              </w:rPr>
            </w:pPr>
            <w:r>
              <w:rPr>
                <w:rFonts w:ascii="Arial" w:cs="Arial" w:eastAsia="Arial" w:hAnsi="Arial"/>
                <w:sz w:val="18"/>
                <w:szCs w:val="18"/>
                <w:color w:val="auto"/>
              </w:rPr>
              <w:t>14,988</w:t>
            </w:r>
          </w:p>
        </w:tc>
        <w:tc>
          <w:tcPr>
            <w:tcW w:w="2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13,576</w:t>
            </w:r>
          </w:p>
        </w:tc>
        <w:tc>
          <w:tcPr>
            <w:tcW w:w="1180" w:type="dxa"/>
            <w:vAlign w:val="bottom"/>
          </w:tcPr>
          <w:p>
            <w:pPr>
              <w:jc w:val="right"/>
              <w:spacing w:after="0"/>
              <w:rPr>
                <w:sz w:val="20"/>
                <w:szCs w:val="20"/>
                <w:color w:val="auto"/>
              </w:rPr>
            </w:pPr>
            <w:r>
              <w:rPr>
                <w:rFonts w:ascii="Arial" w:cs="Arial" w:eastAsia="Arial" w:hAnsi="Arial"/>
                <w:sz w:val="18"/>
                <w:szCs w:val="18"/>
                <w:color w:val="auto"/>
              </w:rPr>
              <w:t>12,262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Penetration (4)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Revenue Generating Units (7)</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116,221</w:t>
            </w:r>
          </w:p>
        </w:tc>
        <w:tc>
          <w:tcPr>
            <w:tcW w:w="1140" w:type="dxa"/>
            <w:vAlign w:val="bottom"/>
          </w:tcPr>
          <w:p>
            <w:pPr>
              <w:jc w:val="right"/>
              <w:spacing w:after="0"/>
              <w:rPr>
                <w:sz w:val="20"/>
                <w:szCs w:val="20"/>
                <w:color w:val="auto"/>
              </w:rPr>
            </w:pPr>
            <w:r>
              <w:rPr>
                <w:rFonts w:ascii="Arial" w:cs="Arial" w:eastAsia="Arial" w:hAnsi="Arial"/>
                <w:sz w:val="18"/>
                <w:szCs w:val="18"/>
                <w:color w:val="auto"/>
              </w:rPr>
              <w:t>113,840</w:t>
            </w:r>
          </w:p>
        </w:tc>
        <w:tc>
          <w:tcPr>
            <w:tcW w:w="2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109,490</w:t>
            </w:r>
          </w:p>
        </w:tc>
        <w:tc>
          <w:tcPr>
            <w:tcW w:w="1180" w:type="dxa"/>
            <w:vAlign w:val="bottom"/>
          </w:tcPr>
          <w:p>
            <w:pPr>
              <w:jc w:val="right"/>
              <w:spacing w:after="0"/>
              <w:rPr>
                <w:sz w:val="20"/>
                <w:szCs w:val="20"/>
                <w:color w:val="auto"/>
              </w:rPr>
            </w:pPr>
            <w:r>
              <w:rPr>
                <w:rFonts w:ascii="Arial" w:cs="Arial" w:eastAsia="Arial" w:hAnsi="Arial"/>
                <w:sz w:val="18"/>
                <w:szCs w:val="18"/>
                <w:color w:val="auto"/>
              </w:rPr>
              <w:t>108,083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2,463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2,234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Fiber Miles (8)</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70,772</w:t>
            </w:r>
          </w:p>
        </w:tc>
        <w:tc>
          <w:tcPr>
            <w:tcW w:w="1140" w:type="dxa"/>
            <w:vAlign w:val="bottom"/>
          </w:tcPr>
          <w:p>
            <w:pPr>
              <w:jc w:val="right"/>
              <w:spacing w:after="0"/>
              <w:rPr>
                <w:sz w:val="20"/>
                <w:szCs w:val="20"/>
                <w:color w:val="auto"/>
              </w:rPr>
            </w:pPr>
            <w:r>
              <w:rPr>
                <w:rFonts w:ascii="Arial" w:cs="Arial" w:eastAsia="Arial" w:hAnsi="Arial"/>
                <w:sz w:val="18"/>
                <w:szCs w:val="18"/>
                <w:color w:val="auto"/>
              </w:rPr>
              <w:t>69,715</w:t>
            </w:r>
          </w:p>
        </w:tc>
        <w:tc>
          <w:tcPr>
            <w:tcW w:w="26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41,394</w:t>
            </w:r>
          </w:p>
        </w:tc>
        <w:tc>
          <w:tcPr>
            <w:tcW w:w="1180" w:type="dxa"/>
            <w:vAlign w:val="bottom"/>
          </w:tcPr>
          <w:p>
            <w:pPr>
              <w:jc w:val="right"/>
              <w:spacing w:after="0"/>
              <w:rPr>
                <w:sz w:val="20"/>
                <w:szCs w:val="20"/>
                <w:color w:val="auto"/>
              </w:rPr>
            </w:pPr>
            <w:r>
              <w:rPr>
                <w:rFonts w:ascii="Arial" w:cs="Arial" w:eastAsia="Arial" w:hAnsi="Arial"/>
                <w:sz w:val="18"/>
                <w:szCs w:val="18"/>
                <w:color w:val="auto"/>
              </w:rPr>
              <w:t>39,418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right="4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relationships represent the number of customers who receive at least one of our services.</w:t>
      </w:r>
    </w:p>
    <w:p>
      <w:pPr>
        <w:spacing w:after="0" w:line="9"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Penetration is calculated by dividing the number of customers by the number of homes passed or available homes, as appropriate.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counts as one digital video customer.</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Homes and businesses are considered available (“available homes”) if we can connect them to our distribution system without further extending the transmission lines and if we offer the service in that area.</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generating units are the sum of video, voice and high-speed internet customers.</w:t>
      </w:r>
    </w:p>
    <w:p>
      <w:pPr>
        <w:spacing w:after="0" w:line="9"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 Fiber counts were recalculated after a fiber audit and deployment of enhanced mapping software in the fourth quarter of 2013.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Months Ended June 30, 2014 Compared with the Three Months Ended June 30, 2013</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3"/>
          </w:tcPr>
          <w:p>
            <w:pPr>
              <w:jc w:val="right"/>
              <w:ind w:right="53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17,416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16,325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1,091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Equipment and other revenue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3,421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2,410</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1,011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segment operating revenues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20,837</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18,735</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2,102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ind w:left="140"/>
              <w:spacing w:after="0" w:line="201" w:lineRule="exact"/>
              <w:rPr>
                <w:sz w:val="20"/>
                <w:szCs w:val="20"/>
                <w:color w:val="auto"/>
              </w:rPr>
            </w:pPr>
            <w:r>
              <w:rPr>
                <w:rFonts w:ascii="Arial" w:cs="Arial" w:eastAsia="Arial" w:hAnsi="Arial"/>
                <w:sz w:val="18"/>
                <w:szCs w:val="18"/>
                <w:color w:val="auto"/>
              </w:rPr>
              <w:t>Cost of goods and services, exclusive of depreciation and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amortization shown separately below</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12,421</w:t>
            </w:r>
          </w:p>
        </w:tc>
        <w:tc>
          <w:tcPr>
            <w:tcW w:w="3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11,239</w:t>
            </w:r>
          </w:p>
        </w:tc>
        <w:tc>
          <w:tcPr>
            <w:tcW w:w="40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1,182</w:t>
            </w: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Selling, general and administrative, exclusive of depreciation</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amortization shown separately below</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4,735</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5,766</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5,479</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287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segment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22,922</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21,218</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1,704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Segment operating loss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398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Cable segment service revenue increased $1.1 million, or 6.7%, due to a 6.3% increase in average revenue generating units, a video rate increase in January 2014, and customers selecting higher-priced digital TV services and higher-speed data access packages.</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Growth in equipment and other revenue was driven primarily by a $0.6 million increase in customer premise equipment rents, due to a change in January 2014 of charging customers for their first set top box, which previously had been at no charge. Facility lease revenue grew $0.2 million due to new fiber to the tower contracts with third parties.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Cable segment cost of goods and services increased $1.2 million, or 10.5%, in the second quarter of 2014 over the comparable 2013 period. Video programming costs increased $0.7 million as the impact of rising rates per subscriber outpaced declining video subscriber counts. Maintenance costs increased $0.3 million due to costs to support network growth.</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grew $0.2 million due to increases in costs related to customer service and administrative functions.</w:t>
      </w:r>
    </w:p>
    <w:p>
      <w:pPr>
        <w:spacing w:after="0" w:line="2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increase in depreciation and amortization expense consists of $0.6 million of higher depreciation expense on assets placed in service, offset by lower amortization on the customer base intangible asset recorded when the cable markets were acquired. The amortization of this asset declines on the anniversary of the acquisitions.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51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w w:val="92"/>
              </w:rPr>
              <w:t>Six Months Ended June 30, 2014 Compared with the Six Months Ended June 30, 2013</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20"/>
                <w:szCs w:val="20"/>
                <w:color w:val="auto"/>
              </w:rPr>
            </w:pPr>
          </w:p>
        </w:tc>
        <w:tc>
          <w:tcPr>
            <w:tcW w:w="140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Segment operating revenues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34,840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32,487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2,353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Equipment and other revenue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6,477</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4,761</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1,716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revenues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41,317</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37,248</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4,069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Pr>
          <w:p>
            <w:pPr>
              <w:ind w:left="160"/>
              <w:spacing w:after="0" w:line="201" w:lineRule="exact"/>
              <w:rPr>
                <w:sz w:val="20"/>
                <w:szCs w:val="20"/>
                <w:color w:val="auto"/>
              </w:rPr>
            </w:pPr>
            <w:r>
              <w:rPr>
                <w:rFonts w:ascii="Arial" w:cs="Arial" w:eastAsia="Arial" w:hAnsi="Arial"/>
                <w:sz w:val="18"/>
                <w:szCs w:val="18"/>
                <w:color w:val="auto"/>
              </w:rPr>
              <w:t>Cost of goods and services, exclusive of depreciation and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amortization shown separately below</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24,811</w:t>
            </w:r>
          </w:p>
        </w:tc>
        <w:tc>
          <w:tcPr>
            <w:tcW w:w="3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22,461</w:t>
            </w:r>
          </w:p>
        </w:tc>
        <w:tc>
          <w:tcPr>
            <w:tcW w:w="40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2,350</w:t>
            </w: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Selling, general and administrative, exclusive of depreciation</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amortization shown separately below</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9,381</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8,924</w:t>
            </w: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457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11,170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10,684</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486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segment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45,362</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42,069</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3,293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Segment operating loss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776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Cable segment service revenue increased $2.4 million, or 7.2%, due to a 6.0% increase in average revenue generating units, a video rate increase in January 2014, and customers selecting higher-priced digital TV services and higher-speed data access packages.</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Growth in equipment and other revenue was driven primarily by a $1.1 million increase in customer premise equipment rents, due to a change in January 2014 of charging customers for their first set top box, which previously had been at no charge. Also, facility lease revenue grew $0.3 million due to new fiber to the tower contracts with third parties.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Cable segment cost of goods and services increased $2.4 million, or 10.5%, in the six months ended June 30, 2014 over the comparable 2013 period. Video programming costs increased $1.1 million as the impact of rising rates per subscriber outpaced declining video subscriber counts. Personnel costs increased $0.5 million due to incremental costs for health care claims and stock compensation. Maintenance costs increased $0.5 million due to costs to support network growth.</w:t>
      </w:r>
    </w:p>
    <w:p>
      <w:pPr>
        <w:spacing w:after="0" w:line="214"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color w:val="auto"/>
        </w:rPr>
        <w:t>Selling, general and administrative expenses grew $0.5 million against the prior year period as increases in costs related to customer service and administrative functions were partially offset by reductions of $0.2 million in commission expense and $0.2 million in bad debt expense.</w:t>
      </w:r>
    </w:p>
    <w:p>
      <w:pPr>
        <w:spacing w:after="0" w:line="15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increase in depreciation and amortization expense consists of $1.1 million of higher depreciation expense on network upgrades, offset by lower amortization on the customer base intangible asset recorded when the cable markets were acquired. The amortization of this asset declines on the anniversary of the acquisitions.</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22" w:name="page23"/>
    <w:bookmarkEnd w:id="22"/>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w:t>
      </w:r>
    </w:p>
    <w:p>
      <w:pPr>
        <w:spacing w:after="0" w:line="256"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and Maryland.</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June 30,</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Dec. 31,</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June 30,</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Dec. 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2013</w:t>
            </w:r>
          </w:p>
        </w:tc>
        <w:tc>
          <w:tcPr>
            <w:tcW w:w="1360" w:type="dxa"/>
            <w:vAlign w:val="bottom"/>
          </w:tcPr>
          <w:p>
            <w:pPr>
              <w:jc w:val="right"/>
              <w:ind w:right="550"/>
              <w:spacing w:after="0"/>
              <w:rPr>
                <w:sz w:val="20"/>
                <w:szCs w:val="20"/>
                <w:color w:val="auto"/>
              </w:rPr>
            </w:pPr>
            <w:r>
              <w:rPr>
                <w:rFonts w:ascii="Arial" w:cs="Arial" w:eastAsia="Arial" w:hAnsi="Arial"/>
                <w:sz w:val="18"/>
                <w:szCs w:val="18"/>
                <w:color w:val="auto"/>
              </w:rPr>
              <w:t>2013</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Telephone Access Lines</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21,842</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22,106</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22,465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Long Distance Subscribers</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9,730</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9,851</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10,065</w:t>
            </w:r>
          </w:p>
        </w:tc>
        <w:tc>
          <w:tcPr>
            <w:tcW w:w="1120" w:type="dxa"/>
            <w:vAlign w:val="bottom"/>
          </w:tcPr>
          <w:p>
            <w:pPr>
              <w:jc w:val="right"/>
              <w:spacing w:after="0"/>
              <w:rPr>
                <w:sz w:val="20"/>
                <w:szCs w:val="20"/>
                <w:color w:val="auto"/>
              </w:rPr>
            </w:pPr>
            <w:r>
              <w:rPr>
                <w:rFonts w:ascii="Arial" w:cs="Arial" w:eastAsia="Arial" w:hAnsi="Arial"/>
                <w:sz w:val="18"/>
                <w:szCs w:val="18"/>
                <w:color w:val="auto"/>
              </w:rPr>
              <w:t>10,157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Video Customers</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5,904</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6,342</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6,534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DSL Subscribers</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12,707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12,632</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12,621</w:t>
            </w:r>
          </w:p>
        </w:tc>
        <w:tc>
          <w:tcPr>
            <w:tcW w:w="1120" w:type="dxa"/>
            <w:vAlign w:val="bottom"/>
          </w:tcPr>
          <w:p>
            <w:pPr>
              <w:jc w:val="right"/>
              <w:spacing w:after="0"/>
              <w:rPr>
                <w:sz w:val="20"/>
                <w:szCs w:val="20"/>
                <w:color w:val="auto"/>
              </w:rPr>
            </w:pPr>
            <w:r>
              <w:rPr>
                <w:rFonts w:ascii="Arial" w:cs="Arial" w:eastAsia="Arial" w:hAnsi="Arial"/>
                <w:sz w:val="18"/>
                <w:szCs w:val="18"/>
                <w:color w:val="auto"/>
              </w:rPr>
              <w:t>12,611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1,455</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1,452</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1,430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Fiber Miles (1)</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85,348</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85,135</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84,414</w:t>
            </w:r>
          </w:p>
        </w:tc>
        <w:tc>
          <w:tcPr>
            <w:tcW w:w="1120" w:type="dxa"/>
            <w:vAlign w:val="bottom"/>
          </w:tcPr>
          <w:p>
            <w:pPr>
              <w:jc w:val="right"/>
              <w:spacing w:after="0"/>
              <w:rPr>
                <w:sz w:val="20"/>
                <w:szCs w:val="20"/>
                <w:color w:val="auto"/>
              </w:rPr>
            </w:pPr>
            <w:r>
              <w:rPr>
                <w:rFonts w:ascii="Arial" w:cs="Arial" w:eastAsia="Arial" w:hAnsi="Arial"/>
                <w:sz w:val="18"/>
                <w:szCs w:val="18"/>
                <w:color w:val="auto"/>
              </w:rPr>
              <w:t>84,107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0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fiber miles are measured by taking the number of fiber strands in a cable and multiplying that number by the route distance. For example, a 10 mile route with 144 fiber strands would equal 1,440 fiber miles.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2014 Compared with the Three Months Ended June 30, 2013</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49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5,627</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5,558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Access revenue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2,903</w:t>
            </w:r>
          </w:p>
        </w:tc>
        <w:tc>
          <w:tcPr>
            <w:tcW w:w="4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3,066</w:t>
            </w:r>
          </w:p>
        </w:tc>
        <w:tc>
          <w:tcPr>
            <w:tcW w:w="42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(163)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Facilities lease revenue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6,241</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5,642</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599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972</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segment operating revenues</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15,644</w:t>
            </w: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15,251</w:t>
            </w: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393</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Cost of goods and services, exclusive of depreciation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7,737</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7,198</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539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140"/>
              <w:spacing w:after="0" w:line="201" w:lineRule="exact"/>
              <w:rPr>
                <w:sz w:val="20"/>
                <w:szCs w:val="20"/>
                <w:color w:val="auto"/>
              </w:rPr>
            </w:pPr>
            <w:r>
              <w:rPr>
                <w:rFonts w:ascii="Arial" w:cs="Arial" w:eastAsia="Arial" w:hAnsi="Arial"/>
                <w:sz w:val="18"/>
                <w:szCs w:val="18"/>
                <w:color w:val="auto"/>
                <w:w w:val="94"/>
              </w:rPr>
              <w:t>Selling, general and administrative, exclusive of depreciation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1,493</w:t>
            </w:r>
          </w:p>
        </w:tc>
        <w:tc>
          <w:tcPr>
            <w:tcW w:w="4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1,251</w:t>
            </w:r>
          </w:p>
        </w:tc>
        <w:tc>
          <w:tcPr>
            <w:tcW w:w="42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242</w:t>
            </w:r>
          </w:p>
        </w:tc>
        <w:tc>
          <w:tcPr>
            <w:tcW w:w="80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2,802</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segment operating expenses</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11,883</w:t>
            </w: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11,251</w:t>
            </w: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632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(239)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Total operating revenues in the quarter ended June 30, 2014 increased $0.4 million against the comparable 2013 period. Facilities lease revenue increased $0.4 million due primarily to affiliate billings associated with Network Vision upgrades on the Wireless segment. New service contracts with third parties generated an additional $0.2 million of facilities lease revenue. The decrease in Access revenue is the result of 2013 changes in certain intrastate access charges.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23" w:name="page24"/>
    <w:bookmarkEnd w:id="23"/>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expenses</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expenses overall increased $0.6 million in the quarter ended June 30, 2014, compared to the 2013 quarter. The increase in cost of goods and services resulted primarily from a $0.4 million increase in costs to provide services to affiliates and to other customers, related to the increases in revenue shown above. Selling, general and administrative expenses increased $0.2 million due primarily to increases in costs to support sales of fiber leases and other administrative functions.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Compared with the Six Months Ended June 30, 2013</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3"/>
          </w:tcPr>
          <w:p>
            <w:pPr>
              <w:jc w:val="right"/>
              <w:ind w:right="590"/>
              <w:spacing w:after="0"/>
              <w:rPr>
                <w:sz w:val="20"/>
                <w:szCs w:val="20"/>
                <w:color w:val="auto"/>
              </w:rPr>
            </w:pPr>
            <w:r>
              <w:rPr>
                <w:rFonts w:ascii="Arial" w:cs="Arial" w:eastAsia="Arial" w:hAnsi="Arial"/>
                <w:sz w:val="18"/>
                <w:szCs w:val="18"/>
                <w:color w:val="auto"/>
              </w:rPr>
              <w:t>Six Months Ended</w:t>
            </w:r>
          </w:p>
        </w:tc>
        <w:tc>
          <w:tcPr>
            <w:tcW w:w="42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w:t>
            </w:r>
          </w:p>
        </w:tc>
        <w:tc>
          <w:tcPr>
            <w:tcW w:w="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11,211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11,021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Access revenue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5,831</w:t>
            </w: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6,315</w:t>
            </w:r>
          </w:p>
        </w:tc>
        <w:tc>
          <w:tcPr>
            <w:tcW w:w="420" w:type="dxa"/>
            <w:vAlign w:val="bottom"/>
          </w:tcPr>
          <w:p>
            <w:pPr>
              <w:spacing w:after="0"/>
              <w:rPr>
                <w:sz w:val="18"/>
                <w:szCs w:val="18"/>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(484)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Facilities lease revenue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12,685</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10,790</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1,895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1,666</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2,202</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(536)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segment operating revenues</w:t>
            </w:r>
          </w:p>
        </w:tc>
        <w:tc>
          <w:tcPr>
            <w:tcW w:w="18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31,419</w:t>
            </w: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30,351</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1,068</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Cost of goods and services, exclusive of depreciation and</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15,219</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14,364</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ind w:left="140"/>
              <w:spacing w:after="0" w:line="201" w:lineRule="exact"/>
              <w:rPr>
                <w:sz w:val="20"/>
                <w:szCs w:val="20"/>
                <w:color w:val="auto"/>
              </w:rPr>
            </w:pPr>
            <w:r>
              <w:rPr>
                <w:rFonts w:ascii="Arial" w:cs="Arial" w:eastAsia="Arial" w:hAnsi="Arial"/>
                <w:sz w:val="18"/>
                <w:szCs w:val="18"/>
                <w:color w:val="auto"/>
                <w:w w:val="94"/>
              </w:rPr>
              <w:t>Selling, general and administrative, exclusive of depreciation</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2,737</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2,612</w:t>
            </w:r>
          </w:p>
        </w:tc>
        <w:tc>
          <w:tcPr>
            <w:tcW w:w="42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125</w:t>
            </w: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5,350</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5,532</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segment operating expenses</w:t>
            </w:r>
          </w:p>
        </w:tc>
        <w:tc>
          <w:tcPr>
            <w:tcW w:w="18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23,306</w:t>
            </w: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22,508</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798</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8,113</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270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Total operating revenues in the six months ended June 30, 2014 increased $1.1 million against the comparable 2013 period. Increases in service revenue resulted primarily from increases in affiliate revenues. Facilities lease revenue increased $1.4 million due primarily to affiliate billings associated with Network Vision upgrades on the Wireless segment. New service contracts with third parties generated an additional $0.5 million of facilities lease revenue. The decrease in access revenue is the result of 2013 changes in certain intrastate access charges. Other revenue decreased $0.4 million due to the conclusion of billings for transition services to buyers of Converged Services’ properties.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Operating expenses overall increased $0.8 million in the six months ended June 30, 2014, compared to the 2013 period. The increase in cost of goods and services resulted primarily from the $0.9 million increase in costs to provide services to affiliates and to other customers, related to the increases in revenue shown above. A $0.3 million increase in network maintenance expense was offset by a $0.3 million decrease in video programming costs</w:t>
      </w:r>
      <w:r>
        <w:rPr>
          <w:rFonts w:ascii="Arial" w:cs="Arial" w:eastAsia="Arial" w:hAnsi="Arial"/>
          <w:sz w:val="16"/>
          <w:szCs w:val="16"/>
          <w:b w:val="1"/>
          <w:bCs w:val="1"/>
          <w:color w:val="auto"/>
        </w:rPr>
        <w:t>.</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4" w:name="page25"/>
    <w:bookmarkEnd w:id="24"/>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w:t>
      </w:r>
    </w:p>
    <w:p>
      <w:pPr>
        <w:spacing w:after="0" w:line="24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managing our business and assessing our financial performance, management supplements the information provided by financial statement measures prepared in accordance with GAAP with adjusted OIBDA, which is considered a “non-GAAP financial measure” under SEC rules.</w:t>
      </w:r>
    </w:p>
    <w:p>
      <w:pPr>
        <w:spacing w:after="0" w:line="17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Adjusted OIBDA is defined by us as operating income (loss) before depreciation and amortization, adjusted to exclude the effects of: certain non-recurring transactions; impairment of assets; gains and losses on asset sales; and share-based compensation expense. Adjusted OIBDA should not be construed as an alternative to operating income as determined in accordance with GAAP as a measure of operating performance.</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 capital-intensive industry such as telecommunications, management believes that adjusted OIBDA and the associated percentage margin calculations are meaningful measures of our operating performance. We use adjusted OIBDA as a supplemental performance measure because management believes it facilitates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facilitates internal comparisons of our historical operating performance, which are used by management for business planning purposes, and also facilitates comparisons of our performance relative to that of our competitors. In addition, we believe that adjusted OIBDA and similar measures are widely used by investors and financial analysts as measures of our financial performance over time, and to compare our financial performance with that of other companies in our industry.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Adjusted OIBDA has limitations as an analytical tool, and should not be considered in isolation or as a substitute for analysis of our results as reported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These limitations include the following:</w:t>
      </w:r>
    </w:p>
    <w:p>
      <w:pPr>
        <w:spacing w:after="0" w:line="23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capital expenditures;</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OIBDA does not reflect cash requirements for such replacements;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expenses incurred for the payment of income taxes; and</w:t>
      </w:r>
    </w:p>
    <w:p>
      <w:pPr>
        <w:spacing w:after="0" w:line="9" w:lineRule="exact"/>
        <w:rPr>
          <w:rFonts w:ascii="Arial" w:cs="Arial" w:eastAsia="Arial" w:hAnsi="Arial"/>
          <w:sz w:val="18"/>
          <w:szCs w:val="18"/>
          <w:color w:val="auto"/>
        </w:rPr>
      </w:pPr>
    </w:p>
    <w:p>
      <w:pPr>
        <w:ind w:left="660" w:right="94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OIBDA differently than we do, limiting its usefulness as a comparative measure.</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light of these limitations, management considers adjusted OIBDA as a financial performance measure that supplements but does not replace the information reflected in our GAAP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adjusted OIBDA for the three and six months ended June 30, 2014 and 2013.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3"/>
          </w:tcPr>
          <w:p>
            <w:pPr>
              <w:jc w:val="center"/>
              <w:ind w:right="10"/>
              <w:spacing w:after="0"/>
              <w:rPr>
                <w:sz w:val="20"/>
                <w:szCs w:val="20"/>
                <w:color w:val="auto"/>
              </w:rPr>
            </w:pPr>
            <w:r>
              <w:rPr>
                <w:rFonts w:ascii="Arial" w:cs="Arial" w:eastAsia="Arial" w:hAnsi="Arial"/>
                <w:sz w:val="18"/>
                <w:szCs w:val="18"/>
                <w:color w:val="auto"/>
                <w:w w:val="90"/>
              </w:rPr>
              <w:t>Three Months Ended</w:t>
            </w:r>
          </w:p>
        </w:tc>
        <w:tc>
          <w:tcPr>
            <w:tcW w:w="380" w:type="dxa"/>
            <w:vAlign w:val="bottom"/>
          </w:tcPr>
          <w:p>
            <w:pPr>
              <w:spacing w:after="0"/>
              <w:rPr>
                <w:sz w:val="18"/>
                <w:szCs w:val="18"/>
                <w:color w:val="auto"/>
              </w:rPr>
            </w:pPr>
          </w:p>
        </w:tc>
        <w:tc>
          <w:tcPr>
            <w:tcW w:w="2240" w:type="dxa"/>
            <w:vAlign w:val="bottom"/>
            <w:gridSpan w:val="3"/>
          </w:tcPr>
          <w:p>
            <w:pPr>
              <w:ind w:left="360"/>
              <w:spacing w:after="0"/>
              <w:rPr>
                <w:sz w:val="20"/>
                <w:szCs w:val="20"/>
                <w:color w:val="auto"/>
              </w:rPr>
            </w:pPr>
            <w:r>
              <w:rPr>
                <w:rFonts w:ascii="Arial" w:cs="Arial" w:eastAsia="Arial" w:hAnsi="Arial"/>
                <w:sz w:val="18"/>
                <w:szCs w:val="18"/>
                <w:color w:val="auto"/>
              </w:rPr>
              <w:t>Six Months Ended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520" w:type="dxa"/>
            <w:vAlign w:val="bottom"/>
            <w:gridSpan w:val="2"/>
          </w:tcPr>
          <w:p>
            <w:pPr>
              <w:ind w:left="58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c>
          <w:tcPr>
            <w:tcW w:w="1600" w:type="dxa"/>
            <w:vAlign w:val="bottom"/>
            <w:gridSpan w:val="2"/>
          </w:tcPr>
          <w:p>
            <w:pPr>
              <w:jc w:val="center"/>
              <w:ind w:left="714"/>
              <w:spacing w:after="0"/>
              <w:rPr>
                <w:sz w:val="20"/>
                <w:szCs w:val="20"/>
                <w:color w:val="auto"/>
              </w:rPr>
            </w:pPr>
            <w:r>
              <w:rPr>
                <w:rFonts w:ascii="Arial" w:cs="Arial" w:eastAsia="Arial" w:hAnsi="Arial"/>
                <w:sz w:val="18"/>
                <w:szCs w:val="18"/>
                <w:color w:val="auto"/>
                <w:w w:val="86"/>
              </w:rPr>
              <w:t>June 30,</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w w:val="98"/>
              </w:rPr>
              <w:t>June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33,043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31,260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64,773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60,894</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596"/>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894"/>
              <w:spacing w:after="0"/>
              <w:rPr>
                <w:sz w:val="20"/>
                <w:szCs w:val="20"/>
                <w:color w:val="auto"/>
              </w:rPr>
            </w:pPr>
            <w:r>
              <w:rPr>
                <w:rFonts w:ascii="Arial" w:cs="Arial" w:eastAsia="Arial" w:hAnsi="Arial"/>
                <w:sz w:val="14"/>
                <w:szCs w:val="14"/>
                <w:color w:val="auto"/>
                <w:w w:val="89"/>
              </w:rPr>
              <w:t>25</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0"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The following table reconciles adjusted OIBDA to operating income, which we consider to be the most directly comparable GAAP financial measure, for the three and six months ended June 30, 2014 and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260" w:type="dxa"/>
            <w:vAlign w:val="bottom"/>
          </w:tcPr>
          <w:p>
            <w:pPr>
              <w:spacing w:after="0"/>
              <w:rPr>
                <w:sz w:val="19"/>
                <w:szCs w:val="19"/>
                <w:color w:val="auto"/>
              </w:rPr>
            </w:pPr>
          </w:p>
        </w:tc>
        <w:tc>
          <w:tcPr>
            <w:tcW w:w="2480" w:type="dxa"/>
            <w:vAlign w:val="bottom"/>
            <w:gridSpan w:val="4"/>
          </w:tcPr>
          <w:p>
            <w:pPr>
              <w:ind w:left="30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9"/>
                <w:szCs w:val="19"/>
                <w:color w:val="auto"/>
              </w:rPr>
            </w:pPr>
          </w:p>
        </w:tc>
        <w:tc>
          <w:tcPr>
            <w:tcW w:w="2320" w:type="dxa"/>
            <w:vAlign w:val="bottom"/>
            <w:gridSpan w:val="4"/>
          </w:tcPr>
          <w:p>
            <w:pPr>
              <w:ind w:left="360"/>
              <w:spacing w:after="0"/>
              <w:rPr>
                <w:sz w:val="20"/>
                <w:szCs w:val="20"/>
                <w:color w:val="auto"/>
              </w:rPr>
            </w:pPr>
            <w:r>
              <w:rPr>
                <w:rFonts w:ascii="Arial" w:cs="Arial" w:eastAsia="Arial" w:hAnsi="Arial"/>
                <w:sz w:val="18"/>
                <w:szCs w:val="18"/>
                <w:color w:val="auto"/>
              </w:rPr>
              <w:t>Six Months Ended</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15,793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31,473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16,595</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16,071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31,983</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30,042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2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1,560</w:t>
            </w:r>
          </w:p>
        </w:tc>
        <w:tc>
          <w:tcPr>
            <w:tcW w:w="4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33,043</w:t>
            </w:r>
          </w:p>
        </w:tc>
        <w:tc>
          <w:tcPr>
            <w:tcW w:w="4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31,260</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64,773</w:t>
            </w:r>
          </w:p>
        </w:tc>
        <w:tc>
          <w:tcPr>
            <w:tcW w:w="4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reconcile adjusted OIBDA to operating income by major segment for the three and six months ended June 30, 2014 and 2013:</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Wireless Segment:</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9"/>
                <w:szCs w:val="19"/>
                <w:color w:val="auto"/>
              </w:rPr>
            </w:pPr>
          </w:p>
        </w:tc>
        <w:tc>
          <w:tcPr>
            <w:tcW w:w="2320" w:type="dxa"/>
            <w:vAlign w:val="bottom"/>
            <w:gridSpan w:val="4"/>
          </w:tcPr>
          <w:p>
            <w:pPr>
              <w:jc w:val="center"/>
              <w:ind w:right="260"/>
              <w:spacing w:after="0"/>
              <w:rPr>
                <w:sz w:val="20"/>
                <w:szCs w:val="20"/>
                <w:color w:val="auto"/>
              </w:rPr>
            </w:pPr>
            <w:r>
              <w:rPr>
                <w:rFonts w:ascii="Arial" w:cs="Arial" w:eastAsia="Arial" w:hAnsi="Arial"/>
                <w:sz w:val="18"/>
                <w:szCs w:val="18"/>
                <w:color w:val="auto"/>
                <w:w w:val="91"/>
              </w:rPr>
              <w:t>Six Months Ended</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left="57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left="53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17,571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34,364</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8,071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7,781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15,268</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13,809</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328</w:t>
            </w:r>
          </w:p>
        </w:tc>
        <w:tc>
          <w:tcPr>
            <w:tcW w:w="4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25,813</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24,007</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49,667</w:t>
            </w:r>
          </w:p>
        </w:tc>
        <w:tc>
          <w:tcPr>
            <w:tcW w:w="4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8"/>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Cable Segment:</w:t>
            </w: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Arial" w:cs="Arial" w:eastAsia="Arial" w:hAnsi="Arial"/>
                <w:sz w:val="18"/>
                <w:szCs w:val="18"/>
                <w:color w:val="auto"/>
                <w:w w:val="91"/>
              </w:rPr>
              <w:t>Six Months Ended</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left="57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left="53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34"/>
        </w:trPr>
        <w:tc>
          <w:tcPr>
            <w:tcW w:w="4260" w:type="dxa"/>
            <w:vAlign w:val="bottom"/>
            <w:gridSpan w:val="2"/>
          </w:tcPr>
          <w:p>
            <w:pPr>
              <w:spacing w:after="0"/>
              <w:rPr>
                <w:sz w:val="2"/>
                <w:szCs w:val="2"/>
                <w:color w:val="auto"/>
              </w:rPr>
            </w:pPr>
          </w:p>
        </w:tc>
        <w:tc>
          <w:tcPr>
            <w:tcW w:w="20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5,766</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5,479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11,170</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10,684</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50"/>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196</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584</w:t>
            </w: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r>
      <w:tr>
        <w:trPr>
          <w:trHeight w:val="291"/>
        </w:trPr>
        <w:tc>
          <w:tcPr>
            <w:tcW w:w="20" w:type="dxa"/>
            <w:vAlign w:val="bottom"/>
          </w:tcPr>
          <w:p>
            <w:pPr>
              <w:spacing w:after="0"/>
              <w:rPr>
                <w:sz w:val="24"/>
                <w:szCs w:val="2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20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3,916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7,725</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w:t>
            </w: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8"/>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Wireline Segment:</w:t>
            </w: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Arial" w:cs="Arial" w:eastAsia="Arial" w:hAnsi="Arial"/>
                <w:sz w:val="18"/>
                <w:szCs w:val="18"/>
                <w:color w:val="auto"/>
                <w:w w:val="91"/>
              </w:rPr>
              <w:t>Six Months Ended</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left="57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left="53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34"/>
        </w:trPr>
        <w:tc>
          <w:tcPr>
            <w:tcW w:w="4260" w:type="dxa"/>
            <w:vAlign w:val="bottom"/>
            <w:gridSpan w:val="2"/>
          </w:tcPr>
          <w:p>
            <w:pPr>
              <w:spacing w:after="0"/>
              <w:rPr>
                <w:sz w:val="2"/>
                <w:szCs w:val="2"/>
                <w:color w:val="auto"/>
              </w:rPr>
            </w:pPr>
          </w:p>
        </w:tc>
        <w:tc>
          <w:tcPr>
            <w:tcW w:w="20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3,761</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8,113</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2,653</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5,350</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5,532</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Plus loss on asset sales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280</w:t>
            </w:r>
          </w:p>
        </w:tc>
        <w:tc>
          <w:tcPr>
            <w:tcW w:w="4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82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6,542</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8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13,778</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13,690</w:t>
            </w:r>
          </w:p>
        </w:tc>
        <w:tc>
          <w:tcPr>
            <w:tcW w:w="100" w:type="dxa"/>
            <w:vAlign w:val="bottom"/>
            <w:shd w:val="clear" w:color="auto" w:fill="CCEEFF"/>
          </w:tcPr>
          <w:p>
            <w:pPr>
              <w:spacing w:after="0"/>
              <w:rPr>
                <w:sz w:val="22"/>
                <w:szCs w:val="22"/>
                <w:color w:val="auto"/>
              </w:rPr>
            </w:pPr>
          </w:p>
        </w:tc>
      </w:tr>
      <w:tr>
        <w:trPr>
          <w:trHeight w:val="346"/>
        </w:trPr>
        <w:tc>
          <w:tcPr>
            <w:tcW w:w="20" w:type="dxa"/>
            <w:vAlign w:val="bottom"/>
          </w:tcPr>
          <w:p>
            <w:pPr>
              <w:spacing w:after="0"/>
              <w:rPr>
                <w:sz w:val="24"/>
                <w:szCs w:val="24"/>
                <w:color w:val="auto"/>
              </w:rPr>
            </w:pPr>
          </w:p>
        </w:tc>
        <w:tc>
          <w:tcPr>
            <w:tcW w:w="4240" w:type="dxa"/>
            <w:vAlign w:val="bottom"/>
            <w:tcBorders>
              <w:top w:val="single" w:sz="8" w:color="CCEEFF"/>
            </w:tcBorders>
          </w:tcPr>
          <w:p>
            <w:pPr>
              <w:spacing w:after="0"/>
              <w:rPr>
                <w:sz w:val="24"/>
                <w:szCs w:val="24"/>
                <w:color w:val="auto"/>
              </w:rPr>
            </w:pPr>
          </w:p>
        </w:tc>
        <w:tc>
          <w:tcPr>
            <w:tcW w:w="1820" w:type="dxa"/>
            <w:vAlign w:val="bottom"/>
            <w:tcBorders>
              <w:top w:val="single" w:sz="8" w:color="CCEEFF"/>
            </w:tcBorders>
          </w:tcPr>
          <w:p>
            <w:pPr>
              <w:jc w:val="right"/>
              <w:ind w:right="219"/>
              <w:spacing w:after="0"/>
              <w:rPr>
                <w:sz w:val="20"/>
                <w:szCs w:val="20"/>
                <w:color w:val="auto"/>
              </w:rPr>
            </w:pPr>
            <w:r>
              <w:rPr>
                <w:rFonts w:ascii="Arial" w:cs="Arial" w:eastAsia="Arial" w:hAnsi="Arial"/>
                <w:sz w:val="14"/>
                <w:szCs w:val="14"/>
                <w:color w:val="auto"/>
              </w:rPr>
              <w:t>26</w:t>
            </w: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4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 has four principal sources of funds available to meet the financing needs of its operations, capital projects, debt service, investments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Sources and Uses of Cash</w:t>
      </w:r>
      <w:r>
        <w:rPr>
          <w:rFonts w:ascii="Arial" w:cs="Arial" w:eastAsia="Arial" w:hAnsi="Arial"/>
          <w:sz w:val="18"/>
          <w:szCs w:val="18"/>
          <w:color w:val="auto"/>
        </w:rPr>
        <w:t>. The Company generated $66.6 million of net cash from operations in the first six months of 2014, compared to $52.2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2013, driven primarily by utilization of excess tax payments carried over to 2014 from 2013.</w:t>
      </w:r>
    </w:p>
    <w:p>
      <w:pPr>
        <w:spacing w:after="0" w:line="197"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As of June 30, 2014, the Company’s indebtedness totaled $230.0 million, with an annualized overall weighted average interest rate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3.40% after considering the impact of the swap contract. Patronage credits provided by the lender reduce the effective cost of our debt by approximately 69 basis points to an effective rate of approximately 2.71%. The Company has $50 million available under the Revolving Facility, and the right to borrow up to $100 million under one or more Incremental Term Loan facilities, subject to certain restrictions. The Revolving Facility and Incremental Term Loan Facility are both subject to the terms of the Restated and Amended Credit Agreement entered into in September 2012.</w:t>
      </w:r>
    </w:p>
    <w:p>
      <w:pPr>
        <w:spacing w:after="0" w:line="15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is bound by certain financial covenants under its Credit Agreement. Noncompliance with any one or more of the debt covenants may have an adverse effect on our financial condition or liquidity in the event such noncompliance cannot be cured or should we be unable to obtain a waiver from the lenders. As of June 30, 2014, the Company was in compliance with all debt covenants, and ratios at June 30, 2014 were as follows:</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Covenant Requirement at</w:t>
            </w:r>
          </w:p>
        </w:tc>
      </w:tr>
      <w:tr>
        <w:trPr>
          <w:trHeight w:val="264"/>
        </w:trPr>
        <w:tc>
          <w:tcPr>
            <w:tcW w:w="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5"/>
              </w:rPr>
              <w:t>Actual</w:t>
            </w:r>
          </w:p>
        </w:tc>
        <w:tc>
          <w:tcPr>
            <w:tcW w:w="4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June 30, 2014</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Leverage Ratio</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2.50 or Lower</w:t>
            </w: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Debt Service Coverage Ratio</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13.87</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2.50 or Higher</w:t>
            </w: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to Assets Ratio</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32.5% or Higher</w:t>
            </w:r>
          </w:p>
        </w:tc>
      </w:tr>
    </w:tbl>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accordance with the Credit Agreement, the total leverage and debt service coverage ratios noted above are based on the twelve months ended June 30, 2014. In addition to the covenants above, the Company is required to supply the lender with quarterly financial statements and other reports as defined by the Credit Agreement. The Company was in compliance with all reporting requirements at June 30, 2014.</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no off-balance sheet arrangements (other than operating leases) and has not entered into any transactions involving unconsolidated, limited purpose entities or commodity contracts.</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Capital Commitments. </w:t>
      </w:r>
      <w:r>
        <w:rPr>
          <w:rFonts w:ascii="Arial" w:cs="Arial" w:eastAsia="Arial" w:hAnsi="Arial"/>
          <w:sz w:val="17"/>
          <w:szCs w:val="17"/>
          <w:color w:val="auto"/>
        </w:rPr>
        <w:t>Capital expenditures budgeted for 2014 total $74 million. Approximately $18 million of this will be spent to maintain current networks</w:t>
      </w:r>
      <w:r>
        <w:rPr>
          <w:rFonts w:ascii="Arial" w:cs="Arial" w:eastAsia="Arial" w:hAnsi="Arial"/>
          <w:sz w:val="17"/>
          <w:szCs w:val="17"/>
          <w:i w:val="1"/>
          <w:iCs w:val="1"/>
          <w:color w:val="auto"/>
        </w:rPr>
        <w:t xml:space="preserve"> </w:t>
      </w:r>
      <w:r>
        <w:rPr>
          <w:rFonts w:ascii="Arial" w:cs="Arial" w:eastAsia="Arial" w:hAnsi="Arial"/>
          <w:sz w:val="17"/>
          <w:szCs w:val="17"/>
          <w:color w:val="auto"/>
        </w:rPr>
        <w:t>and an additional $18 million will be spent on capacity, in wireless and cable, primarily to keep up with the growing demand for broadband. The budget contemplates $22 million for network expansion. These expenditures are to build new cell sites, additional fiber routes, fiber to tower sites and to expand the cable network footprint. The budget includes $16 million of success-based spending that will only be spent if there are new revenues to support the expenditures. This would include building a fiber extension to connect a new customer or premise equipment for a new cable customer. Approximately $17 million of the $74 million budget for 2014 are projects that were delayed from 2013.</w:t>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first six months of 2014, the Company spent $32.8 million on capital projects, compared to $48.5 million in the comparable 2013 period. Spending related to Wireless projects accounted for $15.7 million in the first six months of 2014, primarily for continued network expansion and upgrades of 4G LTE capacity. Cable capital spending of $9.7 million related to network expansion and upgrades to support new services or customers. Wireline projects accounted for $4.8 million, driven primarily by fiber builds and switching/routing capability. Other projects totaled $2.6 million, largely related to information technology projects.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0"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The Company believes that cash on hand, cash flow from operations and borrowings expected to be available under the Company’s existing credit facilities will provide sufficient cash to enable the Company to fund planned capital expenditures, make scheduled principal and interest payments, meet its other cash requirements and maintain compliance with the terms of its financing agreements for at least the next twelve months. Thereafter, capital expenditures will likely continue to be required to provide increased capacity to meet the Company’s expected growth in demand for its products and services. The actual amount and timing of the Company’s future capital requirements may differ materially from the Company’s estimate depending on the demand for its products and new market developments and opportunities.</w:t>
      </w:r>
    </w:p>
    <w:p>
      <w:pPr>
        <w:spacing w:after="0" w:line="21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cash flows from operations could be adversely affected by events outside the Company’s control, including, without limitation, changes in overall economic conditions, regulatory requirements, changes in technologies, demand for its products, availability of labor resources and capital, changes in the Company’s relationship with Sprint, and other conditions. The Wireless segment’s operations are dependent upon Sprint’s ability to execute certain functions such as billing, customer care, and collections; the subsidiary’s ability to develop and implement successful marketing programs and new products and services; and the subsidiary’s ability to effectively and economically manage other operating activities under the Company's agreements with Sprint. The Company's ability to attract and maintain a sufficient customer base, particularly in the acquired cable markets, is also critical to its ability to maintain a positive cash flow from operations. The foregoing events individually or collectively could affect the Company’s results.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May 28, 2014, the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three components. The first component is outstanding debt with variable rates. As of June 30, 2014, the Company had $230.0 million of variable rate debt outstanding, bearing interest at a rate of 2.65% as determined on a monthly basis. An increase in market interest rates of 1.00% would add approximately $2.3 million to annual interest expense, excluding the effect of the interest rate swap. In 2012, the Company entered into a swap agreement that covers notional principal equal to approximately 76% of the outstanding variable rate debt through maturity in 2019, requiring the Company to pay a fixed rate of 1.13% and receive a variable rate based on one month LIBOR, to manage a portion of its interest rate risk. The 2012 swap currently adds approximately $1.6 million to annual interest expense, based on the spread between the fixed rate and the variable rate currently in effect on our debt.</w:t>
      </w:r>
    </w:p>
    <w:p>
      <w:pPr>
        <w:spacing w:after="0" w:line="1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second component of interest rate risk consists of temporary excess cash, which can be invested in various short-term investment vehicles such as overnight repurchase agreements and Treasury bills with a maturity of less than 90 days. The cash is currently invested in a combination of a commercial checking account that has limited interest rate risk, and three money market mutual funds that contain a total investment of $40 million. Management continues to evaluate the most beneficial use of these funds.</w:t>
      </w:r>
    </w:p>
    <w:p>
      <w:pPr>
        <w:spacing w:after="0" w:line="2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third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A Facility, the applicable interest rate margin on the Term Loan A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June 30, 2014, the Company has $55.4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Executive Supplemental Retirement Plan. General economic conditions affected by regulatory changes, competition or other external influences may pose a higher risk to the Company’s overall results.</w:t>
      </w:r>
    </w:p>
    <w:p>
      <w:pPr>
        <w:spacing w:after="0" w:line="21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of June 30, 2014, the Company has $7.0 million of cost and equity method investments. Approximately $4.3 million consists of illiquid required investments related to business, regulatory or lending arrangements necessary to access services. An additional $0.3 million consists of investments in telephone-related business consortiums. The remaining $2.4 million is invested in privately held companies through an investment with a portfolio manager. Most of the companies are in an early stage of development and significant increases in interest rates could have an adverse impact on their results, ability to raise capital and viability. The Company’s market risk is limited to the funds previously invested.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Management, with the participation of our President and Chief Executive Officer, who is the principal executive officer, and the Vice President - Finance and Chief Financial Officer, who is the principal financial officer, conducted an evaluation of our disclosure controls and procedures, as defined by Rule 13a-15(e) under the Securities Exchange Act of 1934.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issued by the Committee of Sponsoring Organizations of the Treadway Commission, the Company's principal executive officer and its principal financial officer concluded that the Company's disclosure controls and procedures were effective as of June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second quarter of 2014, there were no changes in the Company's internal control over financial reporting that have materially affected, or are reasonably likely to materially affect, its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Relating to Internal Control Over Financial Reporting</w:t>
      </w:r>
    </w:p>
    <w:p>
      <w:pPr>
        <w:spacing w:after="0" w:line="25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Under the Company’s agreements with Sprint, Sprint provides the Company with billing, collections, customer care, certain network operations and other back-office services for the PCS operation. As a result, Sprint remits to the Company approximately 59% of the Company’s total operating revenues. Due to this relationship, the Company necessarily relies on Sprint to provide accurate, timely and sufficient data and information to properly record the Company’s revenues and accounts receivable, which underlie a substantial portion of the Company’s periodic financial statements and other financial disclosures.</w:t>
      </w:r>
    </w:p>
    <w:p>
      <w:pPr>
        <w:spacing w:after="0" w:line="18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Information provided by Sprint includes reports regarding the subscriber accounts receivable in the Company’s markets. Sprint provides the Company with monthly accounts receivable, billing and cash receipts information on a market level, rather than a subscriber level. The Company reviews these various reports to identify discrepancies or errors. Under the Company’s agreements with Sprint, the Company is entitled to only a portion of the receipts, net of items such as taxes, government surcharges, certain allocable write-offs and the 22.0% of revenue retained by Sprint. Because of the Company’s reliance on Sprint for financial information, the Company must depend on Sprint to design adequate internal controls with respect to the processes established to provide this data and information to the Company and Sprint’s other Sprint PCS affiliate network partners. To address this issue, Sprint engages an independent registered public accounting firm to perform a periodic evaluation of these controls and to provide a “Report on Controls Placed in Operation and Tests of Operating Effectiveness” under guidance provided in Statements on Standards for Attestation Engagements No. 16 (“SSAE 16”). The report is provided to the Company on an annual basis and covers a nine-month period. The most recent report covered the period from January 1, 2013 to September 30, 2013. The most recent report indicated there were no material issues which would adversely affect the information used to support the recording of the revenues provided by Sprint related to the Company’s relationship with them.</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previously discussed, our actual results could differ materially from our forward-looking statements. There have been no material changes in the risk factors from those described in Part 1, Item 1A of the Company’s Annual Report on Form 10-K for the fiscal year ended December 31, 2013.</w:t>
      </w:r>
    </w:p>
    <w:p>
      <w:pPr>
        <w:spacing w:after="0" w:line="14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conjunction with exercises of stock options and distributions of vested share awards, the Company periodically repurchases shares from recipients to cover some of the exercise price of the options being exercised or taxes payable associated with the distribution of shares. The following table provides information about the Company’s repurchases of shares during the three months ended June 30, 2014:</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Number of Shares</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Average Price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20" w:type="dxa"/>
            <w:vAlign w:val="bottom"/>
            <w:gridSpan w:val="2"/>
          </w:tcPr>
          <w:p>
            <w:pPr>
              <w:jc w:val="right"/>
              <w:ind w:right="640"/>
              <w:spacing w:after="0"/>
              <w:rPr>
                <w:sz w:val="20"/>
                <w:szCs w:val="20"/>
                <w:color w:val="auto"/>
              </w:rPr>
            </w:pPr>
            <w:r>
              <w:rPr>
                <w:rFonts w:ascii="Arial" w:cs="Arial" w:eastAsia="Arial" w:hAnsi="Arial"/>
                <w:sz w:val="18"/>
                <w:szCs w:val="18"/>
                <w:color w:val="auto"/>
              </w:rPr>
              <w:t>Purchased</w:t>
            </w:r>
          </w:p>
        </w:tc>
        <w:tc>
          <w:tcPr>
            <w:tcW w:w="18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Paid per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Share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April 1 to April 30</w:t>
            </w:r>
          </w:p>
        </w:tc>
        <w:tc>
          <w:tcPr>
            <w:tcW w:w="148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4"/>
              </w:rPr>
              <w:t>28.07</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May 1 to May 31</w:t>
            </w:r>
          </w:p>
        </w:tc>
        <w:tc>
          <w:tcPr>
            <w:tcW w:w="3300" w:type="dxa"/>
            <w:vAlign w:val="bottom"/>
            <w:gridSpan w:val="3"/>
          </w:tcPr>
          <w:p>
            <w:pPr>
              <w:jc w:val="right"/>
              <w:ind w:right="180"/>
              <w:spacing w:after="0"/>
              <w:rPr>
                <w:sz w:val="20"/>
                <w:szCs w:val="20"/>
                <w:color w:val="auto"/>
              </w:rPr>
            </w:pPr>
            <w:r>
              <w:rPr>
                <w:rFonts w:ascii="Arial" w:cs="Arial" w:eastAsia="Arial" w:hAnsi="Arial"/>
                <w:sz w:val="18"/>
                <w:szCs w:val="18"/>
                <w:color w:val="auto"/>
              </w:rPr>
              <w:t>5,822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25.85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June 1 to June 30</w:t>
            </w:r>
          </w:p>
        </w:tc>
        <w:tc>
          <w:tcPr>
            <w:tcW w:w="14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27.94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vMerge w:val="continue"/>
          </w:tcPr>
          <w:p>
            <w:pPr>
              <w:spacing w:after="0"/>
              <w:rPr>
                <w:sz w:val="22"/>
                <w:szCs w:val="22"/>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26.55</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300" w:type="dxa"/>
            <w:vAlign w:val="bottom"/>
          </w:tcPr>
          <w:p>
            <w:pPr>
              <w:spacing w:after="0"/>
              <w:rPr>
                <w:sz w:val="24"/>
                <w:szCs w:val="24"/>
                <w:color w:val="auto"/>
              </w:rPr>
            </w:pPr>
          </w:p>
        </w:tc>
        <w:tc>
          <w:tcPr>
            <w:tcW w:w="2340" w:type="dxa"/>
            <w:vAlign w:val="bottom"/>
            <w:tcBorders>
              <w:top w:val="single" w:sz="8" w:color="CCEEFF"/>
            </w:tcBorders>
          </w:tcPr>
          <w:p>
            <w:pPr>
              <w:spacing w:after="0"/>
              <w:rPr>
                <w:sz w:val="24"/>
                <w:szCs w:val="24"/>
                <w:color w:val="auto"/>
              </w:rPr>
            </w:pPr>
          </w:p>
        </w:tc>
        <w:tc>
          <w:tcPr>
            <w:tcW w:w="1480" w:type="dxa"/>
            <w:vAlign w:val="bottom"/>
            <w:tcBorders>
              <w:top w:val="single" w:sz="8" w:color="CCEEFF"/>
            </w:tcBorders>
          </w:tcPr>
          <w:p>
            <w:pPr>
              <w:jc w:val="right"/>
              <w:ind w:right="256"/>
              <w:spacing w:after="0"/>
              <w:rPr>
                <w:sz w:val="20"/>
                <w:szCs w:val="20"/>
                <w:color w:val="auto"/>
              </w:rPr>
            </w:pPr>
            <w:r>
              <w:rPr>
                <w:rFonts w:ascii="Arial" w:cs="Arial" w:eastAsia="Arial" w:hAnsi="Arial"/>
                <w:sz w:val="14"/>
                <w:szCs w:val="14"/>
                <w:color w:val="auto"/>
              </w:rPr>
              <w:t>31</w:t>
            </w:r>
          </w:p>
        </w:tc>
        <w:tc>
          <w:tcPr>
            <w:tcW w:w="16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3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with this Quarterly Report on Form 10-Q:</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101.INS</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Instance Document</w:t>
            </w:r>
          </w:p>
        </w:tc>
      </w:tr>
      <w:tr>
        <w:trPr>
          <w:trHeight w:val="243"/>
        </w:trPr>
        <w:tc>
          <w:tcPr>
            <w:tcW w:w="1700" w:type="dxa"/>
            <w:vAlign w:val="bottom"/>
          </w:tcPr>
          <w:p>
            <w:pPr>
              <w:spacing w:after="0"/>
              <w:rPr>
                <w:sz w:val="21"/>
                <w:szCs w:val="21"/>
                <w:color w:val="auto"/>
              </w:rPr>
            </w:pPr>
          </w:p>
        </w:tc>
        <w:tc>
          <w:tcPr>
            <w:tcW w:w="9720" w:type="dxa"/>
            <w:vAlign w:val="bottom"/>
          </w:tcPr>
          <w:p>
            <w:pPr>
              <w:spacing w:after="0"/>
              <w:rPr>
                <w:sz w:val="21"/>
                <w:szCs w:val="21"/>
                <w:color w:val="auto"/>
              </w:rPr>
            </w:pPr>
          </w:p>
        </w:tc>
      </w:tr>
      <w:tr>
        <w:trPr>
          <w:trHeight w:val="216"/>
        </w:trPr>
        <w:tc>
          <w:tcPr>
            <w:tcW w:w="1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101.SCH</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700" w:type="dxa"/>
            <w:vAlign w:val="bottom"/>
          </w:tcPr>
          <w:p>
            <w:pPr>
              <w:spacing w:after="0"/>
              <w:rPr>
                <w:sz w:val="21"/>
                <w:szCs w:val="21"/>
                <w:color w:val="auto"/>
              </w:rPr>
            </w:pPr>
          </w:p>
        </w:tc>
        <w:tc>
          <w:tcPr>
            <w:tcW w:w="9720" w:type="dxa"/>
            <w:vAlign w:val="bottom"/>
          </w:tcPr>
          <w:p>
            <w:pPr>
              <w:spacing w:after="0"/>
              <w:rPr>
                <w:sz w:val="21"/>
                <w:szCs w:val="21"/>
                <w:color w:val="auto"/>
              </w:rPr>
            </w:pPr>
          </w:p>
        </w:tc>
      </w:tr>
      <w:tr>
        <w:trPr>
          <w:trHeight w:val="216"/>
        </w:trPr>
        <w:tc>
          <w:tcPr>
            <w:tcW w:w="1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101.CAL</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700" w:type="dxa"/>
            <w:vAlign w:val="bottom"/>
          </w:tcPr>
          <w:p>
            <w:pPr>
              <w:spacing w:after="0"/>
              <w:rPr>
                <w:sz w:val="21"/>
                <w:szCs w:val="21"/>
                <w:color w:val="auto"/>
              </w:rPr>
            </w:pPr>
          </w:p>
        </w:tc>
        <w:tc>
          <w:tcPr>
            <w:tcW w:w="9720" w:type="dxa"/>
            <w:vAlign w:val="bottom"/>
          </w:tcPr>
          <w:p>
            <w:pPr>
              <w:spacing w:after="0"/>
              <w:rPr>
                <w:sz w:val="21"/>
                <w:szCs w:val="21"/>
                <w:color w:val="auto"/>
              </w:rPr>
            </w:pPr>
          </w:p>
        </w:tc>
      </w:tr>
      <w:tr>
        <w:trPr>
          <w:trHeight w:val="216"/>
        </w:trPr>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101.DEF</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700" w:type="dxa"/>
            <w:vAlign w:val="bottom"/>
          </w:tcPr>
          <w:p>
            <w:pPr>
              <w:spacing w:after="0"/>
              <w:rPr>
                <w:sz w:val="21"/>
                <w:szCs w:val="21"/>
                <w:color w:val="auto"/>
              </w:rPr>
            </w:pPr>
          </w:p>
        </w:tc>
        <w:tc>
          <w:tcPr>
            <w:tcW w:w="9720" w:type="dxa"/>
            <w:vAlign w:val="bottom"/>
          </w:tcPr>
          <w:p>
            <w:pPr>
              <w:spacing w:after="0"/>
              <w:rPr>
                <w:sz w:val="21"/>
                <w:szCs w:val="21"/>
                <w:color w:val="auto"/>
              </w:rPr>
            </w:pPr>
          </w:p>
        </w:tc>
      </w:tr>
      <w:tr>
        <w:trPr>
          <w:trHeight w:val="216"/>
        </w:trPr>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101.LAB</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700" w:type="dxa"/>
            <w:vAlign w:val="bottom"/>
          </w:tcPr>
          <w:p>
            <w:pPr>
              <w:spacing w:after="0"/>
              <w:rPr>
                <w:sz w:val="21"/>
                <w:szCs w:val="21"/>
                <w:color w:val="auto"/>
              </w:rPr>
            </w:pPr>
          </w:p>
        </w:tc>
        <w:tc>
          <w:tcPr>
            <w:tcW w:w="9720" w:type="dxa"/>
            <w:vAlign w:val="bottom"/>
          </w:tcPr>
          <w:p>
            <w:pPr>
              <w:spacing w:after="0"/>
              <w:rPr>
                <w:sz w:val="21"/>
                <w:szCs w:val="21"/>
                <w:color w:val="auto"/>
              </w:rPr>
            </w:pPr>
          </w:p>
        </w:tc>
      </w:tr>
      <w:tr>
        <w:trPr>
          <w:trHeight w:val="216"/>
        </w:trPr>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101.PRE</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53"/>
        </w:trPr>
        <w:tc>
          <w:tcPr>
            <w:tcW w:w="1700" w:type="dxa"/>
            <w:vAlign w:val="bottom"/>
          </w:tcPr>
          <w:p>
            <w:pPr>
              <w:spacing w:after="0"/>
              <w:rPr>
                <w:sz w:val="24"/>
                <w:szCs w:val="24"/>
                <w:color w:val="auto"/>
              </w:rPr>
            </w:pPr>
          </w:p>
        </w:tc>
        <w:tc>
          <w:tcPr>
            <w:tcW w:w="9720" w:type="dxa"/>
            <w:vAlign w:val="bottom"/>
          </w:tcPr>
          <w:p>
            <w:pPr>
              <w:ind w:left="3940"/>
              <w:spacing w:after="0"/>
              <w:rPr>
                <w:sz w:val="20"/>
                <w:szCs w:val="20"/>
                <w:color w:val="auto"/>
              </w:rPr>
            </w:pPr>
            <w:r>
              <w:rPr>
                <w:rFonts w:ascii="Arial" w:cs="Arial" w:eastAsia="Arial" w:hAnsi="Arial"/>
                <w:sz w:val="14"/>
                <w:szCs w:val="14"/>
                <w:color w:val="auto"/>
              </w:rPr>
              <w:t>32</w:t>
            </w:r>
          </w:p>
        </w:tc>
      </w:tr>
      <w:tr>
        <w:trPr>
          <w:trHeight w:val="46"/>
        </w:trPr>
        <w:tc>
          <w:tcPr>
            <w:tcW w:w="1700" w:type="dxa"/>
            <w:vAlign w:val="bottom"/>
            <w:tcBorders>
              <w:bottom w:val="single" w:sz="8" w:color="auto"/>
            </w:tcBorders>
          </w:tcPr>
          <w:p>
            <w:pPr>
              <w:spacing w:after="0"/>
              <w:rPr>
                <w:sz w:val="4"/>
                <w:szCs w:val="4"/>
                <w:color w:val="auto"/>
              </w:rPr>
            </w:pPr>
          </w:p>
        </w:tc>
        <w:tc>
          <w:tcPr>
            <w:tcW w:w="97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Vice President - Finance and Chief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Date: August 1, 2014</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240" w:top="121" w:right="1059" w:bottom="1440" w:gutter="0" w:footer="0" w:header="0"/>
        </w:sectPr>
      </w:pPr>
    </w:p>
    <w:bookmarkStart w:id="33" w:name="page34"/>
    <w:bookmarkEnd w:id="33"/>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EXHIBIT INDEX</w:t>
      </w:r>
    </w:p>
    <w:p>
      <w:pPr>
        <w:spacing w:after="0" w:line="236" w:lineRule="exact"/>
        <w:rPr>
          <w:sz w:val="20"/>
          <w:szCs w:val="20"/>
          <w:color w:val="auto"/>
        </w:rPr>
      </w:pPr>
    </w:p>
    <w:p>
      <w:pPr>
        <w:ind w:left="340"/>
        <w:spacing w:after="0"/>
        <w:tabs>
          <w:tab w:leader="none" w:pos="5180" w:val="left"/>
        </w:tabs>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u w:val="single" w:color="auto"/>
          <w:color w:val="auto"/>
        </w:rPr>
        <w:t>Exhibit</w:t>
      </w:r>
    </w:p>
    <w:p>
      <w:pPr>
        <w:spacing w:after="0" w:line="256" w:lineRule="exact"/>
        <w:rPr>
          <w:sz w:val="20"/>
          <w:szCs w:val="20"/>
          <w:color w:val="auto"/>
        </w:rPr>
      </w:pPr>
    </w:p>
    <w:p>
      <w:pPr>
        <w:ind w:left="500"/>
        <w:spacing w:after="0"/>
        <w:tabs>
          <w:tab w:leader="none" w:pos="1200" w:val="left"/>
        </w:tabs>
        <w:rPr>
          <w:sz w:val="20"/>
          <w:szCs w:val="20"/>
          <w:color w:val="auto"/>
        </w:rPr>
      </w:pPr>
      <w:r>
        <w:rPr>
          <w:rFonts w:ascii="Arial" w:cs="Arial" w:eastAsia="Arial" w:hAnsi="Arial"/>
          <w:sz w:val="18"/>
          <w:szCs w:val="18"/>
          <w:u w:val="single" w:color="auto"/>
          <w:color w:val="0000EE"/>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500"/>
        <w:spacing w:after="0"/>
        <w:tabs>
          <w:tab w:leader="none" w:pos="1200" w:val="left"/>
        </w:tabs>
        <w:rPr>
          <w:sz w:val="20"/>
          <w:szCs w:val="20"/>
          <w:color w:val="auto"/>
        </w:rPr>
      </w:pPr>
      <w:r>
        <w:rPr>
          <w:rFonts w:ascii="Arial" w:cs="Arial" w:eastAsia="Arial" w:hAnsi="Arial"/>
          <w:sz w:val="18"/>
          <w:szCs w:val="18"/>
          <w:u w:val="single" w:color="auto"/>
          <w:color w:val="0000EE"/>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1220" w:hanging="726"/>
        <w:spacing w:after="0"/>
        <w:tabs>
          <w:tab w:leader="none" w:pos="1220" w:val="left"/>
        </w:tabs>
        <w:numPr>
          <w:ilvl w:val="0"/>
          <w:numId w:val="9"/>
        </w:numPr>
        <w:rPr>
          <w:rFonts w:ascii="Arial" w:cs="Arial" w:eastAsia="Arial" w:hAnsi="Arial"/>
          <w:sz w:val="18"/>
          <w:szCs w:val="18"/>
          <w:u w:val="single" w:color="auto"/>
          <w:color w:val="0000EE"/>
        </w:rPr>
      </w:pPr>
      <w:r>
        <w:rPr>
          <w:rFonts w:ascii="Arial" w:cs="Arial" w:eastAsia="Arial" w:hAnsi="Arial"/>
          <w:sz w:val="18"/>
          <w:szCs w:val="18"/>
          <w:color w:val="auto"/>
        </w:rPr>
        <w:t>Certifications pursuant to Rule 13a-14(b) under the Securities Exchange Act of 1934 and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1220" w:hanging="726"/>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101.INS</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Instance Document</w:t>
            </w:r>
          </w:p>
        </w:tc>
      </w:tr>
      <w:tr>
        <w:trPr>
          <w:trHeight w:val="243"/>
        </w:trPr>
        <w:tc>
          <w:tcPr>
            <w:tcW w:w="1700" w:type="dxa"/>
            <w:vAlign w:val="bottom"/>
          </w:tcPr>
          <w:p>
            <w:pPr>
              <w:spacing w:after="0"/>
              <w:rPr>
                <w:sz w:val="21"/>
                <w:szCs w:val="21"/>
                <w:color w:val="auto"/>
              </w:rPr>
            </w:pPr>
          </w:p>
        </w:tc>
        <w:tc>
          <w:tcPr>
            <w:tcW w:w="9720" w:type="dxa"/>
            <w:vAlign w:val="bottom"/>
          </w:tcPr>
          <w:p>
            <w:pPr>
              <w:spacing w:after="0"/>
              <w:rPr>
                <w:sz w:val="21"/>
                <w:szCs w:val="21"/>
                <w:color w:val="auto"/>
              </w:rPr>
            </w:pPr>
          </w:p>
        </w:tc>
      </w:tr>
      <w:tr>
        <w:trPr>
          <w:trHeight w:val="216"/>
        </w:trPr>
        <w:tc>
          <w:tcPr>
            <w:tcW w:w="1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101.SCH</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700" w:type="dxa"/>
            <w:vAlign w:val="bottom"/>
          </w:tcPr>
          <w:p>
            <w:pPr>
              <w:spacing w:after="0"/>
              <w:rPr>
                <w:sz w:val="21"/>
                <w:szCs w:val="21"/>
                <w:color w:val="auto"/>
              </w:rPr>
            </w:pPr>
          </w:p>
        </w:tc>
        <w:tc>
          <w:tcPr>
            <w:tcW w:w="9720" w:type="dxa"/>
            <w:vAlign w:val="bottom"/>
          </w:tcPr>
          <w:p>
            <w:pPr>
              <w:spacing w:after="0"/>
              <w:rPr>
                <w:sz w:val="21"/>
                <w:szCs w:val="21"/>
                <w:color w:val="auto"/>
              </w:rPr>
            </w:pPr>
          </w:p>
        </w:tc>
      </w:tr>
      <w:tr>
        <w:trPr>
          <w:trHeight w:val="216"/>
        </w:trPr>
        <w:tc>
          <w:tcPr>
            <w:tcW w:w="1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101.CAL</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700" w:type="dxa"/>
            <w:vAlign w:val="bottom"/>
          </w:tcPr>
          <w:p>
            <w:pPr>
              <w:spacing w:after="0"/>
              <w:rPr>
                <w:sz w:val="21"/>
                <w:szCs w:val="21"/>
                <w:color w:val="auto"/>
              </w:rPr>
            </w:pPr>
          </w:p>
        </w:tc>
        <w:tc>
          <w:tcPr>
            <w:tcW w:w="9720" w:type="dxa"/>
            <w:vAlign w:val="bottom"/>
          </w:tcPr>
          <w:p>
            <w:pPr>
              <w:spacing w:after="0"/>
              <w:rPr>
                <w:sz w:val="21"/>
                <w:szCs w:val="21"/>
                <w:color w:val="auto"/>
              </w:rPr>
            </w:pPr>
          </w:p>
        </w:tc>
      </w:tr>
      <w:tr>
        <w:trPr>
          <w:trHeight w:val="216"/>
        </w:trPr>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101.DEF</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700" w:type="dxa"/>
            <w:vAlign w:val="bottom"/>
          </w:tcPr>
          <w:p>
            <w:pPr>
              <w:spacing w:after="0"/>
              <w:rPr>
                <w:sz w:val="21"/>
                <w:szCs w:val="21"/>
                <w:color w:val="auto"/>
              </w:rPr>
            </w:pPr>
          </w:p>
        </w:tc>
        <w:tc>
          <w:tcPr>
            <w:tcW w:w="9720" w:type="dxa"/>
            <w:vAlign w:val="bottom"/>
          </w:tcPr>
          <w:p>
            <w:pPr>
              <w:spacing w:after="0"/>
              <w:rPr>
                <w:sz w:val="21"/>
                <w:szCs w:val="21"/>
                <w:color w:val="auto"/>
              </w:rPr>
            </w:pPr>
          </w:p>
        </w:tc>
      </w:tr>
      <w:tr>
        <w:trPr>
          <w:trHeight w:val="216"/>
        </w:trPr>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101.LAB</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700" w:type="dxa"/>
            <w:vAlign w:val="bottom"/>
          </w:tcPr>
          <w:p>
            <w:pPr>
              <w:spacing w:after="0"/>
              <w:rPr>
                <w:sz w:val="21"/>
                <w:szCs w:val="21"/>
                <w:color w:val="auto"/>
              </w:rPr>
            </w:pPr>
          </w:p>
        </w:tc>
        <w:tc>
          <w:tcPr>
            <w:tcW w:w="9720" w:type="dxa"/>
            <w:vAlign w:val="bottom"/>
          </w:tcPr>
          <w:p>
            <w:pPr>
              <w:spacing w:after="0"/>
              <w:rPr>
                <w:sz w:val="21"/>
                <w:szCs w:val="21"/>
                <w:color w:val="auto"/>
              </w:rPr>
            </w:pPr>
          </w:p>
        </w:tc>
      </w:tr>
      <w:tr>
        <w:trPr>
          <w:trHeight w:val="216"/>
        </w:trPr>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101.PRE</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50"/>
        </w:trPr>
        <w:tc>
          <w:tcPr>
            <w:tcW w:w="1700" w:type="dxa"/>
            <w:vAlign w:val="bottom"/>
          </w:tcPr>
          <w:p>
            <w:pPr>
              <w:spacing w:after="0"/>
              <w:rPr>
                <w:sz w:val="24"/>
                <w:szCs w:val="24"/>
                <w:color w:val="auto"/>
              </w:rPr>
            </w:pPr>
          </w:p>
        </w:tc>
        <w:tc>
          <w:tcPr>
            <w:tcW w:w="9720" w:type="dxa"/>
            <w:vAlign w:val="bottom"/>
          </w:tcPr>
          <w:p>
            <w:pPr>
              <w:ind w:left="3940"/>
              <w:spacing w:after="0"/>
              <w:rPr>
                <w:sz w:val="20"/>
                <w:szCs w:val="20"/>
                <w:color w:val="auto"/>
              </w:rPr>
            </w:pPr>
            <w:r>
              <w:rPr>
                <w:rFonts w:ascii="Arial" w:cs="Arial" w:eastAsia="Arial" w:hAnsi="Arial"/>
                <w:sz w:val="14"/>
                <w:szCs w:val="14"/>
                <w:color w:val="auto"/>
              </w:rPr>
              <w:t>34</w:t>
            </w:r>
          </w:p>
        </w:tc>
      </w:tr>
      <w:tr>
        <w:trPr>
          <w:trHeight w:val="90"/>
        </w:trPr>
        <w:tc>
          <w:tcPr>
            <w:tcW w:w="1700" w:type="dxa"/>
            <w:vAlign w:val="bottom"/>
          </w:tcPr>
          <w:p>
            <w:pPr>
              <w:spacing w:after="0"/>
              <w:rPr>
                <w:sz w:val="7"/>
                <w:szCs w:val="7"/>
                <w:color w:val="auto"/>
              </w:rPr>
            </w:pPr>
          </w:p>
        </w:tc>
        <w:tc>
          <w:tcPr>
            <w:tcW w:w="9720" w:type="dxa"/>
            <w:vAlign w:val="bottom"/>
          </w:tcPr>
          <w:p>
            <w:pPr>
              <w:spacing w:after="0"/>
              <w:rPr>
                <w:sz w:val="7"/>
                <w:szCs w:val="7"/>
                <w:color w:val="auto"/>
              </w:rPr>
            </w:pPr>
          </w:p>
        </w:tc>
      </w:tr>
      <w:tr>
        <w:trPr>
          <w:trHeight w:val="61"/>
        </w:trPr>
        <w:tc>
          <w:tcPr>
            <w:tcW w:w="1700" w:type="dxa"/>
            <w:vAlign w:val="bottom"/>
            <w:shd w:val="clear" w:color="auto" w:fill="808080"/>
          </w:tcPr>
          <w:p>
            <w:pPr>
              <w:spacing w:after="0"/>
              <w:rPr>
                <w:sz w:val="5"/>
                <w:szCs w:val="5"/>
                <w:color w:val="auto"/>
              </w:rPr>
            </w:pPr>
          </w:p>
        </w:tc>
        <w:tc>
          <w:tcPr>
            <w:tcW w:w="97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25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80" w:right="3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97" w:lineRule="exact"/>
        <w:rPr>
          <w:sz w:val="20"/>
          <w:szCs w:val="20"/>
          <w:color w:val="auto"/>
        </w:rPr>
      </w:pPr>
    </w:p>
    <w:p>
      <w:pPr>
        <w:ind w:left="80" w:right="120" w:firstLine="656"/>
        <w:spacing w:after="0" w:line="342" w:lineRule="auto"/>
        <w:tabs>
          <w:tab w:leader="none" w:pos="12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June 30, 2014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1220" w:hanging="484"/>
        <w:spacing w:after="0"/>
        <w:tabs>
          <w:tab w:leader="none" w:pos="1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75" w:lineRule="exact"/>
        <w:rPr>
          <w:sz w:val="20"/>
          <w:szCs w:val="20"/>
          <w:color w:val="auto"/>
        </w:rPr>
      </w:pPr>
    </w:p>
    <w:p>
      <w:pPr>
        <w:ind w:left="694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Christopher E. French</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August 1, 2014</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August 1, 2014</w:t>
      </w:r>
    </w:p>
    <w:p>
      <w:pPr>
        <w:spacing w:after="0" w:line="2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332105</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500"/>
      </w:cols>
      <w:pgMar w:left="160" w:top="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1"/>
      <w:numFmt w:val="decimal"/>
      <w:start w:val="32"/>
    </w:lvl>
  </w:abstractNum>
  <w:abstractNum w:abstractNumId="9">
    <w:nsid w:val="1190CDE7"/>
    <w:multiLevelType w:val="hybridMultilevel"/>
    <w:lvl w:ilvl="0">
      <w:lvlJc w:val="left"/>
      <w:lvlText w:val="(%1)"/>
      <w:numFmt w:val="decimal"/>
      <w:start w:val="10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2019-12-05T17:26:47Z</dcterms:created>
  <dcterms:modified xsi:type="dcterms:W3CDTF">2019-12-05T17:26:47Z</dcterms:modified>
</cp:coreProperties>
</file>