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2826.htm"/>
      <w:bookmarkStart w:id="1" w:name="ksf8k_0728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29, 2026</w:t>
      </w:r>
    </w:p>
    <w:p>
      <w:pPr>
        <w:pStyle w:val="TextBody"/>
        <w:bidi w:val="0"/>
        <w:jc w:val="center"/>
        <w:rPr/>
      </w:pPr>
      <w:r>
        <w:rPr/>
        <w:t>_______________________________</w:t>
      </w:r>
    </w:p>
    <w:p>
      <w:pPr>
        <w:pStyle w:val="TextBody"/>
        <w:bidi w:val="0"/>
        <w:spacing w:before="120" w:after="283"/>
        <w:jc w:val="center"/>
        <w:rPr>
          <w:b/>
          <w:caps/>
          <w:sz w:val="24"/>
        </w:rPr>
      </w:pPr>
      <w:r>
        <w:rPr>
          <w:b/>
          <w:caps/>
          <w:sz w:val="24"/>
        </w:rPr>
        <w:t>Shenandoah Telecommunications Company</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Virginia</w:t>
            </w:r>
          </w:p>
        </w:tc>
        <w:tc>
          <w:tcPr>
            <w:tcW w:w="2210" w:type="dxa"/>
            <w:tcBorders/>
            <w:vAlign w:val="center"/>
          </w:tcPr>
          <w:p>
            <w:pPr>
              <w:pStyle w:val="TableContents"/>
              <w:bidi w:val="0"/>
              <w:spacing w:before="0" w:after="283"/>
              <w:jc w:val="center"/>
              <w:rPr>
                <w:b/>
                <w:sz w:val="20"/>
              </w:rPr>
            </w:pPr>
            <w:r>
              <w:rPr>
                <w:b/>
                <w:sz w:val="20"/>
              </w:rPr>
              <w:t>000-09881</w:t>
            </w:r>
          </w:p>
        </w:tc>
        <w:tc>
          <w:tcPr>
            <w:tcW w:w="2900" w:type="dxa"/>
            <w:tcBorders/>
            <w:vAlign w:val="center"/>
          </w:tcPr>
          <w:p>
            <w:pPr>
              <w:pStyle w:val="TableContents"/>
              <w:bidi w:val="0"/>
              <w:spacing w:before="0" w:after="283"/>
              <w:jc w:val="center"/>
              <w:rPr>
                <w:b/>
                <w:sz w:val="20"/>
              </w:rPr>
            </w:pPr>
            <w:r>
              <w:rPr>
                <w:b/>
                <w:sz w:val="20"/>
              </w:rPr>
              <w:t>54-1162807</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500 Shentel Way</w:t>
        <w:br/>
        <w:t>P.O. Box 459</w:t>
      </w:r>
    </w:p>
    <w:p>
      <w:pPr>
        <w:pStyle w:val="TextBody"/>
        <w:bidi w:val="0"/>
        <w:spacing w:before="0" w:after="0"/>
        <w:jc w:val="center"/>
        <w:rPr>
          <w:b/>
          <w:sz w:val="20"/>
        </w:rPr>
      </w:pPr>
      <w:r>
        <w:rPr>
          <w:b/>
          <w:sz w:val="20"/>
        </w:rPr>
        <w:t>Edinburg, Virginia 22824</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(540) 984-4141</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620" w:type="dxa"/>
        <w:jc w:val="left"/>
        <w:tblInd w:w="0" w:type="dxa"/>
        <w:tblLayout w:type="fixed"/>
        <w:tblCellMar>
          <w:top w:w="0" w:type="dxa"/>
          <w:left w:w="0" w:type="dxa"/>
          <w:bottom w:w="28" w:type="dxa"/>
          <w:right w:w="0" w:type="dxa"/>
        </w:tblCellMar>
      </w:tblPr>
      <w:tblGrid>
        <w:gridCol w:w="2510"/>
        <w:gridCol w:w="1535"/>
        <w:gridCol w:w="3575"/>
      </w:tblGrid>
      <w:tr>
        <w:trPr/>
        <w:tc>
          <w:tcPr>
            <w:tcW w:w="251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510" w:type="dxa"/>
            <w:tcBorders/>
            <w:tcMar>
              <w:bottom w:w="0" w:type="dxa"/>
            </w:tcMar>
            <w:vAlign w:val="center"/>
          </w:tcPr>
          <w:p>
            <w:pPr>
              <w:pStyle w:val="TableContents"/>
              <w:bidi w:val="0"/>
              <w:spacing w:before="0" w:after="283"/>
              <w:jc w:val="center"/>
              <w:rPr>
                <w:sz w:val="20"/>
              </w:rPr>
            </w:pPr>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r>
              <w:rPr>
                <w:sz w:val="20"/>
              </w:rPr>
              <w:t>SHEN</w:t>
            </w:r>
          </w:p>
        </w:tc>
        <w:tc>
          <w:tcPr>
            <w:tcW w:w="3575" w:type="dxa"/>
            <w:tcBorders/>
            <w:tcMar>
              <w:bottom w:w="0" w:type="dxa"/>
            </w:tcMar>
            <w:vAlign w:val="center"/>
          </w:tcPr>
          <w:p>
            <w:pPr>
              <w:pStyle w:val="TableContents"/>
              <w:bidi w:val="0"/>
              <w:spacing w:before="0" w:after="283"/>
              <w:jc w:val="center"/>
              <w:rPr>
                <w:sz w:val="20"/>
              </w:rPr>
            </w:pPr>
            <w:r>
              <w:rPr>
                <w:sz w:val="20"/>
              </w:rPr>
              <w:t>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spacing w:before="0" w:after="0"/>
        <w:ind w:left="0" w:right="0" w:hanging="0"/>
        <w:jc w:val="both"/>
        <w:rPr>
          <w:sz w:val="20"/>
        </w:rPr>
      </w:pPr>
      <w:r>
        <w:rPr>
          <w:sz w:val="20"/>
        </w:rPr>
        <w:t>On July 29, 2026, Shenandoah Telecommunications Company (the “Company”) issued a press release announcing its financial position as of June 30, 2026, results of operations for the three and six months ended June 30, 2026, and other related information. The Company also posted supplemental earnings presentation materials on the investor section of the Company’s website at www.Shentel.com. A copy of the press release is furnished as Exhibit 99.1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These materials may contain forward-looking statements about Shenandoah Telecommunications Company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Company undertakes no obligation to revise or update such statements to reflect current events or circumstances after the date hereof, or to reflect the occurrence of unanticipated events.</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spacing w:before="0" w:after="0"/>
        <w:ind w:left="0" w:right="0" w:hanging="0"/>
        <w:jc w:val="left"/>
        <w:rPr/>
      </w:pPr>
      <w:r>
        <w:rPr>
          <w:rStyle w:val="StrongEmphasis"/>
          <w:sz w:val="20"/>
        </w:rPr>
        <w:t>(d) Exhibits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exhibit is furnished with this Current Report on Form 8-K.</w:t>
      </w:r>
    </w:p>
    <w:p>
      <w:pPr>
        <w:pStyle w:val="TextBody"/>
        <w:bidi w:val="0"/>
        <w:spacing w:before="0" w:after="283"/>
        <w:jc w:val="left"/>
        <w:rPr/>
      </w:pPr>
      <w:r>
        <w:rPr/>
        <w:t> </w:t>
      </w:r>
    </w:p>
    <w:tbl>
      <w:tblPr>
        <w:tblW w:w="7015" w:type="dxa"/>
        <w:jc w:val="left"/>
        <w:tblInd w:w="0" w:type="dxa"/>
        <w:tblLayout w:type="fixed"/>
        <w:tblCellMar>
          <w:top w:w="0" w:type="dxa"/>
          <w:left w:w="0" w:type="dxa"/>
          <w:bottom w:w="0" w:type="dxa"/>
          <w:right w:w="0" w:type="dxa"/>
        </w:tblCellMar>
      </w:tblPr>
      <w:tblGrid>
        <w:gridCol w:w="485"/>
        <w:gridCol w:w="60"/>
        <w:gridCol w:w="6470"/>
      </w:tblGrid>
      <w:tr>
        <w:trPr/>
        <w:tc>
          <w:tcPr>
            <w:tcW w:w="485" w:type="dxa"/>
            <w:tcBorders/>
            <w:vAlign w:val="center"/>
          </w:tcPr>
          <w:p>
            <w:pPr>
              <w:pStyle w:val="TableContents"/>
              <w:bidi w:val="0"/>
              <w:spacing w:before="0" w:after="283"/>
              <w:jc w:val="left"/>
              <w:rPr/>
            </w:pPr>
            <w:hyperlink w:anchor="exh_991.htm">
              <w:r>
                <w:rPr>
                  <w:rStyle w:val="InternetLink"/>
                  <w:sz w:val="20"/>
                </w:rPr>
                <w:t>99.1</w:t>
              </w:r>
            </w:hyperlink>
            <w:r>
              <w:rPr>
                <w:sz w:val="20"/>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Second Quarter 2026 Earnings Press Release</w:t>
              </w:r>
            </w:hyperlink>
          </w:p>
        </w:tc>
      </w:tr>
      <w:tr>
        <w:trPr/>
        <w:tc>
          <w:tcPr>
            <w:tcW w:w="4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ind w:left="0" w:right="0" w:hanging="0"/>
        <w:jc w:val="left"/>
        <w:rPr>
          <w:sz w:val="20"/>
        </w:rPr>
      </w:pPr>
      <w:r>
        <w:rPr>
          <w:sz w:val="20"/>
        </w:rPr>
        <w:t>* Furnished herewith</w:t>
      </w:r>
    </w:p>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790" w:type="dxa"/>
        <w:jc w:val="left"/>
        <w:tblInd w:w="0" w:type="dxa"/>
        <w:tblLayout w:type="fixed"/>
        <w:tblCellMar>
          <w:top w:w="0" w:type="dxa"/>
          <w:left w:w="0" w:type="dxa"/>
          <w:bottom w:w="0" w:type="dxa"/>
          <w:right w:w="0" w:type="dxa"/>
        </w:tblCellMar>
      </w:tblPr>
      <w:tblGrid>
        <w:gridCol w:w="1610"/>
        <w:gridCol w:w="365"/>
        <w:gridCol w:w="3815"/>
      </w:tblGrid>
      <w:tr>
        <w:trPr/>
        <w:tc>
          <w:tcPr>
            <w:tcW w:w="1610"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b/>
                <w:sz w:val="20"/>
              </w:rPr>
            </w:pPr>
            <w:r>
              <w:rPr>
                <w:b/>
                <w:sz w:val="20"/>
              </w:rPr>
              <w:t>Shenandoah Telecommunications Company</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29, 2026</w:t>
            </w:r>
          </w:p>
        </w:tc>
        <w:tc>
          <w:tcPr>
            <w:tcW w:w="365" w:type="dxa"/>
            <w:tcBorders/>
            <w:vAlign w:val="center"/>
          </w:tcPr>
          <w:p>
            <w:pPr>
              <w:pStyle w:val="TableContents"/>
              <w:bidi w:val="0"/>
              <w:spacing w:before="0" w:after="283"/>
              <w:jc w:val="left"/>
              <w:rPr>
                <w:sz w:val="20"/>
              </w:rPr>
            </w:pPr>
            <w:r>
              <w:rPr>
                <w:sz w:val="20"/>
              </w:rPr>
              <w:t>By: </w:t>
            </w:r>
          </w:p>
        </w:tc>
        <w:tc>
          <w:tcPr>
            <w:tcW w:w="3815" w:type="dxa"/>
            <w:tcBorders/>
            <w:vAlign w:val="center"/>
          </w:tcPr>
          <w:p>
            <w:pPr>
              <w:pStyle w:val="TableContents"/>
              <w:bidi w:val="0"/>
              <w:spacing w:before="0" w:after="283"/>
              <w:jc w:val="left"/>
              <w:rPr>
                <w:sz w:val="20"/>
                <w:u w:val="single"/>
              </w:rPr>
            </w:pPr>
            <w:r>
              <w:rPr>
                <w:sz w:val="20"/>
                <w:u w:val="single"/>
              </w:rPr>
              <w:t>/s/ James J. Volk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20"/>
              </w:rPr>
            </w:pPr>
            <w:r>
              <w:rPr>
                <w:sz w:val="20"/>
              </w:rPr>
              <w:t>James J. Volk</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20"/>
              </w:rPr>
            </w:pPr>
            <w:r>
              <w:rPr>
                <w:sz w:val="20"/>
              </w:rPr>
              <w:t>Senior Vice President – Chief Financial Officer</w:t>
              <w:br/>
            </w:r>
            <w:r>
              <w:rPr>
                <w:i/>
                <w:sz w:val="20"/>
              </w:rPr>
              <w:t>(Principal Financial Officer)</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Shenandoah Telecommunications Company Reports Second Quarter 2026 Results</w:t>
      </w:r>
    </w:p>
    <w:p>
      <w:pPr>
        <w:pStyle w:val="TextBody"/>
        <w:bidi w:val="0"/>
        <w:jc w:val="both"/>
        <w:rPr/>
      </w:pPr>
      <w:r>
        <w:rPr/>
        <w:t>EDINBURG, Va., July 29, 2026 (GLOBE NEWSWIRE) -- Shenandoah Telecommunications Company (“Shentel” or the “Company”) (Nasdaq: SHEN) announced second quarter 2026 financial and operating results.</w:t>
      </w:r>
    </w:p>
    <w:p>
      <w:pPr>
        <w:pStyle w:val="TextBody"/>
        <w:bidi w:val="0"/>
        <w:jc w:val="left"/>
        <w:rPr/>
      </w:pPr>
      <w:r>
        <w:rPr>
          <w:rStyle w:val="StrongEmphasis"/>
          <w:u w:val="single"/>
        </w:rPr>
        <w:t>Second Quarter 2026 Highlights</w:t>
      </w:r>
    </w:p>
    <w:p>
      <w:pPr>
        <w:pStyle w:val="TextBody"/>
        <w:numPr>
          <w:ilvl w:val="0"/>
          <w:numId w:val="2"/>
        </w:numPr>
        <w:tabs>
          <w:tab w:val="clear" w:pos="1134"/>
          <w:tab w:val="left" w:pos="709" w:leader="none"/>
        </w:tabs>
        <w:bidi w:val="0"/>
        <w:spacing w:before="0" w:after="0"/>
        <w:ind w:left="709" w:hanging="283"/>
        <w:jc w:val="both"/>
        <w:rPr/>
      </w:pPr>
      <w:r>
        <w:rPr/>
        <w:t>Glo Fiber Expansion Markets revenue grew 32.8% year over year to $26.3 million.</w:t>
      </w:r>
    </w:p>
    <w:p>
      <w:pPr>
        <w:pStyle w:val="TextBody"/>
        <w:numPr>
          <w:ilvl w:val="0"/>
          <w:numId w:val="2"/>
        </w:numPr>
        <w:tabs>
          <w:tab w:val="clear" w:pos="1134"/>
          <w:tab w:val="left" w:pos="709" w:leader="none"/>
        </w:tabs>
        <w:bidi w:val="0"/>
        <w:spacing w:before="0" w:after="0"/>
        <w:ind w:left="709" w:hanging="283"/>
        <w:jc w:val="both"/>
        <w:rPr/>
      </w:pPr>
      <w:r>
        <w:rPr/>
        <w:t>Total revenue increased 5.5% year over year to $93.5 million.</w:t>
      </w:r>
    </w:p>
    <w:p>
      <w:pPr>
        <w:pStyle w:val="TextBody"/>
        <w:numPr>
          <w:ilvl w:val="0"/>
          <w:numId w:val="2"/>
        </w:numPr>
        <w:tabs>
          <w:tab w:val="clear" w:pos="1134"/>
          <w:tab w:val="left" w:pos="709" w:leader="none"/>
        </w:tabs>
        <w:bidi w:val="0"/>
        <w:spacing w:before="0" w:after="0"/>
        <w:ind w:left="709" w:hanging="283"/>
        <w:jc w:val="both"/>
        <w:rPr/>
      </w:pPr>
      <w:r>
        <w:rPr/>
        <w:t>Net loss was $7.7 million compared to $9.0 million in the second quarter of 2025.</w:t>
      </w:r>
    </w:p>
    <w:p>
      <w:pPr>
        <w:pStyle w:val="TextBody"/>
        <w:numPr>
          <w:ilvl w:val="0"/>
          <w:numId w:val="2"/>
        </w:numPr>
        <w:tabs>
          <w:tab w:val="clear" w:pos="1134"/>
          <w:tab w:val="left" w:pos="709" w:leader="none"/>
        </w:tabs>
        <w:bidi w:val="0"/>
        <w:ind w:left="709" w:hanging="283"/>
        <w:jc w:val="both"/>
        <w:rPr/>
      </w:pPr>
      <w:r>
        <w:rPr/>
        <w:t>Adjusted EBITDA</w:t>
      </w:r>
      <w:r>
        <w:rPr>
          <w:position w:val="8"/>
          <w:sz w:val="19"/>
        </w:rPr>
        <w:t>1</w:t>
      </w:r>
      <w:r>
        <w:rPr/>
        <w:t xml:space="preserve"> grew 12.9% year over year to $32.0 million.</w:t>
      </w:r>
    </w:p>
    <w:p>
      <w:pPr>
        <w:pStyle w:val="TextBody"/>
        <w:bidi w:val="0"/>
        <w:jc w:val="left"/>
        <w:rPr/>
      </w:pPr>
      <w:r>
        <w:rPr/>
        <w:t>“</w:t>
      </w:r>
      <w:r>
        <w:rPr/>
        <w:t>The second quarter marked several exciting milestones for Shentel. We added our 100,000th Glo Fiber customer and achieved a record 6,200 Glo Fiber net additions,” said Ed McKay, President and CEO. “Our fiber businesses</w:t>
      </w:r>
      <w:r>
        <w:rPr>
          <w:position w:val="8"/>
          <w:sz w:val="19"/>
        </w:rPr>
        <w:t>2</w:t>
      </w:r>
      <w:r>
        <w:rPr/>
        <w:t xml:space="preserve"> continue to build strong momentum, now representing 51% of our total revenue and delivering 21% year-over-year growth during the quarter."</w:t>
      </w:r>
    </w:p>
    <w:p>
      <w:pPr>
        <w:pStyle w:val="TextBody"/>
        <w:bidi w:val="0"/>
        <w:jc w:val="both"/>
        <w:rPr/>
      </w:pPr>
      <w:r>
        <w:rPr>
          <w:rStyle w:val="Emphasis"/>
        </w:rPr>
        <w:t>Shentel’s second-quarter earnings conference call will be webcast at 8:30 a.m. ET</w:t>
      </w:r>
      <w:r>
        <w:rPr/>
        <w:t xml:space="preserve"> </w:t>
      </w:r>
      <w:r>
        <w:rPr>
          <w:rStyle w:val="Emphasis"/>
        </w:rPr>
        <w:t>on</w:t>
      </w:r>
      <w:r>
        <w:rPr/>
        <w:t xml:space="preserve"> </w:t>
      </w:r>
      <w:r>
        <w:rPr>
          <w:rStyle w:val="Emphasis"/>
        </w:rPr>
        <w:t xml:space="preserve">Wednesday, July 29, 2026. The webcast and related materials will be available on Shentel’s Investor Relations website at </w:t>
      </w:r>
      <w:r>
        <w:rPr>
          <w:rStyle w:val="Emphasis"/>
          <w:u w:val="single"/>
        </w:rPr>
        <w:t>https://investor.shentel.com/</w:t>
      </w:r>
      <w:r>
        <w:rPr>
          <w:rStyle w:val="Emphasis"/>
        </w:rPr>
        <w:t>. </w:t>
      </w:r>
    </w:p>
    <w:p>
      <w:pPr>
        <w:pStyle w:val="TextBody"/>
        <w:bidi w:val="0"/>
        <w:jc w:val="left"/>
        <w:rPr/>
      </w:pPr>
      <w:r>
        <w:rPr>
          <w:rStyle w:val="StrongEmphasis"/>
          <w:u w:val="single"/>
        </w:rPr>
        <w:t>Second Quarter 2026 Results Compared with Second Quarter 2025</w:t>
      </w:r>
    </w:p>
    <w:p>
      <w:pPr>
        <w:pStyle w:val="TextBody"/>
        <w:numPr>
          <w:ilvl w:val="0"/>
          <w:numId w:val="3"/>
        </w:numPr>
        <w:tabs>
          <w:tab w:val="clear" w:pos="1134"/>
          <w:tab w:val="left" w:pos="709" w:leader="none"/>
        </w:tabs>
        <w:bidi w:val="0"/>
        <w:spacing w:before="0" w:after="0"/>
        <w:ind w:left="709" w:hanging="283"/>
        <w:jc w:val="both"/>
        <w:rPr/>
      </w:pPr>
      <w:r>
        <w:rPr>
          <w:rStyle w:val="StrongEmphasis"/>
        </w:rPr>
        <w:t>Residential &amp; SMB - Glo Fiber Expansion Markets</w:t>
      </w:r>
      <w:r>
        <w:rPr>
          <w:rStyle w:val="StrongEmphasis"/>
          <w:position w:val="8"/>
          <w:sz w:val="19"/>
        </w:rPr>
        <w:t>3</w:t>
      </w:r>
      <w:r>
        <w:rPr/>
        <w:t xml:space="preserve"> revenue (28.1% of total) increased $6.5 million, or 32.8%, primarily due to a 32.1% increase in data revenue generating units (“RGUs”) driven by the Company’s increase in penetration rates and increase in passings.</w:t>
      </w:r>
    </w:p>
    <w:p>
      <w:pPr>
        <w:pStyle w:val="TextBody"/>
        <w:numPr>
          <w:ilvl w:val="0"/>
          <w:numId w:val="3"/>
        </w:numPr>
        <w:tabs>
          <w:tab w:val="clear" w:pos="1134"/>
          <w:tab w:val="left" w:pos="709" w:leader="none"/>
        </w:tabs>
        <w:bidi w:val="0"/>
        <w:spacing w:before="0" w:after="0"/>
        <w:ind w:left="709" w:hanging="283"/>
        <w:jc w:val="both"/>
        <w:rPr/>
      </w:pPr>
      <w:r>
        <w:rPr>
          <w:rStyle w:val="StrongEmphasis"/>
        </w:rPr>
        <w:t>Residential &amp; SMB - Incumbent Broadband Markets</w:t>
      </w:r>
      <w:r>
        <w:rPr>
          <w:position w:val="8"/>
          <w:sz w:val="19"/>
        </w:rPr>
        <w:t>4</w:t>
      </w:r>
      <w:r>
        <w:rPr/>
        <w:t xml:space="preserve"> revenue (43.1% of total) decreased $2.6 million, or 6.0%, due to lower video and data revenue. Video revenue declined due to a 14.1% decrease in video RGUs as customers switched to streaming video services. Data revenue declined due to a 2.6% decline in data ARPU, driven in part by our rate card in markets where we face a fixed broadband competitor and in part due to our recently implemented rate card in lower demographic markets experiencing softer demand.</w:t>
      </w:r>
    </w:p>
    <w:p>
      <w:pPr>
        <w:pStyle w:val="TextBody"/>
        <w:numPr>
          <w:ilvl w:val="0"/>
          <w:numId w:val="3"/>
        </w:numPr>
        <w:tabs>
          <w:tab w:val="clear" w:pos="1134"/>
          <w:tab w:val="left" w:pos="709" w:leader="none"/>
        </w:tabs>
        <w:bidi w:val="0"/>
        <w:spacing w:before="0" w:after="0"/>
        <w:ind w:left="709" w:hanging="283"/>
        <w:jc w:val="both"/>
        <w:rPr/>
      </w:pPr>
      <w:r>
        <w:rPr>
          <w:rStyle w:val="StrongEmphasis"/>
        </w:rPr>
        <w:t>Commercial Fiber</w:t>
      </w:r>
      <w:r>
        <w:rPr/>
        <w:t xml:space="preserve"> revenue (22.9% of total) increased $1.9 million, or 9.8%, due to a combination of recurring revenue in the enterprise and carrier verticals, a non-cash sales-type lease of customer equipment and a negative non-cash deferred revenue adjustment for one of our national wireless carrier customers in the second quarter of 2025</w:t>
      </w:r>
    </w:p>
    <w:p>
      <w:pPr>
        <w:pStyle w:val="TextBody"/>
        <w:numPr>
          <w:ilvl w:val="0"/>
          <w:numId w:val="3"/>
        </w:numPr>
        <w:tabs>
          <w:tab w:val="clear" w:pos="1134"/>
          <w:tab w:val="left" w:pos="709" w:leader="none"/>
        </w:tabs>
        <w:bidi w:val="0"/>
        <w:spacing w:before="0" w:after="0"/>
        <w:ind w:left="709" w:hanging="283"/>
        <w:jc w:val="both"/>
        <w:rPr/>
      </w:pPr>
      <w:r>
        <w:rPr>
          <w:rStyle w:val="StrongEmphasis"/>
        </w:rPr>
        <w:t>RLEC &amp; Other</w:t>
      </w:r>
      <w:r>
        <w:rPr/>
        <w:t xml:space="preserve"> revenue (5.9% of total) decreased $0.9 million, or 14.7%, primarily due to the decrease in DSL RGUs and to a lesser extent a decrease in government support revenue.</w:t>
      </w:r>
    </w:p>
    <w:p>
      <w:pPr>
        <w:pStyle w:val="TextBody"/>
        <w:numPr>
          <w:ilvl w:val="0"/>
          <w:numId w:val="3"/>
        </w:numPr>
        <w:tabs>
          <w:tab w:val="clear" w:pos="1134"/>
          <w:tab w:val="left" w:pos="709" w:leader="none"/>
        </w:tabs>
        <w:bidi w:val="0"/>
        <w:spacing w:before="0" w:after="0"/>
        <w:ind w:left="709" w:hanging="283"/>
        <w:jc w:val="both"/>
        <w:rPr/>
      </w:pPr>
      <w:r>
        <w:rPr>
          <w:rStyle w:val="StrongEmphasis"/>
        </w:rPr>
        <w:t>Cost of services</w:t>
      </w:r>
      <w:r>
        <w:rPr/>
        <w:t xml:space="preserve"> increased by $0.1 million, or 0.2% primarily due to increased fleet maintenance and fuel expenses.</w:t>
      </w:r>
    </w:p>
    <w:p>
      <w:pPr>
        <w:pStyle w:val="TextBody"/>
        <w:numPr>
          <w:ilvl w:val="0"/>
          <w:numId w:val="3"/>
        </w:numPr>
        <w:tabs>
          <w:tab w:val="clear" w:pos="1134"/>
          <w:tab w:val="left" w:pos="709" w:leader="none"/>
        </w:tabs>
        <w:bidi w:val="0"/>
        <w:spacing w:before="0" w:after="0"/>
        <w:ind w:left="709" w:hanging="283"/>
        <w:jc w:val="both"/>
        <w:rPr/>
      </w:pPr>
      <w:r>
        <w:rPr>
          <w:rStyle w:val="StrongEmphasis"/>
        </w:rPr>
        <w:t>Selling, general and administrative expense</w:t>
      </w:r>
      <w:r>
        <w:rPr/>
        <w:t xml:space="preserve"> increased by $1.3 million, or 4.3%. The increase was primarily due to higher operating and property taxes, higher advertising to support RGU growth and higher software maintenance expenses.</w:t>
      </w:r>
    </w:p>
    <w:p>
      <w:pPr>
        <w:pStyle w:val="TextBody"/>
        <w:numPr>
          <w:ilvl w:val="0"/>
          <w:numId w:val="3"/>
        </w:numPr>
        <w:tabs>
          <w:tab w:val="clear" w:pos="1134"/>
          <w:tab w:val="left" w:pos="709" w:leader="none"/>
        </w:tabs>
        <w:bidi w:val="0"/>
        <w:spacing w:before="0" w:after="0"/>
        <w:ind w:left="709" w:hanging="283"/>
        <w:jc w:val="both"/>
        <w:rPr/>
      </w:pPr>
      <w:r>
        <w:rPr>
          <w:rStyle w:val="StrongEmphasis"/>
        </w:rPr>
        <w:t>Restructuring, integration and acquisition expense</w:t>
      </w:r>
      <w:r>
        <w:rPr/>
        <w:t xml:space="preserve"> decreased by $0.1 million, or 35.0%. The decrease was primarily due to fees incurred in the prior year to amend debt terms.</w:t>
      </w:r>
    </w:p>
    <w:p>
      <w:pPr>
        <w:pStyle w:val="TextBody"/>
        <w:numPr>
          <w:ilvl w:val="0"/>
          <w:numId w:val="3"/>
        </w:numPr>
        <w:tabs>
          <w:tab w:val="clear" w:pos="1134"/>
          <w:tab w:val="left" w:pos="709" w:leader="none"/>
        </w:tabs>
        <w:bidi w:val="0"/>
        <w:ind w:left="709" w:hanging="283"/>
        <w:jc w:val="both"/>
        <w:rPr/>
      </w:pPr>
      <w:r>
        <w:rPr>
          <w:rStyle w:val="StrongEmphasis"/>
        </w:rPr>
        <w:t>Depreciation and amortization</w:t>
      </w:r>
      <w:r>
        <w:rPr/>
        <w:t xml:space="preserve"> decreased by $4.5 million, or 12.8%. The decrease was primarily due to a $4.2 million write-off in the prior year related to inventory assets that were no longer planned to be used.</w:t>
      </w:r>
    </w:p>
    <w:p>
      <w:pPr>
        <w:pStyle w:val="TextBody"/>
        <w:bidi w:val="0"/>
        <w:jc w:val="both"/>
        <w:rPr/>
      </w:pPr>
      <w:r>
        <w:rPr>
          <w:rStyle w:val="StrongEmphasis"/>
          <w:u w:val="single"/>
        </w:rPr>
        <w:t>____________________________</w:t>
        <w:br/>
      </w:r>
      <w:r>
        <w:rPr>
          <w:position w:val="8"/>
          <w:sz w:val="19"/>
        </w:rPr>
        <w:t>1</w:t>
      </w:r>
      <w:r>
        <w:rPr>
          <w:position w:val="-2"/>
          <w:sz w:val="19"/>
        </w:rPr>
        <w:t xml:space="preserve"> See “Non-GAAP Financial Measures” below for a reconciliation to the most comparable GAAP measure.</w:t>
      </w:r>
      <w:r>
        <w:rPr/>
        <w:br/>
      </w:r>
      <w:r>
        <w:rPr>
          <w:position w:val="8"/>
          <w:sz w:val="19"/>
        </w:rPr>
        <w:t xml:space="preserve">2 </w:t>
      </w:r>
      <w:r>
        <w:rPr>
          <w:position w:val="-2"/>
          <w:sz w:val="19"/>
        </w:rPr>
        <w:t>Represents Residential/SMB - Glo Fiber Expansion Markets + Commercial Fiber</w:t>
      </w:r>
      <w:r>
        <w:rPr/>
        <w:br/>
      </w:r>
      <w:r>
        <w:rPr>
          <w:position w:val="8"/>
          <w:sz w:val="19"/>
        </w:rPr>
        <w:t xml:space="preserve">3 </w:t>
      </w:r>
      <w:r>
        <w:rPr>
          <w:position w:val="-2"/>
          <w:sz w:val="19"/>
        </w:rPr>
        <w:t>Glo Fiber Expansion Markets consists of fiber to the home (“FTTH”) passings in greenfield expansion markets.</w:t>
      </w:r>
      <w:r>
        <w:rPr/>
        <w:br/>
      </w:r>
      <w:r>
        <w:rPr>
          <w:position w:val="8"/>
          <w:sz w:val="19"/>
        </w:rPr>
        <w:t xml:space="preserve">4 </w:t>
      </w:r>
      <w:r>
        <w:rPr>
          <w:position w:val="-2"/>
          <w:sz w:val="19"/>
        </w:rPr>
        <w:t>Incumbent Broadband Markets consists of incumbent cable markets and incumbent telephone markets with FTTH passings.</w:t>
      </w:r>
    </w:p>
    <w:p>
      <w:pPr>
        <w:pStyle w:val="TextBody"/>
        <w:bidi w:val="0"/>
        <w:jc w:val="both"/>
        <w:rPr/>
      </w:pPr>
      <w:r>
        <w:rPr>
          <w:rStyle w:val="StrongEmphasis"/>
          <w:u w:val="single"/>
        </w:rPr>
        <w:t>Other Information</w:t>
      </w:r>
    </w:p>
    <w:p>
      <w:pPr>
        <w:pStyle w:val="TextBody"/>
        <w:numPr>
          <w:ilvl w:val="0"/>
          <w:numId w:val="4"/>
        </w:numPr>
        <w:tabs>
          <w:tab w:val="clear" w:pos="1134"/>
          <w:tab w:val="left" w:pos="709" w:leader="none"/>
        </w:tabs>
        <w:bidi w:val="0"/>
        <w:spacing w:before="0" w:after="0"/>
        <w:ind w:left="709" w:hanging="283"/>
        <w:jc w:val="both"/>
        <w:rPr/>
      </w:pPr>
      <w:r>
        <w:rPr/>
        <w:t>Capital expenditures were $146.2 million for the six months ended June 30, 2026, compared with $169.4 million for the six months ended June 30, 2025. The $23.2 million decrease in capital expenditures was primarily driven by lower capital expenditures on government grant construction projects in Incumbent Broadband Markets.</w:t>
      </w:r>
    </w:p>
    <w:p>
      <w:pPr>
        <w:pStyle w:val="TextBody"/>
        <w:numPr>
          <w:ilvl w:val="0"/>
          <w:numId w:val="4"/>
        </w:numPr>
        <w:tabs>
          <w:tab w:val="clear" w:pos="1134"/>
          <w:tab w:val="left" w:pos="709" w:leader="none"/>
        </w:tabs>
        <w:bidi w:val="0"/>
        <w:spacing w:before="0" w:after="0"/>
        <w:ind w:left="709" w:hanging="283"/>
        <w:jc w:val="both"/>
        <w:rPr/>
      </w:pPr>
      <w:r>
        <w:rPr/>
        <w:t>The Company received $20.6 million and $17.3 million in government grant cash receipts during the six months ended June 30, 2026 and 2025, respectively.</w:t>
      </w:r>
    </w:p>
    <w:p>
      <w:pPr>
        <w:pStyle w:val="TextBody"/>
        <w:numPr>
          <w:ilvl w:val="0"/>
          <w:numId w:val="4"/>
        </w:numPr>
        <w:tabs>
          <w:tab w:val="clear" w:pos="1134"/>
          <w:tab w:val="left" w:pos="709" w:leader="none"/>
        </w:tabs>
        <w:bidi w:val="0"/>
        <w:spacing w:before="0" w:after="0"/>
        <w:ind w:left="709" w:hanging="283"/>
        <w:jc w:val="both"/>
        <w:rPr/>
      </w:pPr>
      <w:r>
        <w:rPr/>
        <w:t>As of June 30, 2026, the Company’s total available liquidity was $158.9 million, consisting of (i) unrestricted cash and cash equivalents totaling $23.9 million; (ii) restricted cash as required by the ABS Indenture totaling $30.9 million; (iii) $74.8 million of availability under Shentel Broadband’s Revolving Credit Facility; (iv) $1.9 million under Shentel Issuer’s Variable Funding Note (“VFN”); and (v) an aggregate of $27.4 million remaining reimbursements available under government grants, subject to fulfilling the terms of the underlying agreements. In addition, the Company has $105.1 million of VFN commitments that are not available to draw as of June 30, 2026. The available capacity of the VFN will increase based on the secured fiber network revenue growth from the ABS Entities multiplied by (i) a margin as defined in the ABS Indenture and (ii) a 6.25x multiple.</w:t>
      </w:r>
    </w:p>
    <w:p>
      <w:pPr>
        <w:pStyle w:val="TextBody"/>
        <w:numPr>
          <w:ilvl w:val="0"/>
          <w:numId w:val="4"/>
        </w:numPr>
        <w:tabs>
          <w:tab w:val="clear" w:pos="1134"/>
          <w:tab w:val="left" w:pos="709" w:leader="none"/>
        </w:tabs>
        <w:bidi w:val="0"/>
        <w:ind w:left="709" w:hanging="283"/>
        <w:jc w:val="both"/>
        <w:rPr/>
      </w:pPr>
      <w:r>
        <w:rPr/>
        <w:t>On February 23, 2026, the Company announced a reduction in force of approximately 10% of its employees to align the business with the end of the Glo Fiber construction phase, which is expected to be substantially complete by the end of 2026. Employee departure dates will be staggered with the largest impact in the fourth quarter of 2026. The Company expects to save approximately $12.3 million annually beginning in 2027 with approximately half of the savings impacting operating expenses and half impacting capitalized labor that is included in capital expenditures. The Company expects to incur approximately $3.1 million in restructuring costs to achieve these savings. During the six months ended June 30, 2026, Shentel incurred $2.2 million in severance expense, included in restructuring, integration and acquisition expense in the condensed consolidated statements of operations. The Company made $0.4M of severance payments during this period.</w:t>
      </w:r>
    </w:p>
    <w:p>
      <w:pPr>
        <w:pStyle w:val="TextBody"/>
        <w:bidi w:val="0"/>
        <w:jc w:val="left"/>
        <w:rPr/>
      </w:pPr>
      <w:r>
        <w:rPr>
          <w:rStyle w:val="StrongEmphasis"/>
          <w:u w:val="single"/>
        </w:rPr>
        <w:t xml:space="preserve">2026 Financial Outlook </w:t>
      </w:r>
    </w:p>
    <w:p>
      <w:pPr>
        <w:pStyle w:val="TextBody"/>
        <w:bidi w:val="0"/>
        <w:jc w:val="both"/>
        <w:rPr/>
      </w:pPr>
      <w:r>
        <w:rPr/>
        <w:t>The Company reiterates its 2026 financial guidance.</w:t>
      </w:r>
    </w:p>
    <w:tbl>
      <w:tblPr>
        <w:tblW w:w="10205" w:type="dxa"/>
        <w:jc w:val="left"/>
        <w:tblInd w:w="0" w:type="dxa"/>
        <w:tblLayout w:type="fixed"/>
        <w:tblCellMar>
          <w:top w:w="28" w:type="dxa"/>
          <w:left w:w="28" w:type="dxa"/>
          <w:bottom w:w="28" w:type="dxa"/>
          <w:right w:w="28" w:type="dxa"/>
        </w:tblCellMar>
      </w:tblPr>
      <w:tblGrid>
        <w:gridCol w:w="4653"/>
        <w:gridCol w:w="2711"/>
        <w:gridCol w:w="465"/>
        <w:gridCol w:w="963"/>
        <w:gridCol w:w="894"/>
        <w:gridCol w:w="519"/>
      </w:tblGrid>
      <w:tr>
        <w:trPr/>
        <w:tc>
          <w:tcPr>
            <w:tcW w:w="4653" w:type="dxa"/>
            <w:tcBorders/>
            <w:vAlign w:val="center"/>
          </w:tcPr>
          <w:p>
            <w:pPr>
              <w:pStyle w:val="TableContents"/>
              <w:bidi w:val="0"/>
              <w:spacing w:before="0" w:after="283"/>
              <w:jc w:val="left"/>
              <w:rPr/>
            </w:pPr>
            <w:r>
              <w:rPr/>
              <w:t> </w:t>
            </w:r>
          </w:p>
        </w:tc>
        <w:tc>
          <w:tcPr>
            <w:tcW w:w="271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Year Ending December 31, 2026</w:t>
            </w:r>
          </w:p>
        </w:tc>
        <w:tc>
          <w:tcPr>
            <w:tcW w:w="1428" w:type="dxa"/>
            <w:gridSpan w:val="2"/>
            <w:vMerge w:val="restart"/>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Year Ended </w:t>
              <w:br/>
              <w:t xml:space="preserve">December 31, </w:t>
              <w:br/>
              <w:t>2025</w:t>
            </w:r>
          </w:p>
        </w:tc>
        <w:tc>
          <w:tcPr>
            <w:tcW w:w="1413" w:type="dxa"/>
            <w:gridSpan w:val="2"/>
            <w:vMerge w:val="restart"/>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Change </w:t>
              <w:br/>
              <w:t xml:space="preserve">2025 to 2026 </w:t>
              <w:br/>
              <w:t>Midpoint</w:t>
            </w:r>
          </w:p>
        </w:tc>
      </w:tr>
      <w:tr>
        <w:trPr/>
        <w:tc>
          <w:tcPr>
            <w:tcW w:w="4653" w:type="dxa"/>
            <w:tcBorders/>
            <w:vAlign w:val="center"/>
          </w:tcPr>
          <w:p>
            <w:pPr>
              <w:pStyle w:val="TableContents"/>
              <w:bidi w:val="0"/>
              <w:spacing w:before="0" w:after="283"/>
              <w:jc w:val="left"/>
              <w:rPr/>
            </w:pPr>
            <w:r>
              <w:rPr>
                <w:rStyle w:val="Emphasis"/>
              </w:rPr>
              <w:t>(dollars in millions)</w:t>
            </w:r>
          </w:p>
        </w:tc>
        <w:tc>
          <w:tcPr>
            <w:tcW w:w="27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Guidance Range</w:t>
            </w:r>
          </w:p>
        </w:tc>
        <w:tc>
          <w:tcPr>
            <w:tcW w:w="1428" w:type="dxa"/>
            <w:gridSpan w:val="2"/>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13" w:type="dxa"/>
            <w:gridSpan w:val="2"/>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4653" w:type="dxa"/>
            <w:tcBorders/>
            <w:vAlign w:val="center"/>
          </w:tcPr>
          <w:p>
            <w:pPr>
              <w:pStyle w:val="TableContents"/>
              <w:bidi w:val="0"/>
              <w:spacing w:before="0" w:after="283"/>
              <w:jc w:val="left"/>
              <w:rPr/>
            </w:pPr>
            <w:r>
              <w:rPr/>
              <w:t>Total Revenue</w:t>
            </w:r>
          </w:p>
        </w:tc>
        <w:tc>
          <w:tcPr>
            <w:tcW w:w="271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$370 - $377</w:t>
            </w:r>
          </w:p>
        </w:tc>
        <w:tc>
          <w:tcPr>
            <w:tcW w:w="46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96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358</w:t>
            </w:r>
          </w:p>
        </w:tc>
        <w:tc>
          <w:tcPr>
            <w:tcW w:w="89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4.4</w:t>
            </w:r>
          </w:p>
        </w:tc>
        <w:tc>
          <w:tcPr>
            <w:tcW w:w="51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653" w:type="dxa"/>
            <w:tcBorders/>
            <w:vAlign w:val="center"/>
          </w:tcPr>
          <w:p>
            <w:pPr>
              <w:pStyle w:val="TableContents"/>
              <w:bidi w:val="0"/>
              <w:spacing w:before="0" w:after="283"/>
              <w:jc w:val="left"/>
              <w:rPr/>
            </w:pPr>
            <w:r>
              <w:rPr/>
              <w:t>Adjusted EBITDA</w:t>
            </w:r>
            <w:r>
              <w:rPr>
                <w:position w:val="8"/>
                <w:sz w:val="19"/>
              </w:rPr>
              <w:t>1</w:t>
            </w:r>
          </w:p>
        </w:tc>
        <w:tc>
          <w:tcPr>
            <w:tcW w:w="2711" w:type="dxa"/>
            <w:tcBorders/>
            <w:vAlign w:val="center"/>
          </w:tcPr>
          <w:p>
            <w:pPr>
              <w:pStyle w:val="TableContents"/>
              <w:bidi w:val="0"/>
              <w:spacing w:before="0" w:after="283"/>
              <w:jc w:val="center"/>
              <w:rPr/>
            </w:pPr>
            <w:r>
              <w:rPr/>
              <w:t>$131 - $136</w:t>
            </w:r>
          </w:p>
        </w:tc>
        <w:tc>
          <w:tcPr>
            <w:tcW w:w="465" w:type="dxa"/>
            <w:tcBorders/>
            <w:vAlign w:val="center"/>
          </w:tcPr>
          <w:p>
            <w:pPr>
              <w:pStyle w:val="TableContents"/>
              <w:bidi w:val="0"/>
              <w:spacing w:before="0" w:after="283"/>
              <w:jc w:val="right"/>
              <w:rPr/>
            </w:pPr>
            <w:r>
              <w:rPr/>
              <w:t>$</w:t>
            </w:r>
          </w:p>
        </w:tc>
        <w:tc>
          <w:tcPr>
            <w:tcW w:w="963" w:type="dxa"/>
            <w:tcBorders/>
            <w:vAlign w:val="center"/>
          </w:tcPr>
          <w:p>
            <w:pPr>
              <w:pStyle w:val="TableContents"/>
              <w:bidi w:val="0"/>
              <w:spacing w:before="0" w:after="283"/>
              <w:jc w:val="right"/>
              <w:rPr/>
            </w:pPr>
            <w:r>
              <w:rPr/>
              <w:t>119</w:t>
            </w:r>
          </w:p>
        </w:tc>
        <w:tc>
          <w:tcPr>
            <w:tcW w:w="894" w:type="dxa"/>
            <w:tcBorders/>
            <w:vAlign w:val="center"/>
          </w:tcPr>
          <w:p>
            <w:pPr>
              <w:pStyle w:val="TableContents"/>
              <w:bidi w:val="0"/>
              <w:spacing w:before="0" w:after="283"/>
              <w:jc w:val="right"/>
              <w:rPr/>
            </w:pPr>
            <w:r>
              <w:rPr/>
              <w:t>12.1</w:t>
            </w:r>
          </w:p>
        </w:tc>
        <w:tc>
          <w:tcPr>
            <w:tcW w:w="519" w:type="dxa"/>
            <w:tcBorders/>
            <w:vAlign w:val="center"/>
          </w:tcPr>
          <w:p>
            <w:pPr>
              <w:pStyle w:val="TableContents"/>
              <w:bidi w:val="0"/>
              <w:spacing w:before="0" w:after="283"/>
              <w:jc w:val="left"/>
              <w:rPr/>
            </w:pPr>
            <w:r>
              <w:rPr/>
              <w:t>%</w:t>
            </w:r>
          </w:p>
        </w:tc>
      </w:tr>
      <w:tr>
        <w:trPr/>
        <w:tc>
          <w:tcPr>
            <w:tcW w:w="4653" w:type="dxa"/>
            <w:tcBorders/>
            <w:vAlign w:val="center"/>
          </w:tcPr>
          <w:p>
            <w:pPr>
              <w:pStyle w:val="TableContents"/>
              <w:bidi w:val="0"/>
              <w:spacing w:before="0" w:after="283"/>
              <w:jc w:val="left"/>
              <w:rPr/>
            </w:pPr>
            <w:r>
              <w:rPr/>
              <w:t>Capital Expenditures, net of government grant reimbursements</w:t>
            </w:r>
          </w:p>
        </w:tc>
        <w:tc>
          <w:tcPr>
            <w:tcW w:w="2711" w:type="dxa"/>
            <w:tcBorders/>
            <w:vAlign w:val="center"/>
          </w:tcPr>
          <w:p>
            <w:pPr>
              <w:pStyle w:val="TableContents"/>
              <w:bidi w:val="0"/>
              <w:spacing w:before="0" w:after="283"/>
              <w:jc w:val="center"/>
              <w:rPr/>
            </w:pPr>
            <w:r>
              <w:rPr/>
              <w:t>$220 - $250</w:t>
            </w:r>
          </w:p>
        </w:tc>
        <w:tc>
          <w:tcPr>
            <w:tcW w:w="465" w:type="dxa"/>
            <w:tcBorders/>
            <w:vAlign w:val="center"/>
          </w:tcPr>
          <w:p>
            <w:pPr>
              <w:pStyle w:val="TableContents"/>
              <w:bidi w:val="0"/>
              <w:spacing w:before="0" w:after="283"/>
              <w:jc w:val="right"/>
              <w:rPr/>
            </w:pPr>
            <w:r>
              <w:rPr/>
              <w:t>$</w:t>
            </w:r>
          </w:p>
        </w:tc>
        <w:tc>
          <w:tcPr>
            <w:tcW w:w="963" w:type="dxa"/>
            <w:tcBorders/>
            <w:vAlign w:val="center"/>
          </w:tcPr>
          <w:p>
            <w:pPr>
              <w:pStyle w:val="TableContents"/>
              <w:bidi w:val="0"/>
              <w:spacing w:before="0" w:after="283"/>
              <w:jc w:val="right"/>
              <w:rPr/>
            </w:pPr>
            <w:r>
              <w:rPr/>
              <w:t>296</w:t>
            </w:r>
          </w:p>
        </w:tc>
        <w:tc>
          <w:tcPr>
            <w:tcW w:w="894" w:type="dxa"/>
            <w:tcBorders/>
            <w:vAlign w:val="center"/>
          </w:tcPr>
          <w:p>
            <w:pPr>
              <w:pStyle w:val="TableContents"/>
              <w:bidi w:val="0"/>
              <w:spacing w:before="0" w:after="283"/>
              <w:jc w:val="right"/>
              <w:rPr/>
            </w:pPr>
            <w:r>
              <w:rPr/>
              <w:t>(20.7</w:t>
            </w:r>
          </w:p>
        </w:tc>
        <w:tc>
          <w:tcPr>
            <w:tcW w:w="519" w:type="dxa"/>
            <w:tcBorders/>
            <w:vAlign w:val="center"/>
          </w:tcPr>
          <w:p>
            <w:pPr>
              <w:pStyle w:val="TableContents"/>
              <w:bidi w:val="0"/>
              <w:spacing w:before="0" w:after="283"/>
              <w:jc w:val="left"/>
              <w:rPr/>
            </w:pPr>
            <w:r>
              <w:rPr/>
              <w:t>)%</w:t>
            </w:r>
          </w:p>
        </w:tc>
      </w:tr>
    </w:tbl>
    <w:p>
      <w:pPr>
        <w:pStyle w:val="TextBody"/>
        <w:bidi w:val="0"/>
        <w:jc w:val="both"/>
        <w:rPr>
          <w:position w:val="-2"/>
          <w:sz w:val="19"/>
        </w:rPr>
      </w:pPr>
      <w:r>
        <w:rPr>
          <w:position w:val="8"/>
          <w:sz w:val="19"/>
        </w:rPr>
        <w:t xml:space="preserve">1 </w:t>
      </w:r>
      <w:r>
        <w:rPr>
          <w:position w:val="-2"/>
          <w:sz w:val="19"/>
        </w:rPr>
        <w:t>Further clarification and explanation of this non-GAAP measure can be found in the “Non-GAAP Financial Measures” section of this release below.</w:t>
      </w:r>
    </w:p>
    <w:p>
      <w:pPr>
        <w:pStyle w:val="TextBody"/>
        <w:bidi w:val="0"/>
        <w:jc w:val="both"/>
        <w:rPr/>
      </w:pPr>
      <w:r>
        <w:rPr/>
        <w:t>The 2026 financial guidance presented above does not reflect any assumptions regarding the potential impacts of ongoing global geopolitical conflicts or the evolving tariff environment. The Company does not provide a reconciliation for Adjusted EBITDA forecasts (which represent forecasts of a non-GAAP financial measure) because it cannot predict the special items that could arise without unreasonable effort.</w:t>
      </w:r>
    </w:p>
    <w:p>
      <w:pPr>
        <w:pStyle w:val="TextBody"/>
        <w:bidi w:val="0"/>
        <w:jc w:val="left"/>
        <w:rPr/>
      </w:pPr>
      <w:r>
        <w:rPr>
          <w:rStyle w:val="StrongEmphasis"/>
          <w:u w:val="single"/>
        </w:rPr>
        <w:t>Earnings Call Webcast</w:t>
      </w:r>
    </w:p>
    <w:p>
      <w:pPr>
        <w:pStyle w:val="TextBody"/>
        <w:bidi w:val="0"/>
        <w:jc w:val="left"/>
        <w:rPr/>
      </w:pPr>
      <w:r>
        <w:rPr/>
        <w:t>Date: Wednesday, July 29, 2026</w:t>
        <w:br/>
        <w:t>Time: 8:30 a.m. ET</w:t>
        <w:br/>
        <w:t>Listen via Internet: https://investor.shentel.com/</w:t>
        <w:br/>
        <w:t xml:space="preserve">For Analysts, please register to dial in at this </w:t>
      </w:r>
      <w:r>
        <w:rPr>
          <w:u w:val="single"/>
        </w:rPr>
        <w:t>link</w:t>
      </w:r>
      <w:r>
        <w:rPr/>
        <w:t>.</w:t>
      </w:r>
    </w:p>
    <w:p>
      <w:pPr>
        <w:pStyle w:val="TextBody"/>
        <w:bidi w:val="0"/>
        <w:jc w:val="left"/>
        <w:rPr/>
      </w:pPr>
      <w:r>
        <w:rPr/>
        <w:t>A replay of the call will be available for a limited time on the Investor Relations page of the Company’s website.</w:t>
      </w:r>
    </w:p>
    <w:p>
      <w:pPr>
        <w:pStyle w:val="TextBody"/>
        <w:bidi w:val="0"/>
        <w:jc w:val="both"/>
        <w:rPr/>
      </w:pPr>
      <w:r>
        <w:rPr>
          <w:rStyle w:val="StrongEmphasis"/>
        </w:rPr>
        <w:t>About Shenandoah Telecommunications</w:t>
      </w:r>
    </w:p>
    <w:p>
      <w:pPr>
        <w:pStyle w:val="TextBody"/>
        <w:bidi w:val="0"/>
        <w:jc w:val="both"/>
        <w:rPr/>
      </w:pPr>
      <w:r>
        <w:rPr/>
        <w:t>Shenandoah Telecommunications Company (Shentel) provides broadband services through its high speed, state-of-the-art fiber optic and cable networks to residential and commercial customers in eight contiguous states in the eastern United States. The Company’s services include: broadband internet, video, voice, high-speed Ethernet, dedicated internet access, dark fiber leasing, and managed network services. The Company owns an extensive regional network with over 19,800 route miles of fiber. For more information, please visit www.shentel.com.</w:t>
      </w:r>
    </w:p>
    <w:p>
      <w:pPr>
        <w:pStyle w:val="TextBody"/>
        <w:bidi w:val="0"/>
        <w:jc w:val="both"/>
        <w:rPr/>
      </w:pPr>
      <w:r>
        <w:rPr>
          <w:rStyle w:val="Emphasis"/>
        </w:rPr>
        <w:t>This release contains forward-looking statements and projections about Shentel regarding, among other things, its business strategy, its prospects and its financial position. These statements can be identified by the use of forward-looking terminology such as “believes,” “estimates,” “expects,” “intends,” “may,” “will,” “plans,” “should,” “could,” or “anticipates” or the negative or other variation of these or similar words, or by discussions of strategy or risks and uncertainties. The forward-looking statements are based upon management’s beliefs, assumptions and current expectations and may include comments as to Shentel’s beliefs and expectations as to future events and trends affecting its business that are necessarily subject to uncertainties, many of which are outside Shentel’s control. Although management believes that the expectations reflected in the forward-looking statements are reasonable, forward-looking statements are not, and should not be relied upon as, a guarantee of future performance or results, nor will they necessarily prove to be accurate indications of the times at which such performance or results will be achieved, and actual results may differ materially from those contained in or implied by the forward-looking statements as a result of various factors. A discussion of other factors that may cause actual results to differ from management’s projections, forecasts, estimates and expectations is available in Shentel’s filings with the Securities and Exchange Commission, including our Annual Report on Form 10-K for the year ended December 31, 2025 and our Quarterly Reports on Form 10-Q. Those factors may include, among others, changes in overall economic conditions including ongoing geopolitical conflicts, rising inflation, changes in tariffs, new or changing regulatory requirements, uncertainty arising from U.S. government budgetary, funding, regulatory, administrative, or policy developments changes in technologies, changes in competition, changing demand for our products and services, our ability to execute our business strategies, availability of labor resources and capital, natural disasters, pandemics and outbreaks of contagious diseases and other adverse public health developments, and other conditions. The forward-looking statements included are made only as of the date of the statement. Shentel undertakes no obligation to revise or update such statements to reflect current events or circumstances after the date hereof, or to reflect the occurrence of unanticipated events, except as required by law.</w:t>
      </w:r>
    </w:p>
    <w:p>
      <w:pPr>
        <w:pStyle w:val="TextBody"/>
        <w:bidi w:val="0"/>
        <w:jc w:val="left"/>
        <w:rPr/>
      </w:pPr>
      <w:r>
        <w:rPr/>
        <w:t xml:space="preserve">CONTACTS: </w:t>
        <w:br/>
        <w:t>   Shenandoah Telecommunications Company</w:t>
        <w:br/>
        <w:t>   Lucas Binder</w:t>
        <w:br/>
        <w:t>   Vice President of Corporate Finance</w:t>
        <w:br/>
        <w:t>   540-984-4800</w:t>
        <w:br/>
        <w:t>   Lucas.Binder@emp.shentel.com</w:t>
      </w:r>
    </w:p>
    <w:tbl>
      <w:tblPr>
        <w:tblW w:w="10205" w:type="dxa"/>
        <w:jc w:val="left"/>
        <w:tblInd w:w="0" w:type="dxa"/>
        <w:tblLayout w:type="fixed"/>
        <w:tblCellMar>
          <w:top w:w="28" w:type="dxa"/>
          <w:left w:w="28" w:type="dxa"/>
          <w:bottom w:w="28" w:type="dxa"/>
          <w:right w:w="28" w:type="dxa"/>
        </w:tblCellMar>
      </w:tblPr>
      <w:tblGrid>
        <w:gridCol w:w="4494"/>
        <w:gridCol w:w="146"/>
        <w:gridCol w:w="226"/>
        <w:gridCol w:w="841"/>
        <w:gridCol w:w="181"/>
        <w:gridCol w:w="146"/>
        <w:gridCol w:w="226"/>
        <w:gridCol w:w="841"/>
        <w:gridCol w:w="181"/>
        <w:gridCol w:w="146"/>
        <w:gridCol w:w="226"/>
        <w:gridCol w:w="886"/>
        <w:gridCol w:w="181"/>
        <w:gridCol w:w="146"/>
        <w:gridCol w:w="226"/>
        <w:gridCol w:w="886"/>
        <w:gridCol w:w="226"/>
      </w:tblGrid>
      <w:tr>
        <w:trPr/>
        <w:tc>
          <w:tcPr>
            <w:tcW w:w="10205" w:type="dxa"/>
            <w:gridSpan w:val="17"/>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left"/>
              <w:rPr/>
            </w:pPr>
            <w:r>
              <w:rPr>
                <w:rStyle w:val="StrongEmphasis"/>
              </w:rPr>
              <w:t>SHENANDOAH TELECOMMUNICATIONS COMPANY AND SUBSIDIARIES</w:t>
            </w:r>
          </w:p>
        </w:tc>
      </w:tr>
      <w:tr>
        <w:trPr/>
        <w:tc>
          <w:tcPr>
            <w:tcW w:w="10205" w:type="dxa"/>
            <w:gridSpan w:val="17"/>
            <w:tcBorders/>
            <w:vAlign w:val="center"/>
          </w:tcPr>
          <w:p>
            <w:pPr>
              <w:pStyle w:val="TableContents"/>
              <w:bidi w:val="0"/>
              <w:spacing w:before="0" w:after="283"/>
              <w:jc w:val="left"/>
              <w:rPr/>
            </w:pPr>
            <w:r>
              <w:rPr>
                <w:rStyle w:val="StrongEmphasis"/>
              </w:rPr>
              <w:t>UNAUDITED CONDENSED CONSOLIDATED STATEMENTS OF OPERATIONS</w:t>
            </w:r>
          </w:p>
        </w:tc>
      </w:tr>
      <w:tr>
        <w:trPr/>
        <w:tc>
          <w:tcPr>
            <w:tcW w:w="4494" w:type="dxa"/>
            <w:tcBorders/>
            <w:vAlign w:val="center"/>
          </w:tcPr>
          <w:p>
            <w:pPr>
              <w:pStyle w:val="TableContents"/>
              <w:bidi w:val="0"/>
              <w:spacing w:before="0" w:after="283"/>
              <w:jc w:val="left"/>
              <w:rPr/>
            </w:pPr>
            <w:r>
              <w:rPr>
                <w:rStyle w:val="Emphasis"/>
              </w:rPr>
              <w:t>(in thousands, except per share amounts)</w:t>
            </w:r>
          </w:p>
        </w:tc>
        <w:tc>
          <w:tcPr>
            <w:tcW w:w="146" w:type="dxa"/>
            <w:tcBorders/>
            <w:vAlign w:val="center"/>
          </w:tcPr>
          <w:p>
            <w:pPr>
              <w:pStyle w:val="TableContents"/>
              <w:bidi w:val="0"/>
              <w:spacing w:before="0" w:after="283"/>
              <w:jc w:val="left"/>
              <w:rPr/>
            </w:pPr>
            <w:r>
              <w:rPr/>
              <w:t> </w:t>
            </w:r>
          </w:p>
        </w:tc>
        <w:tc>
          <w:tcPr>
            <w:tcW w:w="264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June 30,</w:t>
            </w:r>
          </w:p>
        </w:tc>
        <w:tc>
          <w:tcPr>
            <w:tcW w:w="146" w:type="dxa"/>
            <w:tcBorders/>
            <w:vAlign w:val="center"/>
          </w:tcPr>
          <w:p>
            <w:pPr>
              <w:pStyle w:val="TableContents"/>
              <w:bidi w:val="0"/>
              <w:spacing w:before="0" w:after="283"/>
              <w:jc w:val="left"/>
              <w:rPr/>
            </w:pPr>
            <w:r>
              <w:rPr/>
              <w:t> </w:t>
            </w:r>
          </w:p>
        </w:tc>
        <w:tc>
          <w:tcPr>
            <w:tcW w:w="277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w:t>
            </w:r>
            <w:r>
              <w:rPr/>
              <w:br/>
            </w:r>
            <w:r>
              <w:rPr>
                <w:rStyle w:val="StrongEmphasis"/>
              </w:rPr>
              <w:t>June 30,</w:t>
            </w:r>
          </w:p>
        </w:tc>
      </w:tr>
      <w:tr>
        <w:trPr/>
        <w:tc>
          <w:tcPr>
            <w:tcW w:w="44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4494" w:type="dxa"/>
            <w:tcBorders/>
            <w:vAlign w:val="center"/>
          </w:tcPr>
          <w:p>
            <w:pPr>
              <w:pStyle w:val="TableContents"/>
              <w:bidi w:val="0"/>
              <w:spacing w:before="0" w:after="283"/>
              <w:jc w:val="left"/>
              <w:rPr/>
            </w:pPr>
            <w:r>
              <w:rPr/>
              <w:t>Residential &amp; SMB - Incumbent Broadband Markets</w:t>
            </w:r>
            <w:r>
              <w:rPr>
                <w:position w:val="8"/>
                <w:sz w:val="19"/>
              </w:rPr>
              <w:t>1</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40,282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42,837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81,425</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86,196</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494" w:type="dxa"/>
            <w:tcBorders/>
            <w:vAlign w:val="center"/>
          </w:tcPr>
          <w:p>
            <w:pPr>
              <w:pStyle w:val="TableContents"/>
              <w:bidi w:val="0"/>
              <w:spacing w:before="0" w:after="283"/>
              <w:jc w:val="left"/>
              <w:rPr/>
            </w:pPr>
            <w:r>
              <w:rPr/>
              <w:t>Residential &amp; SMB - Glo Fiber Expansion Markets</w:t>
            </w:r>
            <w:r>
              <w:rPr>
                <w:position w:val="8"/>
                <w:sz w:val="19"/>
              </w:rPr>
              <w:t>2</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26,289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19,796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51,117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38,240</w:t>
            </w:r>
          </w:p>
        </w:tc>
        <w:tc>
          <w:tcPr>
            <w:tcW w:w="226" w:type="dxa"/>
            <w:tcBorders/>
            <w:vAlign w:val="center"/>
          </w:tcPr>
          <w:p>
            <w:pPr>
              <w:pStyle w:val="TableContents"/>
              <w:bidi w:val="0"/>
              <w:spacing w:before="0" w:after="283"/>
              <w:jc w:val="left"/>
              <w:rPr/>
            </w:pPr>
            <w:r>
              <w:rPr/>
              <w:t> </w:t>
            </w:r>
          </w:p>
        </w:tc>
      </w:tr>
      <w:tr>
        <w:trPr/>
        <w:tc>
          <w:tcPr>
            <w:tcW w:w="4494" w:type="dxa"/>
            <w:tcBorders/>
            <w:vAlign w:val="center"/>
          </w:tcPr>
          <w:p>
            <w:pPr>
              <w:pStyle w:val="TableContents"/>
              <w:bidi w:val="0"/>
              <w:spacing w:before="0" w:after="283"/>
              <w:jc w:val="left"/>
              <w:rPr/>
            </w:pPr>
            <w:r>
              <w:rPr/>
              <w:t>Commercial Fiber</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21,386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19,483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41,928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39,095</w:t>
            </w:r>
          </w:p>
        </w:tc>
        <w:tc>
          <w:tcPr>
            <w:tcW w:w="226" w:type="dxa"/>
            <w:tcBorders/>
            <w:vAlign w:val="center"/>
          </w:tcPr>
          <w:p>
            <w:pPr>
              <w:pStyle w:val="TableContents"/>
              <w:bidi w:val="0"/>
              <w:spacing w:before="0" w:after="283"/>
              <w:jc w:val="left"/>
              <w:rPr/>
            </w:pPr>
            <w:r>
              <w:rPr/>
              <w:t> </w:t>
            </w:r>
          </w:p>
        </w:tc>
      </w:tr>
      <w:tr>
        <w:trPr/>
        <w:tc>
          <w:tcPr>
            <w:tcW w:w="4494" w:type="dxa"/>
            <w:tcBorders/>
            <w:vAlign w:val="center"/>
          </w:tcPr>
          <w:p>
            <w:pPr>
              <w:pStyle w:val="TableContents"/>
              <w:bidi w:val="0"/>
              <w:spacing w:before="0" w:after="283"/>
              <w:jc w:val="left"/>
              <w:rPr/>
            </w:pPr>
            <w:r>
              <w:rPr/>
              <w:t>RLEC &amp; Other</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5,505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6,452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11,145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12,935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94" w:type="dxa"/>
            <w:tcBorders/>
            <w:vAlign w:val="center"/>
          </w:tcPr>
          <w:p>
            <w:pPr>
              <w:pStyle w:val="TableContents"/>
              <w:bidi w:val="0"/>
              <w:spacing w:before="0" w:after="283"/>
              <w:jc w:val="left"/>
              <w:rPr/>
            </w:pPr>
            <w:r>
              <w:rPr/>
              <w:t>Service revenue and other</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93,462</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88,568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185,615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176,466</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494" w:type="dxa"/>
            <w:tcBorders/>
            <w:vAlign w:val="center"/>
          </w:tcPr>
          <w:p>
            <w:pPr>
              <w:pStyle w:val="TableContents"/>
              <w:bidi w:val="0"/>
              <w:spacing w:before="0" w:after="283"/>
              <w:jc w:val="left"/>
              <w:rPr/>
            </w:pPr>
            <w:r>
              <w:rPr/>
              <w:t>Operating expenses:</w:t>
            </w:r>
          </w:p>
        </w:tc>
        <w:tc>
          <w:tcPr>
            <w:tcW w:w="146" w:type="dxa"/>
            <w:tcBorders/>
            <w:vAlign w:val="center"/>
          </w:tcPr>
          <w:p>
            <w:pPr>
              <w:pStyle w:val="TableContents"/>
              <w:bidi w:val="0"/>
              <w:spacing w:before="0" w:after="283"/>
              <w:jc w:val="left"/>
              <w:rPr/>
            </w:pPr>
            <w:r>
              <w:rPr/>
              <w:t> </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Cost of services, exclusive of depreciation and amortization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32,703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32,624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64,527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65,654</w:t>
            </w:r>
          </w:p>
        </w:tc>
        <w:tc>
          <w:tcPr>
            <w:tcW w:w="226" w:type="dxa"/>
            <w:tcBorders/>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Selling, general and administrative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31,022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29,743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64,409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60,735</w:t>
            </w:r>
          </w:p>
        </w:tc>
        <w:tc>
          <w:tcPr>
            <w:tcW w:w="226" w:type="dxa"/>
            <w:tcBorders/>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Restructuring, integration and acquisition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2,574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716</w:t>
            </w:r>
          </w:p>
        </w:tc>
        <w:tc>
          <w:tcPr>
            <w:tcW w:w="226" w:type="dxa"/>
            <w:tcBorders/>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30,619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35,103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65,590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64,561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Total operating expenses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94,478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97,676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197,100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191,666</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Operating loss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(1,016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(9,108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(11,485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(15,200</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4494" w:type="dxa"/>
            <w:tcBorders/>
            <w:vAlign w:val="center"/>
          </w:tcPr>
          <w:p>
            <w:pPr>
              <w:pStyle w:val="TableContents"/>
              <w:bidi w:val="0"/>
              <w:spacing w:before="0" w:after="283"/>
              <w:jc w:val="left"/>
              <w:rPr/>
            </w:pPr>
            <w:r>
              <w:rPr/>
              <w:t>Other (expense) income:</w:t>
            </w:r>
          </w:p>
        </w:tc>
        <w:tc>
          <w:tcPr>
            <w:tcW w:w="146" w:type="dxa"/>
            <w:tcBorders/>
            <w:vAlign w:val="center"/>
          </w:tcPr>
          <w:p>
            <w:pPr>
              <w:pStyle w:val="TableContents"/>
              <w:bidi w:val="0"/>
              <w:spacing w:before="0" w:after="283"/>
              <w:jc w:val="left"/>
              <w:rPr/>
            </w:pPr>
            <w:r>
              <w:rPr/>
              <w:t> </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(9,696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(6,003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(19,131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(10,895</w:t>
            </w:r>
          </w:p>
        </w:tc>
        <w:tc>
          <w:tcPr>
            <w:tcW w:w="226" w:type="dxa"/>
            <w:tcBorders/>
            <w:vAlign w:val="center"/>
          </w:tcPr>
          <w:p>
            <w:pPr>
              <w:pStyle w:val="TableContents"/>
              <w:bidi w:val="0"/>
              <w:spacing w:before="0" w:after="283"/>
              <w:jc w:val="left"/>
              <w:rPr/>
            </w:pPr>
            <w:r>
              <w:rPr/>
              <w:t>)</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Other income, net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3,015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3,748</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Loss before income taxes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(10,240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(12,096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(30,099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(22,347</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494" w:type="dxa"/>
            <w:tcBorders/>
            <w:vAlign w:val="center"/>
          </w:tcPr>
          <w:p>
            <w:pPr>
              <w:pStyle w:val="TableContents"/>
              <w:bidi w:val="0"/>
              <w:spacing w:before="0" w:after="283"/>
              <w:jc w:val="left"/>
              <w:rPr/>
            </w:pPr>
            <w:r>
              <w:rPr/>
              <w:t>Income tax benefit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(2,541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(3,048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(6,649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(4,167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(7,699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(9,048</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(23,450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(18,180</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Dividends on redeemable noncontrolling interest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1,605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1,497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3,182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2,969</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Net loss attributable to common shareholders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(9,304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(10,545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(26,632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(21,149</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4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494" w:type="dxa"/>
            <w:tcBorders/>
            <w:vAlign w:val="center"/>
          </w:tcPr>
          <w:p>
            <w:pPr>
              <w:pStyle w:val="TableContents"/>
              <w:bidi w:val="0"/>
              <w:spacing w:before="0" w:after="283"/>
              <w:jc w:val="left"/>
              <w:rPr/>
            </w:pPr>
            <w:r>
              <w:rPr/>
              <w:t>Net loss per share attributable to common shareholders, basic and diluted:</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Net loss per share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(0.17</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(0.19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(0.48</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(0.38</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494" w:type="dxa"/>
            <w:tcBorders/>
            <w:tcMar>
              <w:top w:w="0" w:type="dxa"/>
              <w:left w:w="0" w:type="dxa"/>
              <w:bottom w:w="0" w:type="dxa"/>
              <w:right w:w="0" w:type="dxa"/>
            </w:tcMar>
            <w:vAlign w:val="center"/>
          </w:tcPr>
          <w:p>
            <w:pPr>
              <w:pStyle w:val="TableContents"/>
              <w:bidi w:val="0"/>
              <w:spacing w:before="0" w:after="283"/>
              <w:jc w:val="left"/>
              <w:rPr/>
            </w:pPr>
            <w:r>
              <w:rPr/>
              <w:t>Weighted average shares outstanding</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55,779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55,103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55,664</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55,032</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_______________________________________________________</w:t>
      </w:r>
    </w:p>
    <w:p>
      <w:pPr>
        <w:pStyle w:val="TextBody"/>
        <w:numPr>
          <w:ilvl w:val="0"/>
          <w:numId w:val="5"/>
        </w:numPr>
        <w:tabs>
          <w:tab w:val="clear" w:pos="1134"/>
          <w:tab w:val="left" w:pos="709" w:leader="none"/>
        </w:tabs>
        <w:bidi w:val="0"/>
        <w:spacing w:before="0" w:after="0"/>
        <w:ind w:left="709" w:hanging="283"/>
        <w:jc w:val="both"/>
        <w:rPr/>
      </w:pPr>
      <w:r>
        <w:rPr/>
        <w:t>Revenue from residential and small and medium business (“SMB”) customers in Incumbent Broadband Markets is primarily earned through the Company’s provision of data, video and voice services over primarily hybrid fiber coaxial cable and to a lesser extent FTTH networks in incumbent markets.</w:t>
      </w:r>
    </w:p>
    <w:p>
      <w:pPr>
        <w:pStyle w:val="TextBody"/>
        <w:numPr>
          <w:ilvl w:val="0"/>
          <w:numId w:val="5"/>
        </w:numPr>
        <w:tabs>
          <w:tab w:val="clear" w:pos="1134"/>
          <w:tab w:val="left" w:pos="709" w:leader="none"/>
        </w:tabs>
        <w:bidi w:val="0"/>
        <w:ind w:left="709" w:hanging="283"/>
        <w:jc w:val="both"/>
        <w:rPr/>
      </w:pPr>
      <w:r>
        <w:rPr/>
        <w:t>Revenue from residential and SMB customers in Glo Fiber Expansion Markets is primarily earned through the Company’s provision of data, video and voice services over FTTH networks in new greenfield expansion markets.</w:t>
      </w:r>
    </w:p>
    <w:tbl>
      <w:tblPr>
        <w:tblW w:w="10205" w:type="dxa"/>
        <w:jc w:val="left"/>
        <w:tblInd w:w="0" w:type="dxa"/>
        <w:tblLayout w:type="fixed"/>
        <w:tblCellMar>
          <w:top w:w="28" w:type="dxa"/>
          <w:left w:w="28" w:type="dxa"/>
          <w:bottom w:w="28" w:type="dxa"/>
          <w:right w:w="28" w:type="dxa"/>
        </w:tblCellMar>
      </w:tblPr>
      <w:tblGrid>
        <w:gridCol w:w="7349"/>
        <w:gridCol w:w="226"/>
        <w:gridCol w:w="1066"/>
        <w:gridCol w:w="146"/>
        <w:gridCol w:w="239"/>
        <w:gridCol w:w="1179"/>
      </w:tblGrid>
      <w:tr>
        <w:trPr/>
        <w:tc>
          <w:tcPr>
            <w:tcW w:w="7349" w:type="dxa"/>
            <w:tcBorders/>
            <w:vAlign w:val="center"/>
          </w:tcPr>
          <w:p>
            <w:pPr>
              <w:pStyle w:val="TableContents"/>
              <w:bidi w:val="0"/>
              <w:spacing w:before="0" w:after="283"/>
              <w:jc w:val="left"/>
              <w:rPr/>
            </w:pPr>
            <w:r>
              <w:rPr>
                <w:rStyle w:val="StrongEmphasis"/>
              </w:rPr>
              <w:t>SHENANDOAH TELECOMMUNICATIONS COMPANY AND SUBSIDIARIES</w:t>
            </w:r>
            <w:r>
              <w:rPr>
                <w:rStyle w:val="Emphasis"/>
              </w:rPr>
              <w:br/>
            </w:r>
            <w:r>
              <w:rPr>
                <w:rStyle w:val="StrongEmphasis"/>
              </w:rPr>
              <w:t>UNAUDITED CONDENSED CONSOLIDATED BALANCE SHEETS</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283"/>
              <w:jc w:val="left"/>
              <w:rPr/>
            </w:pPr>
            <w:r>
              <w:rPr/>
              <w:t> </w:t>
            </w:r>
          </w:p>
        </w:tc>
      </w:tr>
      <w:tr>
        <w:trPr/>
        <w:tc>
          <w:tcPr>
            <w:tcW w:w="7349" w:type="dxa"/>
            <w:tcBorders/>
            <w:vAlign w:val="center"/>
          </w:tcPr>
          <w:p>
            <w:pPr>
              <w:pStyle w:val="TableContents"/>
              <w:bidi w:val="0"/>
              <w:spacing w:before="0" w:after="283"/>
              <w:jc w:val="left"/>
              <w:rPr/>
            </w:pPr>
            <w:r>
              <w:rPr>
                <w:rStyle w:val="Emphasis"/>
              </w:rPr>
              <w:t>(in thousands)</w:t>
            </w:r>
          </w:p>
        </w:tc>
        <w:tc>
          <w:tcPr>
            <w:tcW w:w="12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r>
              <w:rPr/>
              <w:br/>
            </w:r>
            <w:r>
              <w:rPr>
                <w:rStyle w:val="StrongEmphasis"/>
              </w:rPr>
              <w:t>2026</w:t>
            </w:r>
          </w:p>
        </w:tc>
        <w:tc>
          <w:tcPr>
            <w:tcW w:w="146" w:type="dxa"/>
            <w:tcBorders/>
            <w:vAlign w:val="center"/>
          </w:tcPr>
          <w:p>
            <w:pPr>
              <w:pStyle w:val="TableContents"/>
              <w:bidi w:val="0"/>
              <w:spacing w:before="0" w:after="283"/>
              <w:jc w:val="left"/>
              <w:rPr/>
            </w:pPr>
            <w:r>
              <w:rPr/>
              <w:t> </w:t>
            </w:r>
          </w:p>
        </w:tc>
        <w:tc>
          <w:tcPr>
            <w:tcW w:w="141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w:t>
            </w:r>
            <w:r>
              <w:rPr/>
              <w:br/>
            </w:r>
            <w:r>
              <w:rPr>
                <w:rStyle w:val="StrongEmphasis"/>
              </w:rPr>
              <w:t>2025</w:t>
            </w:r>
          </w:p>
        </w:tc>
      </w:tr>
      <w:tr>
        <w:trPr/>
        <w:tc>
          <w:tcPr>
            <w:tcW w:w="7349" w:type="dxa"/>
            <w:tcBorders/>
            <w:vAlign w:val="center"/>
          </w:tcPr>
          <w:p>
            <w:pPr>
              <w:pStyle w:val="TableContents"/>
              <w:bidi w:val="0"/>
              <w:spacing w:before="0" w:after="283"/>
              <w:jc w:val="left"/>
              <w:rPr/>
            </w:pPr>
            <w:r>
              <w:rPr>
                <w:rStyle w:val="StrongEmphasis"/>
              </w:rPr>
              <w:t>ASSETS</w:t>
            </w:r>
          </w:p>
        </w:tc>
        <w:tc>
          <w:tcPr>
            <w:tcW w:w="129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8"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349" w:type="dxa"/>
            <w:tcBorders/>
            <w:vAlign w:val="center"/>
          </w:tcPr>
          <w:p>
            <w:pPr>
              <w:pStyle w:val="TableContents"/>
              <w:bidi w:val="0"/>
              <w:spacing w:before="0" w:after="283"/>
              <w:jc w:val="left"/>
              <w:rPr/>
            </w:pPr>
            <w:r>
              <w:rPr/>
              <w:t>Current assets:</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283"/>
              <w:jc w:val="left"/>
              <w:rPr/>
            </w:pPr>
            <w:r>
              <w:rPr/>
              <w:t> </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23,895</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w:t>
            </w:r>
          </w:p>
        </w:tc>
        <w:tc>
          <w:tcPr>
            <w:tcW w:w="1179" w:type="dxa"/>
            <w:tcBorders/>
            <w:vAlign w:val="center"/>
          </w:tcPr>
          <w:p>
            <w:pPr>
              <w:pStyle w:val="TableContents"/>
              <w:bidi w:val="0"/>
              <w:spacing w:before="0" w:after="283"/>
              <w:jc w:val="right"/>
              <w:rPr/>
            </w:pPr>
            <w:r>
              <w:rPr/>
              <w:t>27,259</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Restricted cash and cash equivalents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30,899</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20,945</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Accounts receivable, net of allowance for credit losses of $1,314 and $829, respectively</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20,526</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31,497</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Income taxes receivable</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3,444</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2,544</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Prepaid expenses and other</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14,662</w:t>
            </w:r>
          </w:p>
        </w:tc>
        <w:tc>
          <w:tcPr>
            <w:tcW w:w="146"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15,198</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93,426</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7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97,443</w:t>
            </w:r>
          </w:p>
        </w:tc>
      </w:tr>
      <w:tr>
        <w:trPr/>
        <w:tc>
          <w:tcPr>
            <w:tcW w:w="7349" w:type="dxa"/>
            <w:tcBorders/>
            <w:vAlign w:val="center"/>
          </w:tcPr>
          <w:p>
            <w:pPr>
              <w:pStyle w:val="TableContents"/>
              <w:bidi w:val="0"/>
              <w:spacing w:before="0" w:after="283"/>
              <w:jc w:val="left"/>
              <w:rPr/>
            </w:pPr>
            <w:r>
              <w:rPr/>
              <w:t>Investments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16,312</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16,510</w:t>
            </w:r>
          </w:p>
        </w:tc>
      </w:tr>
      <w:tr>
        <w:trPr/>
        <w:tc>
          <w:tcPr>
            <w:tcW w:w="7349" w:type="dxa"/>
            <w:tcBorders/>
            <w:vAlign w:val="center"/>
          </w:tcPr>
          <w:p>
            <w:pPr>
              <w:pStyle w:val="TableContents"/>
              <w:bidi w:val="0"/>
              <w:spacing w:before="0" w:after="283"/>
              <w:jc w:val="left"/>
              <w:rPr/>
            </w:pPr>
            <w:r>
              <w:rPr/>
              <w:t>Property, plant and equipment, net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1,671,466</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1,601,609</w:t>
            </w:r>
          </w:p>
        </w:tc>
      </w:tr>
      <w:tr>
        <w:trPr/>
        <w:tc>
          <w:tcPr>
            <w:tcW w:w="7349" w:type="dxa"/>
            <w:tcBorders/>
            <w:vAlign w:val="center"/>
          </w:tcPr>
          <w:p>
            <w:pPr>
              <w:pStyle w:val="TableContents"/>
              <w:bidi w:val="0"/>
              <w:spacing w:before="0" w:after="283"/>
              <w:jc w:val="left"/>
              <w:rPr/>
            </w:pPr>
            <w:r>
              <w:rPr/>
              <w:t>Goodwill</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67,538</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67,538</w:t>
            </w:r>
          </w:p>
        </w:tc>
      </w:tr>
      <w:tr>
        <w:trPr/>
        <w:tc>
          <w:tcPr>
            <w:tcW w:w="7349" w:type="dxa"/>
            <w:tcBorders/>
            <w:vAlign w:val="center"/>
          </w:tcPr>
          <w:p>
            <w:pPr>
              <w:pStyle w:val="TableContents"/>
              <w:bidi w:val="0"/>
              <w:spacing w:before="0" w:after="283"/>
              <w:jc w:val="left"/>
              <w:rPr/>
            </w:pPr>
            <w:r>
              <w:rPr/>
              <w:t>Intangible assets, net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88,566</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89,353</w:t>
            </w:r>
          </w:p>
        </w:tc>
      </w:tr>
      <w:tr>
        <w:trPr/>
        <w:tc>
          <w:tcPr>
            <w:tcW w:w="7349" w:type="dxa"/>
            <w:tcBorders/>
            <w:vAlign w:val="center"/>
          </w:tcPr>
          <w:p>
            <w:pPr>
              <w:pStyle w:val="TableContents"/>
              <w:bidi w:val="0"/>
              <w:spacing w:before="0" w:after="283"/>
              <w:jc w:val="left"/>
              <w:rPr/>
            </w:pPr>
            <w:r>
              <w:rPr/>
              <w:t>Operating lease right-of-use assets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19,092</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19,657</w:t>
            </w:r>
          </w:p>
        </w:tc>
      </w:tr>
      <w:tr>
        <w:trPr/>
        <w:tc>
          <w:tcPr>
            <w:tcW w:w="7349" w:type="dxa"/>
            <w:tcBorders/>
            <w:vAlign w:val="center"/>
          </w:tcPr>
          <w:p>
            <w:pPr>
              <w:pStyle w:val="TableContents"/>
              <w:bidi w:val="0"/>
              <w:spacing w:before="0" w:after="283"/>
              <w:jc w:val="left"/>
              <w:rPr/>
            </w:pPr>
            <w:r>
              <w:rPr/>
              <w:t>Deferred charges and other assets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18,548</w:t>
            </w:r>
          </w:p>
        </w:tc>
        <w:tc>
          <w:tcPr>
            <w:tcW w:w="146"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18,652</w:t>
            </w:r>
          </w:p>
        </w:tc>
      </w:tr>
      <w:tr>
        <w:trPr/>
        <w:tc>
          <w:tcPr>
            <w:tcW w:w="7349" w:type="dxa"/>
            <w:tcBorders/>
            <w:vAlign w:val="center"/>
          </w:tcPr>
          <w:p>
            <w:pPr>
              <w:pStyle w:val="TableContents"/>
              <w:bidi w:val="0"/>
              <w:spacing w:before="0" w:after="283"/>
              <w:jc w:val="left"/>
              <w:rPr/>
            </w:pPr>
            <w:r>
              <w:rPr/>
              <w:t>Total assets</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1,974,948</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1,910,762</w:t>
            </w:r>
          </w:p>
        </w:tc>
      </w:tr>
      <w:tr>
        <w:trPr/>
        <w:tc>
          <w:tcPr>
            <w:tcW w:w="7349" w:type="dxa"/>
            <w:tcBorders/>
            <w:vAlign w:val="center"/>
          </w:tcPr>
          <w:p>
            <w:pPr>
              <w:pStyle w:val="TableContents"/>
              <w:bidi w:val="0"/>
              <w:spacing w:before="0" w:after="283"/>
              <w:jc w:val="left"/>
              <w:rPr/>
            </w:pPr>
            <w:r>
              <w:rPr>
                <w:rStyle w:val="StrongEmphasis"/>
              </w:rPr>
              <w:t>LIABILITIES, TEMPORARY EQUITY AND SHAREHOLDERS’ EQUITY</w:t>
            </w:r>
          </w:p>
        </w:tc>
        <w:tc>
          <w:tcPr>
            <w:tcW w:w="129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8"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349" w:type="dxa"/>
            <w:tcBorders/>
            <w:vAlign w:val="center"/>
          </w:tcPr>
          <w:p>
            <w:pPr>
              <w:pStyle w:val="TableContents"/>
              <w:bidi w:val="0"/>
              <w:spacing w:before="0" w:after="283"/>
              <w:jc w:val="left"/>
              <w:rPr/>
            </w:pPr>
            <w:r>
              <w:rPr/>
              <w:t>Current liabilities:</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283"/>
              <w:jc w:val="left"/>
              <w:rPr/>
            </w:pPr>
            <w:r>
              <w:rPr/>
              <w:t> </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58,217</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w:t>
            </w:r>
          </w:p>
        </w:tc>
        <w:tc>
          <w:tcPr>
            <w:tcW w:w="1179" w:type="dxa"/>
            <w:tcBorders/>
            <w:vAlign w:val="center"/>
          </w:tcPr>
          <w:p>
            <w:pPr>
              <w:pStyle w:val="TableContents"/>
              <w:bidi w:val="0"/>
              <w:spacing w:before="0" w:after="283"/>
              <w:jc w:val="right"/>
              <w:rPr/>
            </w:pPr>
            <w:r>
              <w:rPr/>
              <w:t>61,355</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Advanced billings and customer deposits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18,046</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16,909</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Accrued compensation</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12,750</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13,334</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Current operating lease liabilities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2,765</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2,819</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Accrued liabilities and other</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17,890</w:t>
            </w:r>
          </w:p>
        </w:tc>
        <w:tc>
          <w:tcPr>
            <w:tcW w:w="146"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14,079</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109,668</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108,496</w:t>
            </w:r>
          </w:p>
        </w:tc>
      </w:tr>
      <w:tr>
        <w:trPr/>
        <w:tc>
          <w:tcPr>
            <w:tcW w:w="7349" w:type="dxa"/>
            <w:tcBorders/>
            <w:vAlign w:val="center"/>
          </w:tcPr>
          <w:p>
            <w:pPr>
              <w:pStyle w:val="TableContents"/>
              <w:bidi w:val="0"/>
              <w:spacing w:before="0" w:after="283"/>
              <w:jc w:val="left"/>
              <w:rPr/>
            </w:pPr>
            <w:r>
              <w:rPr/>
              <w:t>Long-term debt, net of unamortized loan fees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715,027</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7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628,237</w:t>
            </w:r>
          </w:p>
        </w:tc>
      </w:tr>
      <w:tr>
        <w:trPr/>
        <w:tc>
          <w:tcPr>
            <w:tcW w:w="7349" w:type="dxa"/>
            <w:tcBorders/>
            <w:vAlign w:val="center"/>
          </w:tcPr>
          <w:p>
            <w:pPr>
              <w:pStyle w:val="TableContents"/>
              <w:bidi w:val="0"/>
              <w:spacing w:before="0" w:after="283"/>
              <w:jc w:val="left"/>
              <w:rPr/>
            </w:pPr>
            <w:r>
              <w:rPr/>
              <w:t>Other long-term liabilities:</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283"/>
              <w:jc w:val="left"/>
              <w:rPr/>
            </w:pPr>
            <w:r>
              <w:rPr/>
              <w:t> </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Deferred income taxes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150,969</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157,618</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Benefit plan obligations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4,428</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4,150</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Non-current operating lease liabilities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10,140</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10,632</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Other liabilities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33,090</w:t>
            </w:r>
          </w:p>
        </w:tc>
        <w:tc>
          <w:tcPr>
            <w:tcW w:w="146"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32,340</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Total other long-term liabilities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198,627</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204,740</w:t>
            </w:r>
          </w:p>
        </w:tc>
      </w:tr>
      <w:tr>
        <w:trPr/>
        <w:tc>
          <w:tcPr>
            <w:tcW w:w="7349" w:type="dxa"/>
            <w:tcBorders/>
            <w:vAlign w:val="center"/>
          </w:tcPr>
          <w:p>
            <w:pPr>
              <w:pStyle w:val="TableContents"/>
              <w:bidi w:val="0"/>
              <w:spacing w:before="0" w:after="283"/>
              <w:jc w:val="left"/>
              <w:rPr/>
            </w:pPr>
            <w:r>
              <w:rPr/>
              <w:t>Commitments and contingencies</w:t>
            </w:r>
          </w:p>
        </w:tc>
        <w:tc>
          <w:tcPr>
            <w:tcW w:w="129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8"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349" w:type="dxa"/>
            <w:tcBorders/>
            <w:vAlign w:val="center"/>
          </w:tcPr>
          <w:p>
            <w:pPr>
              <w:pStyle w:val="TableContents"/>
              <w:bidi w:val="0"/>
              <w:spacing w:before="0" w:after="283"/>
              <w:jc w:val="left"/>
              <w:rPr/>
            </w:pPr>
            <w:r>
              <w:rPr/>
              <w:t>Temporary equity:</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283"/>
              <w:jc w:val="left"/>
              <w:rPr/>
            </w:pPr>
            <w:r>
              <w:rPr/>
              <w:t> </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Redeemable noncontrolling interest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91,688</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88,506</w:t>
            </w:r>
          </w:p>
        </w:tc>
      </w:tr>
      <w:tr>
        <w:trPr/>
        <w:tc>
          <w:tcPr>
            <w:tcW w:w="7349" w:type="dxa"/>
            <w:tcBorders/>
            <w:vAlign w:val="center"/>
          </w:tcPr>
          <w:p>
            <w:pPr>
              <w:pStyle w:val="TableContents"/>
              <w:bidi w:val="0"/>
              <w:spacing w:before="0" w:after="283"/>
              <w:jc w:val="left"/>
              <w:rPr/>
            </w:pPr>
            <w:r>
              <w:rPr/>
              <w:t>Shareholders’ equity:</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283"/>
              <w:jc w:val="left"/>
              <w:rPr/>
            </w:pPr>
            <w:r>
              <w:rPr/>
              <w:t> </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Common stock, no par value, authorized 96,000; 55,364 and 54,899 issued and outstanding at June 30, 2026 and December 31, 2025, respectively</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Additional paid in capital</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163,003</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1179" w:type="dxa"/>
            <w:tcBorders/>
            <w:vAlign w:val="center"/>
          </w:tcPr>
          <w:p>
            <w:pPr>
              <w:pStyle w:val="TableContents"/>
              <w:bidi w:val="0"/>
              <w:spacing w:before="0" w:after="283"/>
              <w:jc w:val="right"/>
              <w:rPr/>
            </w:pPr>
            <w:r>
              <w:rPr/>
              <w:t>157,216</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Retained earnings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696,935</w:t>
            </w:r>
          </w:p>
        </w:tc>
        <w:tc>
          <w:tcPr>
            <w:tcW w:w="146"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723,567</w:t>
            </w:r>
          </w:p>
        </w:tc>
      </w:tr>
      <w:tr>
        <w:trPr/>
        <w:tc>
          <w:tcPr>
            <w:tcW w:w="7349" w:type="dxa"/>
            <w:tcBorders/>
            <w:tcMar>
              <w:top w:w="0" w:type="dxa"/>
              <w:left w:w="0" w:type="dxa"/>
              <w:bottom w:w="0" w:type="dxa"/>
              <w:right w:w="0" w:type="dxa"/>
            </w:tcMar>
            <w:vAlign w:val="center"/>
          </w:tcPr>
          <w:p>
            <w:pPr>
              <w:pStyle w:val="TableContents"/>
              <w:bidi w:val="0"/>
              <w:spacing w:before="0" w:after="283"/>
              <w:jc w:val="left"/>
              <w:rPr/>
            </w:pPr>
            <w:r>
              <w:rPr/>
              <w:t>Total shareholders’ equity</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859,938</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880,783</w:t>
            </w:r>
          </w:p>
        </w:tc>
      </w:tr>
      <w:tr>
        <w:trPr/>
        <w:tc>
          <w:tcPr>
            <w:tcW w:w="7349" w:type="dxa"/>
            <w:tcBorders/>
            <w:vAlign w:val="center"/>
          </w:tcPr>
          <w:p>
            <w:pPr>
              <w:pStyle w:val="TableContents"/>
              <w:bidi w:val="0"/>
              <w:spacing w:before="0" w:after="283"/>
              <w:jc w:val="left"/>
              <w:rPr/>
            </w:pPr>
            <w:r>
              <w:rPr/>
              <w:t>Total liabilities, temporary equity and shareholders’ equity</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1,974,948</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1,910,762</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278"/>
        <w:gridCol w:w="226"/>
        <w:gridCol w:w="961"/>
        <w:gridCol w:w="181"/>
        <w:gridCol w:w="146"/>
        <w:gridCol w:w="226"/>
        <w:gridCol w:w="961"/>
        <w:gridCol w:w="226"/>
      </w:tblGrid>
      <w:tr>
        <w:trPr/>
        <w:tc>
          <w:tcPr>
            <w:tcW w:w="7278" w:type="dxa"/>
            <w:tcBorders/>
            <w:vAlign w:val="center"/>
          </w:tcPr>
          <w:p>
            <w:pPr>
              <w:pStyle w:val="TableContents"/>
              <w:bidi w:val="0"/>
              <w:spacing w:before="0" w:after="283"/>
              <w:jc w:val="left"/>
              <w:rPr/>
            </w:pPr>
            <w:r>
              <w:rPr>
                <w:rStyle w:val="StrongEmphasis"/>
              </w:rPr>
              <w:t>SHENANDOAH TELECOMMUNICATIONS COMPANY AND SUBSIDIARIES</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7278" w:type="dxa"/>
            <w:tcBorders/>
            <w:vAlign w:val="center"/>
          </w:tcPr>
          <w:p>
            <w:pPr>
              <w:pStyle w:val="TableContents"/>
              <w:bidi w:val="0"/>
              <w:spacing w:before="0" w:after="283"/>
              <w:jc w:val="left"/>
              <w:rPr/>
            </w:pPr>
            <w:r>
              <w:rPr>
                <w:rStyle w:val="StrongEmphasis"/>
              </w:rPr>
              <w:t>UNAUDITED CONDENSED CONSOLIDATED STATEMENTS OF CASH FLOWS</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7278" w:type="dxa"/>
            <w:tcBorders/>
            <w:vAlign w:val="center"/>
          </w:tcPr>
          <w:p>
            <w:pPr>
              <w:pStyle w:val="TableContents"/>
              <w:bidi w:val="0"/>
              <w:spacing w:before="0" w:after="283"/>
              <w:jc w:val="left"/>
              <w:rPr/>
            </w:pPr>
            <w:r>
              <w:rPr>
                <w:rStyle w:val="Emphasis"/>
              </w:rPr>
              <w:t>(in thousands)</w:t>
            </w:r>
          </w:p>
        </w:tc>
        <w:tc>
          <w:tcPr>
            <w:tcW w:w="292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w:t>
            </w:r>
            <w:r>
              <w:rPr/>
              <w:br/>
            </w:r>
            <w:r>
              <w:rPr>
                <w:rStyle w:val="StrongEmphasis"/>
              </w:rPr>
              <w:t>June 30,</w:t>
            </w:r>
          </w:p>
        </w:tc>
      </w:tr>
      <w:tr>
        <w:trPr/>
        <w:tc>
          <w:tcPr>
            <w:tcW w:w="7278"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278" w:type="dxa"/>
            <w:tcBorders/>
            <w:vAlign w:val="center"/>
          </w:tcPr>
          <w:p>
            <w:pPr>
              <w:pStyle w:val="TableContents"/>
              <w:bidi w:val="0"/>
              <w:spacing w:before="0" w:after="283"/>
              <w:jc w:val="left"/>
              <w:rPr/>
            </w:pPr>
            <w:r>
              <w:rPr>
                <w:rStyle w:val="StrongEmphasis"/>
              </w:rPr>
              <w:t>Cash flows from operating activities:</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Net loss</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(23,450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(18,180</w:t>
            </w:r>
          </w:p>
        </w:tc>
        <w:tc>
          <w:tcPr>
            <w:tcW w:w="226" w:type="dxa"/>
            <w:tcBorders/>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Adjustments to reconcile net loss to net cash provided by operating activities:</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64,769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63,613</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Amortization of intangible assets</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821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948</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Stock-based compensation expense, net of amount capitalized</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7,101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5,904</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Deferred income taxes</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(6,649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(4,167</w:t>
            </w:r>
          </w:p>
        </w:tc>
        <w:tc>
          <w:tcPr>
            <w:tcW w:w="226" w:type="dxa"/>
            <w:tcBorders/>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Provision for credit losses</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886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804</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Other, net</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2,025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165</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Changes in assets and liabilities:</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Accounts receivable</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1,155</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Current income taxes</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(900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217</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Operating lease assets and liabilities, net</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(79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(437</w:t>
            </w:r>
          </w:p>
        </w:tc>
        <w:tc>
          <w:tcPr>
            <w:tcW w:w="226" w:type="dxa"/>
            <w:tcBorders/>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(2,345</w:t>
            </w:r>
          </w:p>
        </w:tc>
        <w:tc>
          <w:tcPr>
            <w:tcW w:w="226" w:type="dxa"/>
            <w:tcBorders/>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975</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Other deferrals and accruals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3,770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(4,931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Net cash provided by operating activities - continuing operations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48,806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43,721</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Net cash used in operating activities - discontinued operations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(2,251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Net cash provided by operating activities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48,806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41,470</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278" w:type="dxa"/>
            <w:tcBorders/>
            <w:vAlign w:val="center"/>
          </w:tcPr>
          <w:p>
            <w:pPr>
              <w:pStyle w:val="TableContents"/>
              <w:bidi w:val="0"/>
              <w:spacing w:before="0" w:after="283"/>
              <w:jc w:val="left"/>
              <w:rPr/>
            </w:pPr>
            <w:r>
              <w:rPr/>
              <w:t> </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78" w:type="dxa"/>
            <w:tcBorders/>
            <w:vAlign w:val="center"/>
          </w:tcPr>
          <w:p>
            <w:pPr>
              <w:pStyle w:val="TableContents"/>
              <w:bidi w:val="0"/>
              <w:spacing w:before="0" w:after="283"/>
              <w:jc w:val="left"/>
              <w:rPr/>
            </w:pPr>
            <w:r>
              <w:rPr>
                <w:rStyle w:val="StrongEmphasis"/>
              </w:rPr>
              <w:t>Cash flows from investing activities:</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Capital expenditures</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(146,195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(169,432</w:t>
            </w:r>
          </w:p>
        </w:tc>
        <w:tc>
          <w:tcPr>
            <w:tcW w:w="226" w:type="dxa"/>
            <w:tcBorders/>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Government grants received</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20,618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17,281</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Proceeds from sale of assets and other</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750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Net cash used in investing activities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(124,827</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(151,908</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278" w:type="dxa"/>
            <w:tcBorders/>
            <w:vAlign w:val="center"/>
          </w:tcPr>
          <w:p>
            <w:pPr>
              <w:pStyle w:val="TableContents"/>
              <w:bidi w:val="0"/>
              <w:spacing w:before="0" w:after="283"/>
              <w:jc w:val="left"/>
              <w:rPr/>
            </w:pPr>
            <w:r>
              <w:rPr/>
              <w:t> </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78" w:type="dxa"/>
            <w:tcBorders/>
            <w:vAlign w:val="center"/>
          </w:tcPr>
          <w:p>
            <w:pPr>
              <w:pStyle w:val="TableContents"/>
              <w:bidi w:val="0"/>
              <w:spacing w:before="0" w:after="283"/>
              <w:jc w:val="left"/>
              <w:rPr/>
            </w:pPr>
            <w:r>
              <w:rPr>
                <w:rStyle w:val="StrongEmphasis"/>
              </w:rPr>
              <w:t>Cash flows from financing activities:</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Proceeds from credit facility borrowings</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113,000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100,000</w:t>
            </w:r>
          </w:p>
        </w:tc>
        <w:tc>
          <w:tcPr>
            <w:tcW w:w="226" w:type="dxa"/>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Principal payments on long-term debt</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(27,000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(4,893</w:t>
            </w:r>
          </w:p>
        </w:tc>
        <w:tc>
          <w:tcPr>
            <w:tcW w:w="226" w:type="dxa"/>
            <w:tcBorders/>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Payments for debt issuance and amendment costs</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(429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(430</w:t>
            </w:r>
          </w:p>
        </w:tc>
        <w:tc>
          <w:tcPr>
            <w:tcW w:w="226" w:type="dxa"/>
            <w:tcBorders/>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Taxes paid for equity award issuances</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(1,804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(1,035</w:t>
            </w:r>
          </w:p>
        </w:tc>
        <w:tc>
          <w:tcPr>
            <w:tcW w:w="226" w:type="dxa"/>
            <w:tcBorders/>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Payments for financing arrangements and other</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(1,156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(399</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Net cash provided by financing activities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82,611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93,243</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Net increase (decrease) in cash and cash equivalents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6,590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(17,195</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Cash, cash equivalents, and restricted cash, beginning of period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48,204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46,272</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rStyle w:val="StrongEmphasis"/>
              </w:rPr>
              <w:t>Cash, cash equivalents, and restricted cash, end of period</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54,794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29,077</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278" w:type="dxa"/>
            <w:tcBorders/>
            <w:vAlign w:val="center"/>
          </w:tcPr>
          <w:p>
            <w:pPr>
              <w:pStyle w:val="TableContents"/>
              <w:bidi w:val="0"/>
              <w:spacing w:before="0" w:after="283"/>
              <w:jc w:val="left"/>
              <w:rPr/>
            </w:pPr>
            <w:r>
              <w:rPr/>
              <w:t> </w:t>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78" w:type="dxa"/>
            <w:tcBorders/>
            <w:vAlign w:val="center"/>
          </w:tcPr>
          <w:p>
            <w:pPr>
              <w:pStyle w:val="TableContents"/>
              <w:bidi w:val="0"/>
              <w:spacing w:before="0" w:after="283"/>
              <w:jc w:val="left"/>
              <w:rPr/>
            </w:pPr>
            <w:r>
              <w:rPr>
                <w:rStyle w:val="StrongEmphasis"/>
              </w:rPr>
              <w:t>Supplemental Disclosures of Cash Flow Information</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left"/>
              <w:rPr/>
            </w:pPr>
            <w:r>
              <w:rPr/>
              <w:t> </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Interest paid, net of amounts capitalized</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(18,315</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(9,891</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278" w:type="dxa"/>
            <w:tcBorders/>
            <w:tcMar>
              <w:top w:w="0" w:type="dxa"/>
              <w:left w:w="0" w:type="dxa"/>
              <w:bottom w:w="0" w:type="dxa"/>
              <w:right w:w="0" w:type="dxa"/>
            </w:tcMar>
            <w:vAlign w:val="center"/>
          </w:tcPr>
          <w:p>
            <w:pPr>
              <w:pStyle w:val="TableContents"/>
              <w:bidi w:val="0"/>
              <w:spacing w:before="0" w:after="283"/>
              <w:jc w:val="left"/>
              <w:rPr/>
            </w:pPr>
            <w:r>
              <w:rPr/>
              <w:t>Income taxes paid</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(900</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(2,034</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bl>
    <w:p>
      <w:pPr>
        <w:pStyle w:val="TextBody"/>
        <w:bidi w:val="0"/>
        <w:jc w:val="both"/>
        <w:rPr/>
      </w:pPr>
      <w:r>
        <w:rPr>
          <w:rStyle w:val="StrongEmphasis"/>
        </w:rPr>
        <w:br/>
        <w:t>Non-GAAP Financial Measures</w:t>
      </w:r>
      <w:r>
        <w:rPr/>
        <w:br/>
      </w:r>
      <w:r>
        <w:rPr>
          <w:rStyle w:val="Emphasis"/>
        </w:rPr>
        <w:t>Adjusted EBITDA and Adjusted EBITDA Margin</w:t>
      </w:r>
    </w:p>
    <w:p>
      <w:pPr>
        <w:pStyle w:val="TextBody"/>
        <w:bidi w:val="0"/>
        <w:jc w:val="both"/>
        <w:rPr/>
      </w:pPr>
      <w:r>
        <w:rPr/>
        <w:t>The Company defines Adjusted EBITDA as (loss) income from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A reconciliation of Net loss, which is the most directly comparable GAAP financial measure, to Adjusted EBITDA is provided below herein.</w:t>
      </w:r>
    </w:p>
    <w:p>
      <w:pPr>
        <w:pStyle w:val="TextBody"/>
        <w:bidi w:val="0"/>
        <w:jc w:val="both"/>
        <w:rPr/>
      </w:pPr>
      <w:r>
        <w:rPr/>
        <w:t>Adjusted EBITDA margin is the Company’s calculation of Adjusted EBITDA, divided by revenue calculated in accordance with GAAP.</w:t>
      </w:r>
    </w:p>
    <w:p>
      <w:pPr>
        <w:pStyle w:val="TextBody"/>
        <w:bidi w:val="0"/>
        <w:jc w:val="both"/>
        <w:rPr/>
      </w:pPr>
      <w:r>
        <w:rPr/>
        <w:t>The Company uses Adjusted EBITDA and Adjusted EBITDA margin as supplemental measures of performance to evaluate operating effectiveness and assess its ability to increase revenues while controlling expense growth and the scalability of the Company’s business growth strategy. Adjusted EBITDA is also a significant performance measure used by the Company in its incentive compensation programs. The Company believes that the exclusion of the expense and income items eliminated in calculating Adjusted EBITDA and Adjusted EBITDA margin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and Adjusted EBITDA margin provide useful information to investors and others in understanding and evaluating the Company’s operating results. However, use of Adjusted EBITDA and Adjusted EBITDA margin as analytical tools has limitations, and investors and others should not consider them in isolation or as substitutes for analysis of our financial results as reported under GAAP. In addition, other companies may calculate Adjusted EBITDA and Adjusted EBITDA margin or similarly titled measures differently, which may reduce their usefulness as comparative measures.</w:t>
      </w:r>
    </w:p>
    <w:tbl>
      <w:tblPr>
        <w:tblW w:w="9957" w:type="dxa"/>
        <w:jc w:val="left"/>
        <w:tblInd w:w="0" w:type="dxa"/>
        <w:tblLayout w:type="fixed"/>
        <w:tblCellMar>
          <w:top w:w="28" w:type="dxa"/>
          <w:left w:w="28" w:type="dxa"/>
          <w:bottom w:w="28" w:type="dxa"/>
          <w:right w:w="28" w:type="dxa"/>
        </w:tblCellMar>
      </w:tblPr>
      <w:tblGrid>
        <w:gridCol w:w="4006"/>
        <w:gridCol w:w="146"/>
        <w:gridCol w:w="226"/>
        <w:gridCol w:w="766"/>
        <w:gridCol w:w="301"/>
        <w:gridCol w:w="146"/>
        <w:gridCol w:w="226"/>
        <w:gridCol w:w="766"/>
        <w:gridCol w:w="301"/>
        <w:gridCol w:w="146"/>
        <w:gridCol w:w="226"/>
        <w:gridCol w:w="841"/>
        <w:gridCol w:w="301"/>
        <w:gridCol w:w="146"/>
        <w:gridCol w:w="226"/>
        <w:gridCol w:w="841"/>
        <w:gridCol w:w="346"/>
      </w:tblGrid>
      <w:tr>
        <w:trPr/>
        <w:tc>
          <w:tcPr>
            <w:tcW w:w="40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3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June 30,</w:t>
            </w:r>
          </w:p>
        </w:tc>
        <w:tc>
          <w:tcPr>
            <w:tcW w:w="146" w:type="dxa"/>
            <w:tcBorders/>
            <w:vAlign w:val="center"/>
          </w:tcPr>
          <w:p>
            <w:pPr>
              <w:pStyle w:val="TableContents"/>
              <w:bidi w:val="0"/>
              <w:spacing w:before="0" w:after="283"/>
              <w:jc w:val="left"/>
              <w:rPr/>
            </w:pPr>
            <w:r>
              <w:rPr/>
              <w:t> </w:t>
            </w:r>
          </w:p>
        </w:tc>
        <w:tc>
          <w:tcPr>
            <w:tcW w:w="292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w:t>
            </w:r>
            <w:r>
              <w:rPr/>
              <w:br/>
            </w:r>
            <w:r>
              <w:rPr>
                <w:rStyle w:val="StrongEmphasis"/>
              </w:rPr>
              <w:t>June 30,</w:t>
            </w:r>
          </w:p>
        </w:tc>
      </w:tr>
      <w:tr>
        <w:trPr/>
        <w:tc>
          <w:tcPr>
            <w:tcW w:w="4006" w:type="dxa"/>
            <w:tcBorders/>
            <w:vAlign w:val="center"/>
          </w:tcPr>
          <w:p>
            <w:pPr>
              <w:pStyle w:val="TableContents"/>
              <w:bidi w:val="0"/>
              <w:spacing w:before="0" w:after="283"/>
              <w:jc w:val="left"/>
              <w:rPr/>
            </w:pPr>
            <w:r>
              <w:rPr>
                <w:rStyle w:val="Emphasis"/>
              </w:rPr>
              <w:t>(in thousands)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006" w:type="dxa"/>
            <w:tcBorders/>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(7,699</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(9,048</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(23,450</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(18,180</w:t>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30,619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35,103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65,590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64,561</w:t>
            </w:r>
          </w:p>
        </w:tc>
        <w:tc>
          <w:tcPr>
            <w:tcW w:w="346" w:type="dxa"/>
            <w:tcBorders/>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9,696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6,003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19,131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10,895</w:t>
            </w:r>
          </w:p>
        </w:tc>
        <w:tc>
          <w:tcPr>
            <w:tcW w:w="346" w:type="dxa"/>
            <w:tcBorders/>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Other income,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(472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(3,015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(517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(3,748</w:t>
            </w:r>
          </w:p>
        </w:tc>
        <w:tc>
          <w:tcPr>
            <w:tcW w:w="346" w:type="dxa"/>
            <w:tcBorders/>
            <w:vAlign w:val="center"/>
          </w:tcPr>
          <w:p>
            <w:pPr>
              <w:pStyle w:val="TableContents"/>
              <w:bidi w:val="0"/>
              <w:spacing w:before="0" w:after="283"/>
              <w:jc w:val="left"/>
              <w:rPr/>
            </w:pPr>
            <w:r>
              <w:rPr/>
              <w:t>)</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Income tax benefit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(2,541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(3,048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(6,649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(4,167</w:t>
            </w:r>
          </w:p>
        </w:tc>
        <w:tc>
          <w:tcPr>
            <w:tcW w:w="346" w:type="dxa"/>
            <w:tcBorders/>
            <w:vAlign w:val="center"/>
          </w:tcPr>
          <w:p>
            <w:pPr>
              <w:pStyle w:val="TableContents"/>
              <w:bidi w:val="0"/>
              <w:spacing w:before="0" w:after="283"/>
              <w:jc w:val="left"/>
              <w:rPr/>
            </w:pPr>
            <w:r>
              <w:rPr/>
              <w:t>)</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2,303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2,187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7,101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5,904</w:t>
            </w:r>
          </w:p>
        </w:tc>
        <w:tc>
          <w:tcPr>
            <w:tcW w:w="346" w:type="dxa"/>
            <w:tcBorders/>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Restructuring, integration and acquisition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134</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2,574</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716</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06" w:type="dxa"/>
            <w:tcBorders/>
            <w:vAlign w:val="center"/>
          </w:tcPr>
          <w:p>
            <w:pPr>
              <w:pStyle w:val="TableContents"/>
              <w:bidi w:val="0"/>
              <w:spacing w:before="0" w:after="283"/>
              <w:jc w:val="left"/>
              <w:rPr/>
            </w:pPr>
            <w:r>
              <w:rPr/>
              <w:t>Adjusted EBITDA</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32,040</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28,388</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63,780</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55,981</w:t>
            </w:r>
          </w:p>
        </w:tc>
        <w:tc>
          <w:tcPr>
            <w:tcW w:w="3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0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006" w:type="dxa"/>
            <w:tcBorders/>
            <w:vAlign w:val="center"/>
          </w:tcPr>
          <w:p>
            <w:pPr>
              <w:pStyle w:val="TableContents"/>
              <w:bidi w:val="0"/>
              <w:spacing w:before="0" w:after="283"/>
              <w:jc w:val="left"/>
              <w:rPr/>
            </w:pPr>
            <w:r>
              <w:rPr/>
              <w:t>Adjusted EBITDA margin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32</w:t>
            </w:r>
          </w:p>
        </w:tc>
        <w:tc>
          <w:tcPr>
            <w:tcW w:w="346" w:type="dxa"/>
            <w:tcBorders/>
            <w:vAlign w:val="center"/>
          </w:tcPr>
          <w:p>
            <w:pPr>
              <w:pStyle w:val="TableContents"/>
              <w:bidi w:val="0"/>
              <w:spacing w:before="0" w:after="283"/>
              <w:jc w:val="left"/>
              <w:rPr/>
            </w:pPr>
            <w:r>
              <w:rPr/>
              <w:t>%</w:t>
            </w:r>
          </w:p>
        </w:tc>
      </w:tr>
    </w:tbl>
    <w:p>
      <w:pPr>
        <w:pStyle w:val="TextBody"/>
        <w:bidi w:val="0"/>
        <w:jc w:val="both"/>
        <w:rPr/>
      </w:pPr>
      <w:r>
        <w:rPr>
          <w:rStyle w:val="StrongEmphasis"/>
        </w:rPr>
        <w:br/>
        <w:t>Supplemental Information</w:t>
      </w:r>
    </w:p>
    <w:p>
      <w:pPr>
        <w:pStyle w:val="TextBody"/>
        <w:bidi w:val="0"/>
        <w:jc w:val="both"/>
        <w:rPr/>
      </w:pPr>
      <w:r>
        <w:rPr>
          <w:rStyle w:val="StrongEmphasis"/>
        </w:rPr>
        <w:t>Operating Statistics</w:t>
      </w:r>
    </w:p>
    <w:tbl>
      <w:tblPr>
        <w:tblW w:w="10205" w:type="dxa"/>
        <w:jc w:val="left"/>
        <w:tblInd w:w="0" w:type="dxa"/>
        <w:tblLayout w:type="fixed"/>
        <w:tblCellMar>
          <w:top w:w="28" w:type="dxa"/>
          <w:left w:w="28" w:type="dxa"/>
          <w:bottom w:w="28" w:type="dxa"/>
          <w:right w:w="28" w:type="dxa"/>
        </w:tblCellMar>
      </w:tblPr>
      <w:tblGrid>
        <w:gridCol w:w="7280"/>
        <w:gridCol w:w="1066"/>
        <w:gridCol w:w="301"/>
        <w:gridCol w:w="146"/>
        <w:gridCol w:w="1066"/>
        <w:gridCol w:w="346"/>
      </w:tblGrid>
      <w:tr>
        <w:trPr/>
        <w:tc>
          <w:tcPr>
            <w:tcW w:w="7280" w:type="dxa"/>
            <w:tcBorders/>
            <w:vAlign w:val="center"/>
          </w:tcPr>
          <w:p>
            <w:pPr>
              <w:pStyle w:val="TableContents"/>
              <w:bidi w:val="0"/>
              <w:spacing w:before="0" w:after="283"/>
              <w:jc w:val="left"/>
              <w:rPr/>
            </w:pPr>
            <w:r>
              <w:rPr/>
              <w:t> </w:t>
            </w:r>
          </w:p>
        </w:tc>
        <w:tc>
          <w:tcPr>
            <w:tcW w:w="2925"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June 30,</w:t>
            </w:r>
          </w:p>
        </w:tc>
      </w:tr>
      <w:tr>
        <w:trPr/>
        <w:tc>
          <w:tcPr>
            <w:tcW w:w="7280" w:type="dxa"/>
            <w:tcBorders/>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Homes and businesses passed (1)</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066" w:type="dxa"/>
            <w:tcBorders/>
            <w:vAlign w:val="center"/>
          </w:tcPr>
          <w:p>
            <w:pPr>
              <w:pStyle w:val="TableContents"/>
              <w:bidi w:val="0"/>
              <w:spacing w:before="0" w:after="283"/>
              <w:jc w:val="right"/>
              <w:rPr/>
            </w:pPr>
            <w:r>
              <w:rPr>
                <w:rStyle w:val="Emphasis"/>
              </w:rPr>
              <w:t>253,059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rStyle w:val="Emphasis"/>
              </w:rPr>
              <w:t>244,007</w:t>
            </w:r>
          </w:p>
        </w:tc>
        <w:tc>
          <w:tcPr>
            <w:tcW w:w="346" w:type="dxa"/>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475,677</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378,916</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Total homes and businesses passed</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728,736</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622,923</w:t>
            </w:r>
          </w:p>
        </w:tc>
        <w:tc>
          <w:tcPr>
            <w:tcW w:w="3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 </w:t>
            </w:r>
          </w:p>
        </w:tc>
        <w:tc>
          <w:tcPr>
            <w:tcW w:w="136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rStyle w:val="StrongEmphasis"/>
              </w:rPr>
              <w:t>Residential &amp; Small and Medium Business ("SMB") Revenue Generating Units ("RGUs"):</w:t>
            </w:r>
          </w:p>
        </w:tc>
        <w:tc>
          <w:tcPr>
            <w:tcW w:w="136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066" w:type="dxa"/>
            <w:tcBorders/>
            <w:vAlign w:val="center"/>
          </w:tcPr>
          <w:p>
            <w:pPr>
              <w:pStyle w:val="TableContents"/>
              <w:bidi w:val="0"/>
              <w:spacing w:before="0" w:after="283"/>
              <w:jc w:val="right"/>
              <w:rPr/>
            </w:pPr>
            <w:r>
              <w:rPr>
                <w:rStyle w:val="Emphasis"/>
              </w:rPr>
              <w:t>110,620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rStyle w:val="Emphasis"/>
              </w:rPr>
              <w:t>111,730</w:t>
            </w:r>
          </w:p>
        </w:tc>
        <w:tc>
          <w:tcPr>
            <w:tcW w:w="346" w:type="dxa"/>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100,155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76,276</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Broadband Data</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210,775</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188,006</w:t>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Video</w:t>
            </w:r>
          </w:p>
        </w:tc>
        <w:tc>
          <w:tcPr>
            <w:tcW w:w="1066" w:type="dxa"/>
            <w:tcBorders/>
            <w:vAlign w:val="center"/>
          </w:tcPr>
          <w:p>
            <w:pPr>
              <w:pStyle w:val="TableContents"/>
              <w:bidi w:val="0"/>
              <w:spacing w:before="0" w:after="283"/>
              <w:jc w:val="right"/>
              <w:rPr/>
            </w:pPr>
            <w:r>
              <w:rPr/>
              <w:t>34,615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37,626</w:t>
            </w:r>
          </w:p>
        </w:tc>
        <w:tc>
          <w:tcPr>
            <w:tcW w:w="346" w:type="dxa"/>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Voice</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27,013</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26,129</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rStyle w:val="StrongEmphasis"/>
              </w:rPr>
              <w:t>Total Residential &amp; SMB RGUs (excludes RLEC)</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272,403</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251,761</w:t>
            </w:r>
          </w:p>
        </w:tc>
        <w:tc>
          <w:tcPr>
            <w:tcW w:w="3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 </w:t>
            </w:r>
          </w:p>
        </w:tc>
        <w:tc>
          <w:tcPr>
            <w:tcW w:w="136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rStyle w:val="StrongEmphasis"/>
              </w:rPr>
              <w:t>Residential &amp; SMB Penetration (2)</w:t>
            </w:r>
          </w:p>
        </w:tc>
        <w:tc>
          <w:tcPr>
            <w:tcW w:w="136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066" w:type="dxa"/>
            <w:tcBorders/>
            <w:vAlign w:val="center"/>
          </w:tcPr>
          <w:p>
            <w:pPr>
              <w:pStyle w:val="TableContents"/>
              <w:bidi w:val="0"/>
              <w:spacing w:before="0" w:after="283"/>
              <w:jc w:val="right"/>
              <w:rPr/>
            </w:pPr>
            <w:r>
              <w:rPr>
                <w:rStyle w:val="Emphasis"/>
              </w:rPr>
              <w:t>43.7</w:t>
            </w:r>
          </w:p>
        </w:tc>
        <w:tc>
          <w:tcPr>
            <w:tcW w:w="301" w:type="dxa"/>
            <w:tcBorders/>
            <w:vAlign w:val="center"/>
          </w:tcPr>
          <w:p>
            <w:pPr>
              <w:pStyle w:val="TableContents"/>
              <w:bidi w:val="0"/>
              <w:spacing w:before="0" w:after="283"/>
              <w:jc w:val="left"/>
              <w:rPr/>
            </w:pPr>
            <w:r>
              <w:rPr>
                <w:rStyle w:val="Emphasis"/>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rStyle w:val="Emphasis"/>
              </w:rPr>
              <w:t>45.8</w:t>
            </w:r>
          </w:p>
        </w:tc>
        <w:tc>
          <w:tcPr>
            <w:tcW w:w="346" w:type="dxa"/>
            <w:tcBorders/>
            <w:vAlign w:val="center"/>
          </w:tcPr>
          <w:p>
            <w:pPr>
              <w:pStyle w:val="TableContents"/>
              <w:bidi w:val="0"/>
              <w:spacing w:before="0" w:after="283"/>
              <w:jc w:val="left"/>
              <w:rPr/>
            </w:pPr>
            <w:r>
              <w:rPr>
                <w:rStyle w:val="Emphasis"/>
              </w:rPr>
              <w:t>%</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066" w:type="dxa"/>
            <w:tcBorders/>
            <w:vAlign w:val="center"/>
          </w:tcPr>
          <w:p>
            <w:pPr>
              <w:pStyle w:val="TableContents"/>
              <w:bidi w:val="0"/>
              <w:spacing w:before="0" w:after="283"/>
              <w:jc w:val="right"/>
              <w:rPr/>
            </w:pPr>
            <w:r>
              <w:rPr>
                <w:rStyle w:val="Emphasis"/>
              </w:rPr>
              <w:t>21.1</w:t>
            </w:r>
          </w:p>
        </w:tc>
        <w:tc>
          <w:tcPr>
            <w:tcW w:w="301" w:type="dxa"/>
            <w:tcBorders/>
            <w:vAlign w:val="center"/>
          </w:tcPr>
          <w:p>
            <w:pPr>
              <w:pStyle w:val="TableContents"/>
              <w:bidi w:val="0"/>
              <w:spacing w:before="0" w:after="283"/>
              <w:jc w:val="left"/>
              <w:rPr/>
            </w:pPr>
            <w:r>
              <w:rPr>
                <w:rStyle w:val="Emphasis"/>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rStyle w:val="Emphasis"/>
              </w:rPr>
              <w:t>20.1</w:t>
            </w:r>
          </w:p>
        </w:tc>
        <w:tc>
          <w:tcPr>
            <w:tcW w:w="346" w:type="dxa"/>
            <w:tcBorders/>
            <w:vAlign w:val="center"/>
          </w:tcPr>
          <w:p>
            <w:pPr>
              <w:pStyle w:val="TableContents"/>
              <w:bidi w:val="0"/>
              <w:spacing w:before="0" w:after="283"/>
              <w:jc w:val="left"/>
              <w:rPr/>
            </w:pPr>
            <w:r>
              <w:rPr>
                <w:rStyle w:val="Emphasis"/>
              </w:rPr>
              <w:t>%</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Broadband Data</w:t>
            </w:r>
          </w:p>
        </w:tc>
        <w:tc>
          <w:tcPr>
            <w:tcW w:w="1066" w:type="dxa"/>
            <w:tcBorders/>
            <w:vAlign w:val="center"/>
          </w:tcPr>
          <w:p>
            <w:pPr>
              <w:pStyle w:val="TableContents"/>
              <w:bidi w:val="0"/>
              <w:spacing w:before="0" w:after="283"/>
              <w:jc w:val="right"/>
              <w:rPr/>
            </w:pPr>
            <w:r>
              <w:rPr/>
              <w:t>28.9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30.2</w:t>
            </w:r>
          </w:p>
        </w:tc>
        <w:tc>
          <w:tcPr>
            <w:tcW w:w="346" w:type="dxa"/>
            <w:tcBorders/>
            <w:vAlign w:val="center"/>
          </w:tcPr>
          <w:p>
            <w:pPr>
              <w:pStyle w:val="TableContents"/>
              <w:bidi w:val="0"/>
              <w:spacing w:before="0" w:after="283"/>
              <w:jc w:val="left"/>
              <w:rPr/>
            </w:pPr>
            <w:r>
              <w:rPr/>
              <w:t>%</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Video</w:t>
            </w:r>
          </w:p>
        </w:tc>
        <w:tc>
          <w:tcPr>
            <w:tcW w:w="1066" w:type="dxa"/>
            <w:tcBorders/>
            <w:vAlign w:val="center"/>
          </w:tcPr>
          <w:p>
            <w:pPr>
              <w:pStyle w:val="TableContents"/>
              <w:bidi w:val="0"/>
              <w:spacing w:before="0" w:after="283"/>
              <w:jc w:val="right"/>
              <w:rPr/>
            </w:pPr>
            <w:r>
              <w:rPr/>
              <w:t>4.8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6.0</w:t>
            </w:r>
          </w:p>
        </w:tc>
        <w:tc>
          <w:tcPr>
            <w:tcW w:w="346" w:type="dxa"/>
            <w:tcBorders/>
            <w:vAlign w:val="center"/>
          </w:tcPr>
          <w:p>
            <w:pPr>
              <w:pStyle w:val="TableContents"/>
              <w:bidi w:val="0"/>
              <w:spacing w:before="0" w:after="283"/>
              <w:jc w:val="left"/>
              <w:rPr/>
            </w:pPr>
            <w:r>
              <w:rPr/>
              <w:t>%</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Voice</w:t>
            </w:r>
          </w:p>
        </w:tc>
        <w:tc>
          <w:tcPr>
            <w:tcW w:w="1066" w:type="dxa"/>
            <w:tcBorders/>
            <w:vAlign w:val="center"/>
          </w:tcPr>
          <w:p>
            <w:pPr>
              <w:pStyle w:val="TableContents"/>
              <w:bidi w:val="0"/>
              <w:spacing w:before="0" w:after="283"/>
              <w:jc w:val="right"/>
              <w:rPr/>
            </w:pPr>
            <w:r>
              <w:rPr/>
              <w:t>3.9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4.4</w:t>
            </w:r>
          </w:p>
        </w:tc>
        <w:tc>
          <w:tcPr>
            <w:tcW w:w="346" w:type="dxa"/>
            <w:tcBorders/>
            <w:vAlign w:val="center"/>
          </w:tcPr>
          <w:p>
            <w:pPr>
              <w:pStyle w:val="TableContents"/>
              <w:bidi w:val="0"/>
              <w:spacing w:before="0" w:after="283"/>
              <w:jc w:val="left"/>
              <w:rPr/>
            </w:pPr>
            <w:r>
              <w:rPr/>
              <w:t>%</w:t>
            </w:r>
          </w:p>
        </w:tc>
      </w:tr>
      <w:tr>
        <w:trPr/>
        <w:tc>
          <w:tcPr>
            <w:tcW w:w="728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Fiber route miles</w:t>
            </w:r>
          </w:p>
        </w:tc>
        <w:tc>
          <w:tcPr>
            <w:tcW w:w="1066" w:type="dxa"/>
            <w:tcBorders/>
            <w:vAlign w:val="center"/>
          </w:tcPr>
          <w:p>
            <w:pPr>
              <w:pStyle w:val="TableContents"/>
              <w:bidi w:val="0"/>
              <w:spacing w:before="0" w:after="283"/>
              <w:jc w:val="right"/>
              <w:rPr/>
            </w:pPr>
            <w:r>
              <w:rPr/>
              <w:t>19,847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17,740</w:t>
            </w:r>
          </w:p>
        </w:tc>
        <w:tc>
          <w:tcPr>
            <w:tcW w:w="346"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Total fiber miles (3)</w:t>
            </w:r>
          </w:p>
        </w:tc>
        <w:tc>
          <w:tcPr>
            <w:tcW w:w="1066" w:type="dxa"/>
            <w:tcBorders/>
            <w:vAlign w:val="center"/>
          </w:tcPr>
          <w:p>
            <w:pPr>
              <w:pStyle w:val="TableContents"/>
              <w:bidi w:val="0"/>
              <w:spacing w:before="0" w:after="283"/>
              <w:jc w:val="right"/>
              <w:rPr/>
            </w:pPr>
            <w:r>
              <w:rPr/>
              <w:t>2,096,114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1,936,922</w:t>
            </w:r>
          </w:p>
        </w:tc>
        <w:tc>
          <w:tcPr>
            <w:tcW w:w="346" w:type="dxa"/>
            <w:tcBorders/>
            <w:vAlign w:val="center"/>
          </w:tcPr>
          <w:p>
            <w:pPr>
              <w:pStyle w:val="TableContents"/>
              <w:bidi w:val="0"/>
              <w:spacing w:before="0" w:after="283"/>
              <w:jc w:val="left"/>
              <w:rPr/>
            </w:pPr>
            <w:r>
              <w:rPr/>
              <w:t> </w:t>
            </w:r>
          </w:p>
        </w:tc>
      </w:tr>
    </w:tbl>
    <w:p>
      <w:pPr>
        <w:pStyle w:val="TextBody"/>
        <w:bidi w:val="0"/>
        <w:jc w:val="left"/>
        <w:rPr/>
      </w:pPr>
      <w:r>
        <w:rPr/>
        <w:t>______________________________________________________</w:t>
        <w:br/>
      </w:r>
      <w:r>
        <w:rPr>
          <w:position w:val="8"/>
          <w:sz w:val="19"/>
        </w:rPr>
        <w:t xml:space="preserve">(1) Homes and businesses are considered passed (“passings”) if we can connect them to our network without further extending the distribution system. Passings is an estimate based upon the best available information. Passings will vary among video, broadband data and voice services. </w:t>
      </w:r>
      <w:r>
        <w:rPr/>
        <w:br/>
      </w:r>
      <w:r>
        <w:rPr>
          <w:position w:val="8"/>
          <w:sz w:val="19"/>
        </w:rPr>
        <w:t>(2) Penetration is calculated by dividing the number of users by the number of passings or available homes, as appropriate. </w:t>
      </w:r>
      <w:r>
        <w:rPr/>
        <w:br/>
      </w:r>
      <w:r>
        <w:rPr>
          <w:position w:val="8"/>
          <w:sz w:val="19"/>
        </w:rPr>
        <w:t>(3) Total fiber miles are measured by taking the number of fiber strands in a cable and multiplying that number by the route distance. For example, a 10 mile route with 144 fiber strands would equal 1,440 fiber miles.</w:t>
      </w:r>
    </w:p>
    <w:tbl>
      <w:tblPr>
        <w:tblW w:w="8573" w:type="dxa"/>
        <w:jc w:val="left"/>
        <w:tblInd w:w="0" w:type="dxa"/>
        <w:tblLayout w:type="fixed"/>
        <w:tblCellMar>
          <w:top w:w="28" w:type="dxa"/>
          <w:left w:w="28" w:type="dxa"/>
          <w:bottom w:w="28" w:type="dxa"/>
          <w:right w:w="28" w:type="dxa"/>
        </w:tblCellMar>
      </w:tblPr>
      <w:tblGrid>
        <w:gridCol w:w="3496"/>
        <w:gridCol w:w="146"/>
        <w:gridCol w:w="226"/>
        <w:gridCol w:w="886"/>
        <w:gridCol w:w="146"/>
        <w:gridCol w:w="226"/>
        <w:gridCol w:w="886"/>
        <w:gridCol w:w="146"/>
        <w:gridCol w:w="226"/>
        <w:gridCol w:w="886"/>
        <w:gridCol w:w="146"/>
        <w:gridCol w:w="226"/>
        <w:gridCol w:w="931"/>
      </w:tblGrid>
      <w:tr>
        <w:trPr/>
        <w:tc>
          <w:tcPr>
            <w:tcW w:w="3496" w:type="dxa"/>
            <w:tcBorders/>
            <w:vAlign w:val="center"/>
          </w:tcPr>
          <w:p>
            <w:pPr>
              <w:pStyle w:val="TableContents"/>
              <w:bidi w:val="0"/>
              <w:spacing w:before="0" w:after="283"/>
              <w:jc w:val="left"/>
              <w:rPr/>
            </w:pPr>
            <w:r>
              <w:rPr>
                <w:rStyle w:val="StrongEmphasis"/>
              </w:rPr>
              <w:t>Residential &amp; SMB ARPU</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70"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June 30,</w:t>
            </w:r>
          </w:p>
        </w:tc>
        <w:tc>
          <w:tcPr>
            <w:tcW w:w="146" w:type="dxa"/>
            <w:tcBorders/>
            <w:vAlign w:val="center"/>
          </w:tcPr>
          <w:p>
            <w:pPr>
              <w:pStyle w:val="TableContents"/>
              <w:bidi w:val="0"/>
              <w:spacing w:before="0" w:after="283"/>
              <w:jc w:val="left"/>
              <w:rPr/>
            </w:pPr>
            <w:r>
              <w:rPr/>
              <w:t> </w:t>
            </w:r>
          </w:p>
        </w:tc>
        <w:tc>
          <w:tcPr>
            <w:tcW w:w="2415"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w:t>
            </w:r>
            <w:r>
              <w:rPr/>
              <w:br/>
            </w:r>
            <w:r>
              <w:rPr>
                <w:rStyle w:val="StrongEmphasis"/>
              </w:rPr>
              <w:t>June 30,</w:t>
            </w:r>
          </w:p>
        </w:tc>
      </w:tr>
      <w:tr>
        <w:trPr/>
        <w:tc>
          <w:tcPr>
            <w:tcW w:w="3496" w:type="dxa"/>
            <w:tcBorders/>
            <w:vAlign w:val="center"/>
          </w:tcPr>
          <w:p>
            <w:pPr>
              <w:pStyle w:val="TableContents"/>
              <w:bidi w:val="0"/>
              <w:spacing w:before="0" w:after="283"/>
              <w:jc w:val="left"/>
              <w:rPr/>
            </w:pPr>
            <w:r>
              <w:rPr>
                <w:rStyle w:val="Emphasis"/>
              </w:rPr>
              <w:t>($ in thousands, except ARPU)</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496" w:type="dxa"/>
            <w:tcBorders/>
            <w:vAlign w:val="center"/>
          </w:tcPr>
          <w:p>
            <w:pPr>
              <w:pStyle w:val="TableContents"/>
              <w:bidi w:val="0"/>
              <w:spacing w:before="0" w:after="283"/>
              <w:jc w:val="left"/>
              <w:rPr/>
            </w:pPr>
            <w:r>
              <w:rPr>
                <w:rStyle w:val="Emphasis"/>
                <w:u w:val="single"/>
              </w:rPr>
              <w:t>Residential &amp; SMB Revenue:</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57"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26,954</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27,850</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54,428</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931" w:type="dxa"/>
            <w:tcBorders/>
            <w:vAlign w:val="center"/>
          </w:tcPr>
          <w:p>
            <w:pPr>
              <w:pStyle w:val="TableContents"/>
              <w:bidi w:val="0"/>
              <w:spacing w:before="0" w:after="283"/>
              <w:jc w:val="right"/>
              <w:rPr/>
            </w:pPr>
            <w:r>
              <w:rPr>
                <w:rStyle w:val="Emphasis"/>
              </w:rPr>
              <w:t>55,726</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22,313</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16,920</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43,353</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32,684</w:t>
            </w:r>
          </w:p>
        </w:tc>
      </w:tr>
      <w:tr>
        <w:trPr/>
        <w:tc>
          <w:tcPr>
            <w:tcW w:w="3496" w:type="dxa"/>
            <w:tcBorders/>
            <w:vAlign w:val="center"/>
          </w:tcPr>
          <w:p>
            <w:pPr>
              <w:pStyle w:val="TableContents"/>
              <w:bidi w:val="0"/>
              <w:spacing w:before="0" w:after="283"/>
              <w:jc w:val="left"/>
              <w:rPr/>
            </w:pPr>
            <w:r>
              <w:rPr/>
              <w:t>Broadband Data</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49,267</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44,770</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97,781</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88,410</w:t>
            </w:r>
          </w:p>
        </w:tc>
      </w:tr>
      <w:tr>
        <w:trPr/>
        <w:tc>
          <w:tcPr>
            <w:tcW w:w="3496" w:type="dxa"/>
            <w:tcBorders/>
            <w:vAlign w:val="center"/>
          </w:tcPr>
          <w:p>
            <w:pPr>
              <w:pStyle w:val="TableContents"/>
              <w:bidi w:val="0"/>
              <w:spacing w:before="0" w:after="283"/>
              <w:jc w:val="left"/>
              <w:rPr/>
            </w:pPr>
            <w:r>
              <w:rPr/>
              <w:t>Video</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13,711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14,296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27,706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28,954</w:t>
            </w:r>
          </w:p>
        </w:tc>
      </w:tr>
      <w:tr>
        <w:trPr/>
        <w:tc>
          <w:tcPr>
            <w:tcW w:w="3496" w:type="dxa"/>
            <w:tcBorders/>
            <w:vAlign w:val="center"/>
          </w:tcPr>
          <w:p>
            <w:pPr>
              <w:pStyle w:val="TableContents"/>
              <w:bidi w:val="0"/>
              <w:spacing w:before="0" w:after="283"/>
              <w:jc w:val="left"/>
              <w:rPr/>
            </w:pPr>
            <w:r>
              <w:rPr/>
              <w:t>Voice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2,614</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2,557</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5,218</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5,116</w:t>
            </w:r>
          </w:p>
        </w:tc>
      </w:tr>
      <w:tr>
        <w:trPr/>
        <w:tc>
          <w:tcPr>
            <w:tcW w:w="3496" w:type="dxa"/>
            <w:tcBorders/>
            <w:vAlign w:val="center"/>
          </w:tcPr>
          <w:p>
            <w:pPr>
              <w:pStyle w:val="TableContents"/>
              <w:bidi w:val="0"/>
              <w:spacing w:before="0" w:after="283"/>
              <w:jc w:val="left"/>
              <w:rPr/>
            </w:pPr>
            <w:r>
              <w:rPr/>
              <w:t>Other</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979</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1,010</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1,837</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1,956</w:t>
            </w:r>
          </w:p>
        </w:tc>
      </w:tr>
      <w:tr>
        <w:trPr/>
        <w:tc>
          <w:tcPr>
            <w:tcW w:w="3496" w:type="dxa"/>
            <w:tcBorders/>
            <w:vAlign w:val="center"/>
          </w:tcPr>
          <w:p>
            <w:pPr>
              <w:pStyle w:val="TableContents"/>
              <w:bidi w:val="0"/>
              <w:spacing w:before="0" w:after="283"/>
              <w:jc w:val="left"/>
              <w:rPr/>
            </w:pPr>
            <w:r>
              <w:rPr>
                <w:rStyle w:val="Emphasis"/>
              </w:rPr>
              <w:t>Total Residential &amp; SMB Revenue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66,571</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62,633</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132,542</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9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124,436</w:t>
            </w:r>
          </w:p>
        </w:tc>
      </w:tr>
      <w:tr>
        <w:trPr/>
        <w:tc>
          <w:tcPr>
            <w:tcW w:w="3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pPr>
            <w:r>
              <w:rPr>
                <w:rStyle w:val="Emphasis"/>
                <w:u w:val="single"/>
              </w:rPr>
              <w:t>Average RGUs:</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Emphasis"/>
              </w:rPr>
              <w:t>111,011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Emphasis"/>
              </w:rPr>
              <w:t>111,779</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Emphasis"/>
              </w:rPr>
              <w:t>111,341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rStyle w:val="Emphasis"/>
              </w:rPr>
              <w:t>111,653</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Emphasis"/>
              </w:rPr>
              <w:t>97,134</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Emphasis"/>
              </w:rPr>
              <w:t>73,514</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Emphasis"/>
              </w:rPr>
              <w:t>93,936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rStyle w:val="Emphasis"/>
              </w:rPr>
              <w:t>70,691</w:t>
            </w:r>
          </w:p>
        </w:tc>
      </w:tr>
      <w:tr>
        <w:trPr/>
        <w:tc>
          <w:tcPr>
            <w:tcW w:w="3496" w:type="dxa"/>
            <w:tcBorders/>
            <w:vAlign w:val="center"/>
          </w:tcPr>
          <w:p>
            <w:pPr>
              <w:pStyle w:val="TableContents"/>
              <w:bidi w:val="0"/>
              <w:spacing w:before="0" w:after="283"/>
              <w:jc w:val="left"/>
              <w:rPr/>
            </w:pPr>
            <w:r>
              <w:rPr/>
              <w:t>Broadband Data</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208,145</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185,293</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205,277</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182,344</w:t>
            </w:r>
          </w:p>
        </w:tc>
      </w:tr>
      <w:tr>
        <w:trPr/>
        <w:tc>
          <w:tcPr>
            <w:tcW w:w="3496" w:type="dxa"/>
            <w:tcBorders/>
            <w:vAlign w:val="center"/>
          </w:tcPr>
          <w:p>
            <w:pPr>
              <w:pStyle w:val="TableContents"/>
              <w:bidi w:val="0"/>
              <w:spacing w:before="0" w:after="283"/>
              <w:jc w:val="left"/>
              <w:rPr/>
            </w:pPr>
            <w:r>
              <w:rPr/>
              <w:t>Video</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34,528</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38,076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34,895</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38,666</w:t>
            </w:r>
          </w:p>
        </w:tc>
      </w:tr>
      <w:tr>
        <w:trPr/>
        <w:tc>
          <w:tcPr>
            <w:tcW w:w="3496" w:type="dxa"/>
            <w:tcBorders/>
            <w:vAlign w:val="center"/>
          </w:tcPr>
          <w:p>
            <w:pPr>
              <w:pStyle w:val="TableContents"/>
              <w:bidi w:val="0"/>
              <w:spacing w:before="0" w:after="283"/>
              <w:jc w:val="left"/>
              <w:rPr/>
            </w:pPr>
            <w:r>
              <w:rPr/>
              <w:t>Voice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26,967</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26,082</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26,863</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25,969</w:t>
            </w:r>
          </w:p>
        </w:tc>
      </w:tr>
      <w:tr>
        <w:trPr/>
        <w:tc>
          <w:tcPr>
            <w:tcW w:w="3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pPr>
            <w:r>
              <w:rPr>
                <w:rStyle w:val="Emphasis"/>
                <w:u w:val="single"/>
              </w:rPr>
              <w:t>ARPU: (1)</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80.93</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83.05</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81.47</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931" w:type="dxa"/>
            <w:tcBorders/>
            <w:vAlign w:val="center"/>
          </w:tcPr>
          <w:p>
            <w:pPr>
              <w:pStyle w:val="TableContents"/>
              <w:bidi w:val="0"/>
              <w:spacing w:before="0" w:after="283"/>
              <w:jc w:val="right"/>
              <w:rPr/>
            </w:pPr>
            <w:r>
              <w:rPr>
                <w:rStyle w:val="Emphasis"/>
              </w:rPr>
              <w:t>83.18</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76.57</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76.72</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76.92</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931" w:type="dxa"/>
            <w:tcBorders/>
            <w:vAlign w:val="center"/>
          </w:tcPr>
          <w:p>
            <w:pPr>
              <w:pStyle w:val="TableContents"/>
              <w:bidi w:val="0"/>
              <w:spacing w:before="0" w:after="283"/>
              <w:jc w:val="right"/>
              <w:rPr/>
            </w:pPr>
            <w:r>
              <w:rPr>
                <w:rStyle w:val="Emphasis"/>
              </w:rPr>
              <w:t>77.06</w:t>
            </w:r>
          </w:p>
        </w:tc>
      </w:tr>
      <w:tr>
        <w:trPr/>
        <w:tc>
          <w:tcPr>
            <w:tcW w:w="3496" w:type="dxa"/>
            <w:tcBorders/>
            <w:vAlign w:val="center"/>
          </w:tcPr>
          <w:p>
            <w:pPr>
              <w:pStyle w:val="TableContents"/>
              <w:bidi w:val="0"/>
              <w:spacing w:before="0" w:after="283"/>
              <w:jc w:val="left"/>
              <w:rPr/>
            </w:pPr>
            <w:r>
              <w:rPr/>
              <w:t>Broadband Data</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78.90</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80.56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79.39</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80.81</w:t>
            </w:r>
          </w:p>
        </w:tc>
      </w:tr>
      <w:tr>
        <w:trPr/>
        <w:tc>
          <w:tcPr>
            <w:tcW w:w="3496" w:type="dxa"/>
            <w:tcBorders/>
            <w:vAlign w:val="center"/>
          </w:tcPr>
          <w:p>
            <w:pPr>
              <w:pStyle w:val="TableContents"/>
              <w:bidi w:val="0"/>
              <w:spacing w:before="0" w:after="283"/>
              <w:jc w:val="left"/>
              <w:rPr/>
            </w:pPr>
            <w:r>
              <w:rPr/>
              <w:t>Video</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132.36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125.15</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132.33</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124.80</w:t>
            </w:r>
          </w:p>
        </w:tc>
      </w:tr>
      <w:tr>
        <w:trPr/>
        <w:tc>
          <w:tcPr>
            <w:tcW w:w="3496" w:type="dxa"/>
            <w:tcBorders/>
            <w:vAlign w:val="center"/>
          </w:tcPr>
          <w:p>
            <w:pPr>
              <w:pStyle w:val="TableContents"/>
              <w:bidi w:val="0"/>
              <w:spacing w:before="0" w:after="283"/>
              <w:jc w:val="left"/>
              <w:rPr/>
            </w:pPr>
            <w:r>
              <w:rPr/>
              <w:t>Voice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32.31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32.68</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32.37</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32.83</w:t>
            </w:r>
          </w:p>
        </w:tc>
      </w:tr>
    </w:tbl>
    <w:p>
      <w:pPr>
        <w:pStyle w:val="TextBody"/>
        <w:bidi w:val="0"/>
        <w:spacing w:before="0" w:after="283"/>
        <w:jc w:val="left"/>
        <w:rPr/>
      </w:pPr>
      <w:r>
        <w:rPr/>
        <w:t>______________________________________________________</w:t>
        <w:br/>
      </w:r>
      <w:r>
        <w:rPr>
          <w:position w:val="8"/>
          <w:sz w:val="19"/>
        </w:rPr>
        <w:t>(1) Average Revenue Per RGU calculation = (Residential &amp; SMB Revenue) / average RGUs / 3 months.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3864</Words>
  <Characters>22306</Characters>
  <CharactersWithSpaces>26291</CharactersWithSpaces>
  <Paragraphs>1707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