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360" w:hanging="258"/>
        <w:spacing w:after="0" w:line="218" w:lineRule="auto"/>
        <w:tabs>
          <w:tab w:leader="none" w:pos="360"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June 30, 2022</w:t>
      </w:r>
    </w:p>
    <w:p>
      <w:pPr>
        <w:spacing w:after="0" w:line="239" w:lineRule="exact"/>
        <w:rPr>
          <w:sz w:val="24"/>
          <w:szCs w:val="24"/>
          <w:color w:val="auto"/>
        </w:rPr>
      </w:pPr>
    </w:p>
    <w:p>
      <w:pPr>
        <w:ind w:left="3540" w:right="2200" w:hanging="3438"/>
        <w:spacing w:after="0" w:line="452" w:lineRule="auto"/>
        <w:tabs>
          <w:tab w:leader="none" w:pos="350"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TRANSITION REPORT PURSUANT TO SECTION 13 OR 15(d) OF THE SECURITIES EXCHANGE ACT OF 1934 For the transition period from__________ to __________</w:t>
      </w:r>
    </w:p>
    <w:p>
      <w:pPr>
        <w:spacing w:after="0" w:line="63" w:lineRule="exact"/>
        <w:rPr>
          <w:rFonts w:ascii="MS PGothic" w:cs="MS PGothic" w:eastAsia="MS PGothic" w:hAnsi="MS PGothic"/>
          <w:sz w:val="29"/>
          <w:szCs w:val="29"/>
          <w:color w:val="auto"/>
          <w:vertAlign w:val="superscript"/>
        </w:rPr>
      </w:pPr>
    </w:p>
    <w:p>
      <w:pPr>
        <w:ind w:left="4420"/>
        <w:spacing w:after="0"/>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171450</wp:posOffset>
            </wp:positionV>
            <wp:extent cx="184340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SHENANDOAH TELECOMMUNICATIONS COMPANY</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26"/>
        </w:trPr>
        <w:tc>
          <w:tcPr>
            <w:tcW w:w="1840" w:type="dxa"/>
            <w:vAlign w:val="bottom"/>
          </w:tcPr>
          <w:p>
            <w:pPr>
              <w:spacing w:after="0"/>
              <w:rPr>
                <w:sz w:val="24"/>
                <w:szCs w:val="24"/>
                <w:color w:val="auto"/>
              </w:rPr>
            </w:pPr>
          </w:p>
        </w:tc>
        <w:tc>
          <w:tcPr>
            <w:tcW w:w="1640" w:type="dxa"/>
            <w:vAlign w:val="bottom"/>
          </w:tcPr>
          <w:p>
            <w:pPr>
              <w:jc w:val="center"/>
              <w:ind w:right="838"/>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jc w:val="right"/>
              <w:ind w:right="2418"/>
              <w:spacing w:after="0"/>
              <w:rPr>
                <w:sz w:val="20"/>
                <w:szCs w:val="20"/>
                <w:color w:val="auto"/>
              </w:rPr>
            </w:pPr>
            <w:r>
              <w:rPr>
                <w:rFonts w:ascii="Times New Roman" w:cs="Times New Roman" w:eastAsia="Times New Roman" w:hAnsi="Times New Roman"/>
                <w:sz w:val="18"/>
                <w:szCs w:val="18"/>
                <w:b w:val="1"/>
                <w:bCs w:val="1"/>
                <w:color w:val="auto"/>
              </w:rPr>
              <w:t>54-1162807</w:t>
            </w:r>
          </w:p>
        </w:tc>
        <w:tc>
          <w:tcPr>
            <w:tcW w:w="0" w:type="dxa"/>
            <w:vAlign w:val="bottom"/>
          </w:tcPr>
          <w:p>
            <w:pPr>
              <w:spacing w:after="0"/>
              <w:rPr>
                <w:sz w:val="1"/>
                <w:szCs w:val="1"/>
                <w:color w:val="auto"/>
              </w:rPr>
            </w:pPr>
          </w:p>
        </w:tc>
      </w:tr>
      <w:tr>
        <w:trPr>
          <w:trHeight w:val="234"/>
        </w:trPr>
        <w:tc>
          <w:tcPr>
            <w:tcW w:w="628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60" w:type="dxa"/>
            <w:vAlign w:val="bottom"/>
          </w:tcPr>
          <w:p>
            <w:pPr>
              <w:jc w:val="center"/>
              <w:ind w:right="131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535"/>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Shentel Way, Edinburg, Virginia</w:t>
            </w:r>
          </w:p>
        </w:tc>
        <w:tc>
          <w:tcPr>
            <w:tcW w:w="4460" w:type="dxa"/>
            <w:vAlign w:val="bottom"/>
          </w:tcPr>
          <w:p>
            <w:pPr>
              <w:jc w:val="right"/>
              <w:ind w:right="3798"/>
              <w:spacing w:after="0"/>
              <w:rPr>
                <w:sz w:val="20"/>
                <w:szCs w:val="20"/>
                <w:color w:val="auto"/>
              </w:rPr>
            </w:pPr>
            <w:r>
              <w:rPr>
                <w:rFonts w:ascii="Times New Roman" w:cs="Times New Roman" w:eastAsia="Times New Roman" w:hAnsi="Times New Roman"/>
                <w:sz w:val="18"/>
                <w:szCs w:val="18"/>
                <w:color w:val="auto"/>
              </w:rPr>
              <w:t>22824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4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60" w:type="dxa"/>
            <w:vAlign w:val="bottom"/>
          </w:tcPr>
          <w:p>
            <w:pPr>
              <w:jc w:val="right"/>
              <w:ind w:right="355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41"/>
        </w:trPr>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(540) 984-4141</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8900" w:type="dxa"/>
            <w:vAlign w:val="bottom"/>
            <w:gridSpan w:val="4"/>
          </w:tcPr>
          <w:p>
            <w:pPr>
              <w:jc w:val="center"/>
              <w:ind w:right="209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115"/>
        </w:trPr>
        <w:tc>
          <w:tcPr>
            <w:tcW w:w="1840" w:type="dxa"/>
            <w:vAlign w:val="bottom"/>
          </w:tcPr>
          <w:p>
            <w:pPr>
              <w:spacing w:after="0"/>
              <w:rPr>
                <w:sz w:val="10"/>
                <w:szCs w:val="10"/>
                <w:color w:val="auto"/>
              </w:rPr>
            </w:pPr>
          </w:p>
        </w:tc>
        <w:tc>
          <w:tcPr>
            <w:tcW w:w="2340" w:type="dxa"/>
            <w:vAlign w:val="bottom"/>
            <w:gridSpan w:val="2"/>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1840" w:type="dxa"/>
            <w:vAlign w:val="bottom"/>
          </w:tcPr>
          <w:p>
            <w:pPr>
              <w:spacing w:after="0"/>
              <w:rPr>
                <w:sz w:val="24"/>
                <w:szCs w:val="24"/>
                <w:color w:val="auto"/>
              </w:rPr>
            </w:pPr>
          </w:p>
        </w:tc>
        <w:tc>
          <w:tcPr>
            <w:tcW w:w="8900" w:type="dxa"/>
            <w:vAlign w:val="bottom"/>
            <w:gridSpan w:val="4"/>
          </w:tcPr>
          <w:p>
            <w:pPr>
              <w:jc w:val="center"/>
              <w:ind w:right="205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2"/>
        </w:trPr>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640" w:type="dxa"/>
            <w:vAlign w:val="bottom"/>
          </w:tcPr>
          <w:p>
            <w:pPr>
              <w:jc w:val="center"/>
              <w:ind w:left="338"/>
              <w:spacing w:after="0"/>
              <w:rPr>
                <w:sz w:val="20"/>
                <w:szCs w:val="20"/>
                <w:color w:val="auto"/>
              </w:rPr>
            </w:pPr>
            <w:r>
              <w:rPr>
                <w:rFonts w:ascii="Times New Roman" w:cs="Times New Roman" w:eastAsia="Times New Roman" w:hAnsi="Times New Roman"/>
                <w:sz w:val="14"/>
                <w:szCs w:val="14"/>
                <w:color w:val="auto"/>
              </w:rPr>
              <w:t>SHEN</w:t>
            </w:r>
          </w:p>
        </w:tc>
        <w:tc>
          <w:tcPr>
            <w:tcW w:w="2800" w:type="dxa"/>
            <w:vAlign w:val="bottom"/>
            <w:gridSpan w:val="2"/>
          </w:tcPr>
          <w:p>
            <w:pPr>
              <w:jc w:val="center"/>
              <w:ind w:left="239"/>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460" w:type="dxa"/>
            <w:vAlign w:val="bottom"/>
          </w:tcPr>
          <w:p>
            <w:pPr>
              <w:jc w:val="center"/>
              <w:ind w:left="278"/>
              <w:spacing w:after="0"/>
              <w:rPr>
                <w:sz w:val="20"/>
                <w:szCs w:val="20"/>
                <w:color w:val="auto"/>
              </w:rPr>
            </w:pPr>
            <w:r>
              <w:rPr>
                <w:rFonts w:ascii="Times New Roman" w:cs="Times New Roman" w:eastAsia="Times New Roman" w:hAnsi="Times New Roman"/>
                <w:sz w:val="14"/>
                <w:szCs w:val="14"/>
                <w:color w:val="auto"/>
              </w:rPr>
              <w:t>50,076,666</w:t>
            </w:r>
          </w:p>
        </w:tc>
        <w:tc>
          <w:tcPr>
            <w:tcW w:w="0" w:type="dxa"/>
            <w:vAlign w:val="bottom"/>
          </w:tcPr>
          <w:p>
            <w:pPr>
              <w:spacing w:after="0"/>
              <w:rPr>
                <w:sz w:val="1"/>
                <w:szCs w:val="1"/>
                <w:color w:val="auto"/>
              </w:rPr>
            </w:pPr>
          </w:p>
        </w:tc>
      </w:tr>
      <w:tr>
        <w:trPr>
          <w:trHeight w:val="158"/>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1640" w:type="dxa"/>
            <w:vAlign w:val="bottom"/>
            <w:vMerge w:val="restart"/>
          </w:tcPr>
          <w:p>
            <w:pPr>
              <w:jc w:val="center"/>
              <w:ind w:left="338"/>
              <w:spacing w:after="0"/>
              <w:rPr>
                <w:sz w:val="20"/>
                <w:szCs w:val="20"/>
                <w:color w:val="auto"/>
              </w:rPr>
            </w:pPr>
            <w:r>
              <w:rPr>
                <w:rFonts w:ascii="Times New Roman" w:cs="Times New Roman" w:eastAsia="Times New Roman" w:hAnsi="Times New Roman"/>
                <w:sz w:val="14"/>
                <w:szCs w:val="14"/>
                <w:color w:val="auto"/>
              </w:rPr>
              <w:t>(Trading Symbol)</w:t>
            </w:r>
          </w:p>
        </w:tc>
        <w:tc>
          <w:tcPr>
            <w:tcW w:w="2800" w:type="dxa"/>
            <w:vAlign w:val="bottom"/>
            <w:gridSpan w:val="2"/>
            <w:vMerge w:val="restart"/>
          </w:tcPr>
          <w:p>
            <w:pPr>
              <w:jc w:val="center"/>
              <w:ind w:left="259"/>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460" w:type="dxa"/>
            <w:vAlign w:val="bottom"/>
          </w:tcPr>
          <w:p>
            <w:pPr>
              <w:jc w:val="center"/>
              <w:ind w:left="278"/>
              <w:spacing w:after="0" w:line="159" w:lineRule="exact"/>
              <w:rPr>
                <w:sz w:val="20"/>
                <w:szCs w:val="20"/>
                <w:color w:val="auto"/>
              </w:rPr>
            </w:pPr>
            <w:r>
              <w:rPr>
                <w:rFonts w:ascii="Times New Roman" w:cs="Times New Roman" w:eastAsia="Times New Roman" w:hAnsi="Times New Roman"/>
                <w:sz w:val="14"/>
                <w:szCs w:val="14"/>
                <w:color w:val="auto"/>
              </w:rPr>
              <w:t>(The number of shares of the registrant's common stock outstanding on</w:t>
            </w:r>
          </w:p>
        </w:tc>
        <w:tc>
          <w:tcPr>
            <w:tcW w:w="0" w:type="dxa"/>
            <w:vAlign w:val="bottom"/>
          </w:tcPr>
          <w:p>
            <w:pPr>
              <w:spacing w:after="0"/>
              <w:rPr>
                <w:sz w:val="1"/>
                <w:szCs w:val="1"/>
                <w:color w:val="auto"/>
              </w:rPr>
            </w:pPr>
          </w:p>
        </w:tc>
      </w:tr>
      <w:tr>
        <w:trPr>
          <w:trHeight w:val="112"/>
        </w:trPr>
        <w:tc>
          <w:tcPr>
            <w:tcW w:w="1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4460" w:type="dxa"/>
            <w:vAlign w:val="bottom"/>
            <w:vMerge w:val="restart"/>
          </w:tcPr>
          <w:p>
            <w:pPr>
              <w:jc w:val="center"/>
              <w:ind w:left="278"/>
              <w:spacing w:after="0"/>
              <w:rPr>
                <w:sz w:val="20"/>
                <w:szCs w:val="20"/>
                <w:color w:val="auto"/>
              </w:rPr>
            </w:pPr>
            <w:r>
              <w:rPr>
                <w:rFonts w:ascii="Times New Roman" w:cs="Times New Roman" w:eastAsia="Times New Roman" w:hAnsi="Times New Roman"/>
                <w:sz w:val="14"/>
                <w:szCs w:val="14"/>
                <w:color w:val="auto"/>
              </w:rPr>
              <w:t>July 28, 2022)</w:t>
            </w:r>
          </w:p>
        </w:tc>
        <w:tc>
          <w:tcPr>
            <w:tcW w:w="0" w:type="dxa"/>
            <w:vAlign w:val="bottom"/>
          </w:tcPr>
          <w:p>
            <w:pPr>
              <w:spacing w:after="0"/>
              <w:rPr>
                <w:sz w:val="1"/>
                <w:szCs w:val="1"/>
                <w:color w:val="auto"/>
              </w:rPr>
            </w:pPr>
          </w:p>
        </w:tc>
      </w:tr>
      <w:tr>
        <w:trPr>
          <w:trHeight w:val="77"/>
        </w:trPr>
        <w:tc>
          <w:tcPr>
            <w:tcW w:w="1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81" w:lineRule="exact"/>
        <w:tabs>
          <w:tab w:leader="none" w:pos="1660" w:val="left"/>
          <w:tab w:leader="none" w:pos="2040" w:val="left"/>
          <w:tab w:leader="none" w:pos="3320" w:val="left"/>
          <w:tab w:leader="none" w:pos="3700" w:val="left"/>
          <w:tab w:leader="none" w:pos="5280" w:val="left"/>
          <w:tab w:leader="none" w:pos="5660" w:val="left"/>
          <w:tab w:leader="none" w:pos="7640" w:val="left"/>
          <w:tab w:leader="none" w:pos="8040" w:val="left"/>
          <w:tab w:leader="none" w:pos="100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80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12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color w:val="auto"/>
                <w:w w:val="99"/>
              </w:rPr>
              <w:t>Numbers</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Comprehensive (Loss) Income</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Shareholders’ Equity</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80" w:type="dxa"/>
            <w:vAlign w:val="bottom"/>
            <w:gridSpan w:val="4"/>
          </w:tcPr>
          <w:p>
            <w:pPr>
              <w:jc w:val="center"/>
              <w:ind w:left="1610"/>
              <w:spacing w:after="0"/>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tcPr>
          <w:p>
            <w:pPr>
              <w:spacing w:after="0"/>
              <w:rPr>
                <w:sz w:val="24"/>
                <w:szCs w:val="24"/>
                <w:color w:val="auto"/>
              </w:rPr>
            </w:pP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17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Proceedings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7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Signatures</w:t>
            </w:r>
          </w:p>
        </w:tc>
        <w:tc>
          <w:tcPr>
            <w:tcW w:w="17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228"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60"/>
        <w:spacing w:after="0" w:line="317" w:lineRule="auto"/>
        <w:rPr>
          <w:sz w:val="20"/>
          <w:szCs w:val="20"/>
          <w:color w:val="auto"/>
        </w:rPr>
      </w:pPr>
      <w:r>
        <w:rPr>
          <w:rFonts w:ascii="Times New Roman" w:cs="Times New Roman" w:eastAsia="Times New Roman" w:hAnsi="Times New Roman"/>
          <w:sz w:val="17"/>
          <w:szCs w:val="17"/>
          <w:b w:val="1"/>
          <w:bCs w:val="1"/>
          <w:color w:val="auto"/>
        </w:rPr>
        <w:t>SHENANDOAH TELECOMMUNICATIONS COMPANY AND SUBSIDIARIES UNAUDITED CONDENSED CONSOLIDATED BALANCE SHEETS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22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84,344</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$365 and $352, respectively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166,367</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554,162</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and 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56,414</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0" w:type="dxa"/>
            <w:vAlign w:val="bottom"/>
          </w:tcPr>
          <w:p>
            <w:pPr>
              <w:spacing w:after="0"/>
              <w:rPr>
                <w:sz w:val="1"/>
                <w:szCs w:val="1"/>
                <w:color w:val="auto"/>
              </w:rPr>
            </w:pP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2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891,417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890,733</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Advanced billings and customer deposits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0" w:type="dxa"/>
            <w:vAlign w:val="bottom"/>
          </w:tcPr>
          <w:p>
            <w:pPr>
              <w:spacing w:after="0"/>
              <w:rPr>
                <w:sz w:val="1"/>
                <w:szCs w:val="1"/>
                <w:color w:val="auto"/>
              </w:rPr>
            </w:pP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86,014</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plan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51,692</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2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176,993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181,168</w:t>
            </w:r>
          </w:p>
        </w:tc>
        <w:tc>
          <w:tcPr>
            <w:tcW w:w="0" w:type="dxa"/>
            <w:vAlign w:val="bottom"/>
          </w:tcPr>
          <w:p>
            <w:pPr>
              <w:spacing w:after="0"/>
              <w:rPr>
                <w:sz w:val="1"/>
                <w:szCs w:val="1"/>
                <w:color w:val="auto"/>
              </w:rPr>
            </w:pP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Common stock, no par value, authorized 96,000; 50,077 and 49,965 issued and outstanding at June 30, 2022</w:t>
            </w:r>
          </w:p>
        </w:tc>
        <w:tc>
          <w:tcPr>
            <w:tcW w:w="260" w:type="dxa"/>
            <w:vAlign w:val="bottom"/>
          </w:tcPr>
          <w:p>
            <w:pPr>
              <w:spacing w:after="0"/>
              <w:rPr>
                <w:sz w:val="15"/>
                <w:szCs w:val="15"/>
                <w:color w:val="auto"/>
              </w:rPr>
            </w:pPr>
          </w:p>
        </w:tc>
        <w:tc>
          <w:tcPr>
            <w:tcW w:w="130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589,096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592,924</w:t>
            </w:r>
          </w:p>
        </w:tc>
        <w:tc>
          <w:tcPr>
            <w:tcW w:w="0" w:type="dxa"/>
            <w:vAlign w:val="bottom"/>
          </w:tcPr>
          <w:p>
            <w:pPr>
              <w:spacing w:after="0"/>
              <w:rPr>
                <w:sz w:val="1"/>
                <w:szCs w:val="1"/>
                <w:color w:val="auto"/>
              </w:rPr>
            </w:pPr>
          </w:p>
        </w:tc>
      </w:tr>
      <w:tr>
        <w:trPr>
          <w:trHeight w:val="223"/>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643,370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642,275</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890,733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00" w:type="dxa"/>
            <w:vAlign w:val="bottom"/>
          </w:tcPr>
          <w:p>
            <w:pPr>
              <w:spacing w:after="0"/>
              <w:rPr>
                <w:sz w:val="16"/>
                <w:szCs w:val="16"/>
                <w:color w:val="auto"/>
              </w:rPr>
            </w:pPr>
          </w:p>
        </w:tc>
        <w:tc>
          <w:tcPr>
            <w:tcW w:w="2600" w:type="dxa"/>
            <w:vAlign w:val="bottom"/>
            <w:gridSpan w:val="5"/>
          </w:tcPr>
          <w:p>
            <w:pPr>
              <w:ind w:left="260"/>
              <w:spacing w:after="0" w:line="184"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590"/>
              <w:spacing w:after="0" w:line="184" w:lineRule="exact"/>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54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66,021</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130,435</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120,391</w:t>
            </w:r>
          </w:p>
        </w:tc>
        <w:tc>
          <w:tcPr>
            <w:tcW w:w="0" w:type="dxa"/>
            <w:vAlign w:val="bottom"/>
          </w:tcPr>
          <w:p>
            <w:pPr>
              <w:spacing w:after="0"/>
              <w:rPr>
                <w:sz w:val="1"/>
                <w:szCs w:val="1"/>
                <w:color w:val="auto"/>
              </w:rPr>
            </w:pPr>
          </w:p>
        </w:tc>
      </w:tr>
      <w:tr>
        <w:trPr>
          <w:trHeight w:val="205"/>
        </w:trPr>
        <w:tc>
          <w:tcPr>
            <w:tcW w:w="5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48,072</w:t>
            </w: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0" w:type="dxa"/>
            <w:vAlign w:val="bottom"/>
          </w:tcPr>
          <w:p>
            <w:pPr>
              <w:spacing w:after="0"/>
              <w:rPr>
                <w:sz w:val="1"/>
                <w:szCs w:val="1"/>
                <w:color w:val="auto"/>
              </w:rPr>
            </w:pPr>
          </w:p>
        </w:tc>
      </w:tr>
      <w:tr>
        <w:trPr>
          <w:trHeight w:val="22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0" w:type="dxa"/>
            <w:vAlign w:val="bottom"/>
          </w:tcPr>
          <w:p>
            <w:pPr>
              <w:spacing w:after="0"/>
              <w:rPr>
                <w:sz w:val="1"/>
                <w:szCs w:val="1"/>
                <w:color w:val="auto"/>
              </w:rPr>
            </w:pPr>
          </w:p>
        </w:tc>
      </w:tr>
      <w:tr>
        <w:trPr>
          <w:trHeight w:val="22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69,158</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133,952</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115,771</w:t>
            </w:r>
          </w:p>
        </w:tc>
        <w:tc>
          <w:tcPr>
            <w:tcW w:w="0" w:type="dxa"/>
            <w:vAlign w:val="bottom"/>
          </w:tcPr>
          <w:p>
            <w:pPr>
              <w:spacing w:after="0"/>
              <w:rPr>
                <w:sz w:val="1"/>
                <w:szCs w:val="1"/>
                <w:color w:val="auto"/>
              </w:rPr>
            </w:pPr>
          </w:p>
        </w:tc>
      </w:tr>
      <w:tr>
        <w:trPr>
          <w:trHeight w:val="22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05"/>
        </w:trPr>
        <w:tc>
          <w:tcPr>
            <w:tcW w:w="5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18"/>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34"/>
        </w:trPr>
        <w:tc>
          <w:tcPr>
            <w:tcW w:w="5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1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34"/>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0" w:type="dxa"/>
            <w:vAlign w:val="bottom"/>
          </w:tcPr>
          <w:p>
            <w:pPr>
              <w:spacing w:after="0"/>
              <w:rPr>
                <w:sz w:val="1"/>
                <w:szCs w:val="1"/>
                <w:color w:val="auto"/>
              </w:rPr>
            </w:pPr>
          </w:p>
        </w:tc>
      </w:tr>
      <w:tr>
        <w:trPr>
          <w:trHeight w:val="223"/>
        </w:trPr>
        <w:tc>
          <w:tcPr>
            <w:tcW w:w="5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53,191</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104,608</w:t>
            </w:r>
          </w:p>
        </w:tc>
        <w:tc>
          <w:tcPr>
            <w:tcW w:w="0" w:type="dxa"/>
            <w:vAlign w:val="bottom"/>
          </w:tcPr>
          <w:p>
            <w:pPr>
              <w:spacing w:after="0"/>
              <w:rPr>
                <w:sz w:val="1"/>
                <w:szCs w:val="1"/>
                <w:color w:val="auto"/>
              </w:rPr>
            </w:pPr>
          </w:p>
        </w:tc>
      </w:tr>
      <w:tr>
        <w:trPr>
          <w:trHeight w:val="21"/>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income on interest rate hedge, net of tax</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53,504</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basic and diluted: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 (Loss) income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 Income from discontinued operations, net of tax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 (Loss) income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4"/>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 Income from discontinued operations, net of tax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50,133</w:t>
            </w: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ind w:left="20" w:right="35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SHAREHOLDERS' EQUITY </w:t>
      </w:r>
      <w:r>
        <w:rPr>
          <w:rFonts w:ascii="Times New Roman" w:cs="Times New Roman" w:eastAsia="Times New Roman" w:hAnsi="Times New Roman"/>
          <w:sz w:val="18"/>
          <w:szCs w:val="18"/>
          <w:i w:val="1"/>
          <w:iCs w:val="1"/>
          <w:color w:val="auto"/>
        </w:rPr>
        <w:t>(in thousands)</w:t>
      </w:r>
    </w:p>
    <w:tbl>
      <w:tblPr>
        <w:tblLayout w:type="fixed"/>
        <w:tblInd w:w="20" w:type="dxa"/>
        <w:tblCellMar>
          <w:top w:w="0" w:type="dxa"/>
          <w:left w:w="0" w:type="dxa"/>
          <w:bottom w:w="0" w:type="dxa"/>
          <w:right w:w="0" w:type="dxa"/>
        </w:tblCellMar>
      </w:tblPr>
      <w:tr>
        <w:trPr>
          <w:trHeight w:val="137"/>
        </w:trPr>
        <w:tc>
          <w:tcPr>
            <w:tcW w:w="5000" w:type="dxa"/>
            <w:vAlign w:val="bottom"/>
          </w:tcPr>
          <w:p>
            <w:pPr>
              <w:spacing w:after="0"/>
              <w:rPr>
                <w:sz w:val="11"/>
                <w:szCs w:val="11"/>
                <w:color w:val="auto"/>
              </w:rPr>
            </w:pPr>
          </w:p>
        </w:tc>
        <w:tc>
          <w:tcPr>
            <w:tcW w:w="13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31, 2022</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50,049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52,008</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592,321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644,329</w:t>
            </w: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92"/>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589,096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643,370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49,351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592,924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642,275</w:t>
            </w: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192"/>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589,096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643,370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31, 2021</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49,943</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46,583</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585,857</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628,507</w:t>
            </w: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53,191</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income on interest rate hedge, net of tax</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2"/>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49,950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639,048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682,109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4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(no par</w:t>
            </w: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00" w:type="dxa"/>
            <w:vAlign w:val="bottom"/>
            <w:vMerge w:val="continue"/>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47,317</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534,440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577,051</w:t>
            </w:r>
          </w:p>
        </w:tc>
        <w:tc>
          <w:tcPr>
            <w:tcW w:w="0" w:type="dxa"/>
            <w:vAlign w:val="bottom"/>
          </w:tcPr>
          <w:p>
            <w:pPr>
              <w:spacing w:after="0"/>
              <w:rPr>
                <w:sz w:val="1"/>
                <w:szCs w:val="1"/>
                <w:color w:val="auto"/>
              </w:rPr>
            </w:pPr>
          </w:p>
        </w:tc>
      </w:tr>
      <w:tr>
        <w:trPr>
          <w:trHeight w:val="19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104,608</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income on interest rate hedge, net of tax</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20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3"/>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surrendered for settlement of employee taxes upon issuance of vested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92"/>
        </w:trPr>
        <w:tc>
          <w:tcPr>
            <w:tcW w:w="5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awards</w:t>
            </w: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49,950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639,048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682,109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right="5320"/>
        <w:spacing w:after="0" w:line="279" w:lineRule="auto"/>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 UNAUDITED CONDENSED CONSOLIDATED STATEMENTS OF CASH FLOWS</w:t>
      </w:r>
    </w:p>
    <w:p>
      <w:pPr>
        <w:ind w:left="9040"/>
        <w:spacing w:after="0" w:line="228" w:lineRule="auto"/>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2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104,608</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100,038</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26,466</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0" w:type="dxa"/>
            <w:vAlign w:val="bottom"/>
          </w:tcPr>
          <w:p>
            <w:pPr>
              <w:spacing w:after="0"/>
              <w:rPr>
                <w:sz w:val="1"/>
                <w:szCs w:val="1"/>
                <w:color w:val="auto"/>
              </w:rPr>
            </w:pPr>
          </w:p>
        </w:tc>
      </w:tr>
      <w:tr>
        <w:trPr>
          <w:trHeight w:val="210"/>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28,174</w:t>
            </w:r>
          </w:p>
        </w:tc>
        <w:tc>
          <w:tcPr>
            <w:tcW w:w="0" w:type="dxa"/>
            <w:vAlign w:val="bottom"/>
          </w:tcPr>
          <w:p>
            <w:pPr>
              <w:spacing w:after="0"/>
              <w:rPr>
                <w:sz w:val="1"/>
                <w:szCs w:val="1"/>
                <w:color w:val="auto"/>
              </w:rPr>
            </w:pPr>
          </w:p>
        </w:tc>
      </w:tr>
      <w:tr>
        <w:trPr>
          <w:trHeight w:val="209"/>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 - discontinued operations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125,011</w:t>
            </w:r>
          </w:p>
        </w:tc>
        <w:tc>
          <w:tcPr>
            <w:tcW w:w="0" w:type="dxa"/>
            <w:vAlign w:val="bottom"/>
          </w:tcPr>
          <w:p>
            <w:pPr>
              <w:spacing w:after="0"/>
              <w:rPr>
                <w:sz w:val="1"/>
                <w:szCs w:val="1"/>
                <w:color w:val="auto"/>
              </w:rPr>
            </w:pPr>
          </w:p>
        </w:tc>
      </w:tr>
      <w:tr>
        <w:trPr>
          <w:trHeight w:val="210"/>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153,185</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(88,706)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(79,562)</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(79,373)</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 discontinued operations</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(88,427)</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(80,301)</w:t>
            </w:r>
          </w:p>
        </w:tc>
        <w:tc>
          <w:tcPr>
            <w:tcW w:w="0" w:type="dxa"/>
            <w:vAlign w:val="bottom"/>
          </w:tcPr>
          <w:p>
            <w:pPr>
              <w:spacing w:after="0"/>
              <w:rPr>
                <w:sz w:val="1"/>
                <w:szCs w:val="1"/>
                <w:color w:val="auto"/>
              </w:rPr>
            </w:pPr>
          </w:p>
        </w:tc>
      </w:tr>
      <w:tr>
        <w:trPr>
          <w:trHeight w:val="30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financing arrangements and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 continuing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0" w:type="dxa"/>
            <w:vAlign w:val="bottom"/>
          </w:tcPr>
          <w:p>
            <w:pPr>
              <w:spacing w:after="0"/>
              <w:rPr>
                <w:sz w:val="1"/>
                <w:szCs w:val="1"/>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 discontinued operations</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(17,061)</w:t>
            </w:r>
          </w:p>
        </w:tc>
        <w:tc>
          <w:tcPr>
            <w:tcW w:w="0" w:type="dxa"/>
            <w:vAlign w:val="bottom"/>
          </w:tcPr>
          <w:p>
            <w:pPr>
              <w:spacing w:after="0"/>
              <w:rPr>
                <w:sz w:val="1"/>
                <w:szCs w:val="1"/>
                <w:color w:val="auto"/>
              </w:rPr>
            </w:pPr>
          </w:p>
        </w:tc>
      </w:tr>
      <w:tr>
        <w:trPr>
          <w:trHeight w:val="210"/>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(19,492)</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53,392</w:t>
            </w:r>
          </w:p>
        </w:tc>
        <w:tc>
          <w:tcPr>
            <w:tcW w:w="0" w:type="dxa"/>
            <w:vAlign w:val="bottom"/>
          </w:tcPr>
          <w:p>
            <w:pPr>
              <w:spacing w:after="0"/>
              <w:rPr>
                <w:sz w:val="1"/>
                <w:szCs w:val="1"/>
                <w:color w:val="auto"/>
              </w:rPr>
            </w:pPr>
          </w:p>
        </w:tc>
      </w:tr>
      <w:tr>
        <w:trPr>
          <w:trHeight w:val="216"/>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84,344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195,397</w:t>
            </w:r>
          </w:p>
        </w:tc>
        <w:tc>
          <w:tcPr>
            <w:tcW w:w="0" w:type="dxa"/>
            <w:vAlign w:val="bottom"/>
          </w:tcPr>
          <w:p>
            <w:pPr>
              <w:spacing w:after="0"/>
              <w:rPr>
                <w:sz w:val="1"/>
                <w:szCs w:val="1"/>
                <w:color w:val="auto"/>
              </w:rPr>
            </w:pPr>
          </w:p>
        </w:tc>
      </w:tr>
      <w:tr>
        <w:trPr>
          <w:trHeight w:val="210"/>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33,335</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248,789</w:t>
            </w:r>
          </w:p>
        </w:tc>
        <w:tc>
          <w:tcPr>
            <w:tcW w:w="0" w:type="dxa"/>
            <w:vAlign w:val="bottom"/>
          </w:tcPr>
          <w:p>
            <w:pPr>
              <w:spacing w:after="0"/>
              <w:rPr>
                <w:sz w:val="1"/>
                <w:szCs w:val="1"/>
                <w:color w:val="auto"/>
              </w:rPr>
            </w:pPr>
          </w:p>
        </w:tc>
      </w:tr>
      <w:tr>
        <w:trPr>
          <w:trHeight w:val="26"/>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0" w:type="dxa"/>
            <w:vAlign w:val="bottom"/>
          </w:tcPr>
          <w:p>
            <w:pPr>
              <w:spacing w:after="0"/>
              <w:rPr>
                <w:sz w:val="1"/>
                <w:szCs w:val="1"/>
                <w:color w:val="auto"/>
              </w:rPr>
            </w:pPr>
          </w:p>
        </w:tc>
      </w:tr>
      <w:tr>
        <w:trPr>
          <w:trHeight w:val="21"/>
        </w:trPr>
        <w:tc>
          <w:tcPr>
            <w:tcW w:w="82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3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8220" w:type="dxa"/>
            <w:vAlign w:val="bottom"/>
            <w:vMerge w:val="continue"/>
          </w:tcPr>
          <w:p>
            <w:pPr>
              <w:spacing w:after="0"/>
              <w:rPr>
                <w:sz w:val="17"/>
                <w:szCs w:val="17"/>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Other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 w:cs="Times New Roman" w:eastAsia="Times New Roman" w:hAnsi="Times New Roman"/>
          <w:sz w:val="18"/>
          <w:szCs w:val="18"/>
          <w:color w:val="000000"/>
        </w:rPr>
        <w:t>year ended December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2021. As discussed in Notes 1 and 16 to the audited consolidated financial statements contained in our Annual Report on Form 10-K for the year ended December 31, 2021, </w:t>
      </w:r>
      <w:r>
        <w:rPr>
          <w:rFonts w:ascii="Times New Roman" w:cs="Times New Roman" w:eastAsia="Times New Roman" w:hAnsi="Times New Roman"/>
          <w:sz w:val="18"/>
          <w:szCs w:val="18"/>
          <w:color w:val="212529"/>
        </w:rPr>
        <w:t>(the "2021 Form 10-K"), the Company determined that an immaterial error existed in our previously issued financial statements.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such, the Company revised its historical unaudited condensed consolidated financial statements as of and for the three and six months ended June 30, 2021. Refer to the table below for a summary of these revisions.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Pre-Adjustment</w:t>
            </w:r>
          </w:p>
        </w:tc>
        <w:tc>
          <w:tcPr>
            <w:tcW w:w="130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8"/>
                <w:szCs w:val="18"/>
                <w:b w:val="1"/>
                <w:bCs w:val="1"/>
                <w:color w:val="auto"/>
                <w:w w:val="97"/>
              </w:rPr>
              <w:t>Error</w:t>
            </w:r>
          </w:p>
        </w:tc>
        <w:tc>
          <w:tcPr>
            <w:tcW w:w="140" w:type="dxa"/>
            <w:vAlign w:val="bottom"/>
          </w:tcPr>
          <w:p>
            <w:pPr>
              <w:spacing w:after="0"/>
              <w:rPr>
                <w:sz w:val="14"/>
                <w:szCs w:val="14"/>
                <w:color w:val="auto"/>
              </w:rPr>
            </w:pPr>
          </w:p>
        </w:tc>
        <w:tc>
          <w:tcPr>
            <w:tcW w:w="1140" w:type="dxa"/>
            <w:vAlign w:val="bottom"/>
          </w:tcPr>
          <w:p>
            <w:pPr>
              <w:jc w:val="center"/>
              <w:ind w:right="50"/>
              <w:spacing w:after="0" w:line="171" w:lineRule="exact"/>
              <w:rPr>
                <w:sz w:val="20"/>
                <w:szCs w:val="20"/>
                <w:color w:val="auto"/>
              </w:rPr>
            </w:pPr>
            <w:r>
              <w:rPr>
                <w:rFonts w:ascii="Times New Roman" w:cs="Times New Roman" w:eastAsia="Times New Roman" w:hAnsi="Times New Roman"/>
                <w:sz w:val="18"/>
                <w:szCs w:val="18"/>
                <w:b w:val="1"/>
                <w:bCs w:val="1"/>
                <w:color w:val="auto"/>
              </w:rPr>
              <w:t>Post-</w:t>
            </w:r>
          </w:p>
        </w:tc>
        <w:tc>
          <w:tcPr>
            <w:tcW w:w="1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Pre-Adjustment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71" w:lineRule="exact"/>
              <w:rPr>
                <w:sz w:val="20"/>
                <w:szCs w:val="20"/>
                <w:color w:val="auto"/>
              </w:rPr>
            </w:pPr>
            <w:r>
              <w:rPr>
                <w:rFonts w:ascii="Times New Roman" w:cs="Times New Roman" w:eastAsia="Times New Roman" w:hAnsi="Times New Roman"/>
                <w:sz w:val="18"/>
                <w:szCs w:val="18"/>
                <w:b w:val="1"/>
                <w:bCs w:val="1"/>
                <w:color w:val="auto"/>
                <w:w w:val="97"/>
              </w:rPr>
              <w:t>Error</w:t>
            </w:r>
          </w:p>
        </w:tc>
        <w:tc>
          <w:tcPr>
            <w:tcW w:w="140" w:type="dxa"/>
            <w:vAlign w:val="bottom"/>
          </w:tcPr>
          <w:p>
            <w:pPr>
              <w:spacing w:after="0"/>
              <w:rPr>
                <w:sz w:val="14"/>
                <w:szCs w:val="14"/>
                <w:color w:val="auto"/>
              </w:rPr>
            </w:pPr>
          </w:p>
        </w:tc>
        <w:tc>
          <w:tcPr>
            <w:tcW w:w="11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Post-</w:t>
            </w:r>
          </w:p>
        </w:tc>
        <w:tc>
          <w:tcPr>
            <w:tcW w:w="0" w:type="dxa"/>
            <w:vAlign w:val="bottom"/>
          </w:tcPr>
          <w:p>
            <w:pPr>
              <w:spacing w:after="0"/>
              <w:rPr>
                <w:sz w:val="1"/>
                <w:szCs w:val="1"/>
                <w:color w:val="auto"/>
              </w:rPr>
            </w:pPr>
          </w:p>
        </w:tc>
      </w:tr>
      <w:tr>
        <w:trPr>
          <w:trHeight w:val="243"/>
        </w:trPr>
        <w:tc>
          <w:tcPr>
            <w:tcW w:w="2920" w:type="dxa"/>
            <w:vAlign w:val="bottom"/>
            <w:vMerge w:val="continue"/>
          </w:tcPr>
          <w:p>
            <w:pPr>
              <w:spacing w:after="0"/>
              <w:rPr>
                <w:sz w:val="21"/>
                <w:szCs w:val="21"/>
                <w:color w:val="auto"/>
              </w:rPr>
            </w:pPr>
          </w:p>
        </w:tc>
        <w:tc>
          <w:tcPr>
            <w:tcW w:w="1540" w:type="dxa"/>
            <w:vAlign w:val="bottom"/>
            <w:gridSpan w:val="5"/>
            <w:vMerge w:val="continue"/>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Correction</w:t>
            </w:r>
          </w:p>
        </w:tc>
        <w:tc>
          <w:tcPr>
            <w:tcW w:w="1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3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Correction</w:t>
            </w:r>
          </w:p>
        </w:tc>
        <w:tc>
          <w:tcPr>
            <w:tcW w:w="1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0" w:type="dxa"/>
            <w:vAlign w:val="bottom"/>
          </w:tcPr>
          <w:p>
            <w:pPr>
              <w:spacing w:after="0"/>
              <w:rPr>
                <w:sz w:val="1"/>
                <w:szCs w:val="1"/>
                <w:color w:val="auto"/>
              </w:rPr>
            </w:pPr>
          </w:p>
        </w:tc>
      </w:tr>
      <w:tr>
        <w:trPr>
          <w:trHeight w:val="155"/>
        </w:trPr>
        <w:tc>
          <w:tcPr>
            <w:tcW w:w="29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Unaudited Condensed Consolidated</w:t>
            </w:r>
          </w:p>
        </w:tc>
        <w:tc>
          <w:tcPr>
            <w:tcW w:w="4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Comprehensive Income:</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24,335</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1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454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48,072</w:t>
            </w:r>
          </w:p>
        </w:tc>
        <w:tc>
          <w:tcPr>
            <w:tcW w:w="0" w:type="dxa"/>
            <w:vAlign w:val="bottom"/>
          </w:tcPr>
          <w:p>
            <w:pPr>
              <w:spacing w:after="0"/>
              <w:rPr>
                <w:sz w:val="1"/>
                <w:szCs w:val="1"/>
                <w:color w:val="auto"/>
              </w:rPr>
            </w:pPr>
          </w:p>
        </w:tc>
      </w:tr>
      <w:tr>
        <w:trPr>
          <w:trHeight w:val="180"/>
        </w:trPr>
        <w:tc>
          <w:tcPr>
            <w:tcW w:w="29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Income (loss) from continuing</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 before income taxes</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(454)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180"/>
        </w:trPr>
        <w:tc>
          <w:tcPr>
            <w:tcW w:w="29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Income (loss) from continuing</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104,608</w:t>
            </w:r>
          </w:p>
        </w:tc>
        <w:tc>
          <w:tcPr>
            <w:tcW w:w="0" w:type="dxa"/>
            <w:vAlign w:val="bottom"/>
          </w:tcPr>
          <w:p>
            <w:pPr>
              <w:spacing w:after="0"/>
              <w:rPr>
                <w:sz w:val="1"/>
                <w:szCs w:val="1"/>
                <w:color w:val="auto"/>
              </w:rPr>
            </w:pPr>
          </w:p>
        </w:tc>
      </w:tr>
      <w:tr>
        <w:trPr>
          <w:trHeight w:val="234"/>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105,694</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Net income per share, basic and diluted:</w:t>
      </w:r>
    </w:p>
    <w:tbl>
      <w:tblPr>
        <w:tblLayout w:type="fixed"/>
        <w:tblInd w:w="140" w:type="dxa"/>
        <w:tblCellMar>
          <w:top w:w="0" w:type="dxa"/>
          <w:left w:w="0" w:type="dxa"/>
          <w:bottom w:w="0" w:type="dxa"/>
          <w:right w:w="0" w:type="dxa"/>
        </w:tblCellMar>
      </w:tblP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 Income from continuing</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Basic - Net income per share</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180"/>
        </w:trPr>
        <w:tc>
          <w:tcPr>
            <w:tcW w:w="2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Diluted - Income from continuing</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Diluted - Net income per share</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bl>
    <w:p>
      <w:pPr>
        <w:spacing w:after="0" w:line="3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212529"/>
        </w:rPr>
        <w:t>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significant estimates and assumptions, including, but not limited to, revenue recognition, stock-based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Principles</w:t>
      </w:r>
    </w:p>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Accounting Standards Update ("ASU") 2021-10, “Government Assistance (Topic 832), Disclosures by Business Entities About Government Assistance,” which requires entities to provide disclosures on material government assistance transactions for annual reporting periods. The disclosures include information about the nature of the assistance, the related accounting policies used to account for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government assistance, the effect of government assistance on the entity’s financial statements and any significant terms and conditions of the agreements, including commitments and contingencies. On July 1, 2022, we adopted ASU 2021-10 and have included the new disclosure requirements in Note 10,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matter described above, 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2021 Form 10-K, that would be expected to impact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from Contracts with Customers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one year. Additionally, the Company incurs commission expenses related to in-house and third-party vendors which are capitalized and amortized over the expected weighted average customer life which is approximately six years. Amortization of capitalized commission expenses is recorded in selling, general and administrative expenses in the Company's unaudited condensed consolidated statements of comprehensive (loss) income.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Broadband segment's capitalized contract acquisition costs: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480" w:type="dxa"/>
            <w:vAlign w:val="bottom"/>
            <w:gridSpan w:val="4"/>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8,303</w:t>
            </w:r>
          </w:p>
        </w:tc>
        <w:tc>
          <w:tcPr>
            <w:tcW w:w="14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8,147</w:t>
            </w:r>
          </w:p>
        </w:tc>
        <w:tc>
          <w:tcPr>
            <w:tcW w:w="12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7,358</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payments</w:t>
            </w:r>
          </w:p>
        </w:tc>
        <w:tc>
          <w:tcPr>
            <w:tcW w:w="9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8"/>
              </w:rPr>
              <w:t>1,647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1,825</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1420" w:type="dxa"/>
            <w:vAlign w:val="bottom"/>
            <w:tcBorders>
              <w:bottom w:val="single" w:sz="8" w:color="auto"/>
            </w:tcBorders>
            <w:gridSpan w:val="2"/>
          </w:tcPr>
          <w:p>
            <w:pPr>
              <w:jc w:val="center"/>
              <w:ind w:left="772"/>
              <w:spacing w:after="0"/>
              <w:rPr>
                <w:sz w:val="20"/>
                <w:szCs w:val="20"/>
                <w:color w:val="auto"/>
              </w:rPr>
            </w:pPr>
            <w:r>
              <w:rPr>
                <w:rFonts w:ascii="Times New Roman" w:cs="Times New Roman" w:eastAsia="Times New Roman" w:hAnsi="Times New Roman"/>
                <w:sz w:val="18"/>
                <w:szCs w:val="18"/>
                <w:color w:val="auto"/>
                <w:w w:val="98"/>
              </w:rPr>
              <w:t>(1,185)</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8"/>
              </w:rPr>
              <w:t>(1,367)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(1,659)</w:t>
            </w: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8,427</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w w:val="98"/>
              </w:rPr>
              <w:t>8,427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7,524</w:t>
            </w:r>
          </w:p>
        </w:tc>
      </w:tr>
      <w:tr>
        <w:trPr>
          <w:trHeight w:val="21"/>
        </w:trPr>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longer of the contract term or the period in which the unrecognized fee remains material to the respective contract. A related contract liability of $3.8 million at June 30, 2022, is expected to be recognized into revenue at the rate of approximately $0.2 million per year.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Broadband segment also leases dedicated fiber optic strands to customers as part of “dark fiber” agreements, which are accounted for as leases under Accounting Standards Codification 842, Leases, ("ASC 842"). Our Tower segment leases space on owned cell towers to our Broadband segment, and to other wireless carriers. Revenue from these leases is accounted for under ASC 842. Refer to Note 12,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a summary of these revenue streams.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method investments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29"/>
        </w:trPr>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w:t>
            </w:r>
          </w:p>
        </w:tc>
      </w:tr>
      <w:tr>
        <w:trPr>
          <w:trHeight w:val="234"/>
        </w:trPr>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119" w:right="339" w:bottom="1440" w:gutter="0" w:footer="0" w:header="0"/>
        </w:sectPr>
      </w:pP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Supplemental Executive Retirement Plan (“SERP”) is a benefit plan that provides deferred compensation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The Company holds the related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fair value of the SERP investments are based on unadjusted quoted prices in active markets and are classified as Level 1 of the fair value hierarchy. Changes to the investments' fair value are presented in Other income (expense), while the reciprocal changes in the liability are presented in selling, general and administrative expense. At June 30, 2022 and December 31, 2021, $0.8 million of SERP investments were presented as prepaid expenses and other (current assets) as we intended to liquidate certain investments to pay the current portion of our SERP obligation. The obligation was paid on July 1, 2022.</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Cost Method Investments</w:t>
      </w:r>
      <w:r>
        <w:rPr>
          <w:rFonts w:ascii="Times New Roman" w:cs="Times New Roman" w:eastAsia="Times New Roman" w:hAnsi="Times New Roman"/>
          <w:sz w:val="18"/>
          <w:szCs w:val="18"/>
          <w:color w:val="auto"/>
        </w:rPr>
        <w:t>: Our investment in CoBank ACB’s Class A common stock represented substantially all of our cost method investments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$10.0 million and $10.3 million at June 30, 2022 and December 31, 2021, respectively. We recognized approximately $0.1 million and $1.0 million of patronage income in other income for the three months ended June 30, 2022 and 2021, respectively, and approximately $0.2 million and $2.0 million during the six months ended June 30, 2022 and 2021, respectively. Historically, approximately 75% of the patronage distributions were collected in cash and 25% in equity.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Investments: </w:t>
      </w:r>
      <w:r>
        <w:rPr>
          <w:rFonts w:ascii="Times New Roman" w:cs="Times New Roman" w:eastAsia="Times New Roman" w:hAnsi="Times New Roman"/>
          <w:sz w:val="18"/>
          <w:szCs w:val="18"/>
          <w:color w:val="auto"/>
        </w:rPr>
        <w:t>At June 30, 2022 and December 31, 2021, the Company had a 20.0% ownership interest in Valley Network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(“ValleyNet”). The Company and ValleyNet purchase capacity on one another’s fiber network, through related party transactions. We recognized revenue of $0.2 million during both of the three months ended June 30, 2022 and 2021 and $0.4 million during both of the six months ended June 30, 2022 and 2021, respectively. We recognized cost of service of $26.2 thousand and $0.6 million for the three months ended June 30, 2022 and 2021, respectively, and $54.4 thousand and $1.1 million for the six months ended June 30, 2022 and 2021,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Property, Plant and Equipment</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26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Lives</w:t>
            </w:r>
          </w:p>
        </w:tc>
        <w:tc>
          <w:tcPr>
            <w:tcW w:w="26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 years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structures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- 45 years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96,323</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and fiber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- 30 years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453,405</w:t>
            </w:r>
          </w:p>
        </w:tc>
        <w:tc>
          <w:tcPr>
            <w:tcW w:w="0" w:type="dxa"/>
            <w:vAlign w:val="bottom"/>
          </w:tcPr>
          <w:p>
            <w:pPr>
              <w:spacing w:after="0"/>
              <w:rPr>
                <w:sz w:val="1"/>
                <w:szCs w:val="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- 8 years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361,290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391,293</w:t>
            </w:r>
          </w:p>
        </w:tc>
        <w:tc>
          <w:tcPr>
            <w:tcW w:w="0" w:type="dxa"/>
            <w:vAlign w:val="bottom"/>
          </w:tcPr>
          <w:p>
            <w:pPr>
              <w:spacing w:after="0"/>
              <w:rPr>
                <w:sz w:val="1"/>
                <w:szCs w:val="1"/>
                <w:color w:val="auto"/>
              </w:rPr>
            </w:pPr>
          </w:p>
        </w:tc>
      </w:tr>
      <w:tr>
        <w:trPr>
          <w:trHeight w:val="218"/>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in service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948,270</w:t>
            </w:r>
          </w:p>
        </w:tc>
        <w:tc>
          <w:tcPr>
            <w:tcW w:w="0" w:type="dxa"/>
            <w:vAlign w:val="bottom"/>
          </w:tcPr>
          <w:p>
            <w:pPr>
              <w:spacing w:after="0"/>
              <w:rPr>
                <w:sz w:val="1"/>
                <w:szCs w:val="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under construction</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79,963</w:t>
            </w:r>
          </w:p>
        </w:tc>
        <w:tc>
          <w:tcPr>
            <w:tcW w:w="0" w:type="dxa"/>
            <w:vAlign w:val="bottom"/>
          </w:tcPr>
          <w:p>
            <w:pPr>
              <w:spacing w:after="0"/>
              <w:rPr>
                <w:sz w:val="1"/>
                <w:szCs w:val="1"/>
                <w:color w:val="auto"/>
              </w:rPr>
            </w:pPr>
          </w:p>
        </w:tc>
      </w:tr>
      <w:tr>
        <w:trPr>
          <w:trHeight w:val="218"/>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1,028,233</w:t>
            </w:r>
          </w:p>
        </w:tc>
        <w:tc>
          <w:tcPr>
            <w:tcW w:w="0" w:type="dxa"/>
            <w:vAlign w:val="bottom"/>
          </w:tcPr>
          <w:p>
            <w:pPr>
              <w:spacing w:after="0"/>
              <w:rPr>
                <w:sz w:val="1"/>
                <w:szCs w:val="1"/>
                <w:color w:val="auto"/>
              </w:rPr>
            </w:pP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474,071</w:t>
            </w:r>
          </w:p>
        </w:tc>
        <w:tc>
          <w:tcPr>
            <w:tcW w:w="0" w:type="dxa"/>
            <w:vAlign w:val="bottom"/>
          </w:tcPr>
          <w:p>
            <w:pPr>
              <w:spacing w:after="0"/>
              <w:rPr>
                <w:sz w:val="1"/>
                <w:szCs w:val="1"/>
                <w:color w:val="auto"/>
              </w:rPr>
            </w:pPr>
          </w:p>
        </w:tc>
      </w:tr>
      <w:tr>
        <w:trPr>
          <w:trHeight w:val="223"/>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554,162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increases were primarily attributable to capital expenditures in the Broadband segment due to expansion of Glo Fiber assets and market expansion. Depreciation expense was $14.6 million and $13.1 million during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months ended June 30, 2022 and 2021, respectively, and $28.7 million and $26.1 million for the six months ended June 30, 2022 and 2021, respectively.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2021, due to the availability of grants awarded under various governmental initiatives, and in support of rural fiber to the home ("FTTH") broadband network expansion projects, we decided to cease further expansion of our “Beam” branded fixed wireless edge-out strategy. During the second quarter of 2022, the Company permanently ceased operating 20 of our 55 Beam fixed wireless sites and expects these sites to be completely decommissioned by December 31, 2022. Consequently, Shentel recorded an impairment charge of $4.1 million. The Company also began, during the second quarter of 2022, exploration of strategic alternatives concerning the remaining Beam branded fixed wireless assets and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consist of the following: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5"/>
                <w:szCs w:val="15"/>
                <w:color w:val="auto"/>
              </w:rPr>
            </w:pPr>
          </w:p>
        </w:tc>
        <w:tc>
          <w:tcPr>
            <w:tcW w:w="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and Other</w:t>
            </w:r>
          </w:p>
        </w:tc>
        <w:tc>
          <w:tcPr>
            <w:tcW w:w="2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Goodwill - Broadband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Cable franchise rights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Railroad crossing rights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64,475</w:t>
            </w:r>
          </w:p>
        </w:tc>
        <w:tc>
          <w:tcPr>
            <w:tcW w:w="0" w:type="dxa"/>
            <w:vAlign w:val="bottom"/>
          </w:tcPr>
          <w:p>
            <w:pPr>
              <w:spacing w:after="0"/>
              <w:rPr>
                <w:sz w:val="1"/>
                <w:szCs w:val="1"/>
                <w:color w:val="auto"/>
              </w:rPr>
            </w:pPr>
          </w:p>
        </w:tc>
      </w:tr>
      <w:tr>
        <w:trPr>
          <w:trHeight w:val="47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$0.2 million for both of the three months ended June 30, 2022 and 2021, and $0.4 million for both of the six months ended June 30, 2022 and 2021.</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On June 30, 2022, the Company determined that certain of our FCC spectrum licenses met the held-for-sale criteria; accordingly, $13.8 million of indefinite-lived licenses and $6.0 million of finite-lived licenses are presented as held for sale, along with the corresponding $3.8 million of liabilities related to the finite-lived licenses. The corresponding amounts related to these assets and liabilities were reclassified on the unaudited condensed consolidated balance sheet as of December 31, 2021 for comparability. Management evaluated the events described here and in Note 4,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and determined that these events do not represent a strategic shift in the Company's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Other Assets and Accrued Liabilities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24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 for FCC spectrum licenses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maintenance and software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240" w:type="dxa"/>
            <w:vAlign w:val="bottom"/>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costs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maintenance and software expenses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0" w:type="dxa"/>
            <w:vAlign w:val="bottom"/>
          </w:tcPr>
          <w:p>
            <w:pPr>
              <w:spacing w:after="0"/>
              <w:rPr>
                <w:sz w:val="1"/>
                <w:szCs w:val="1"/>
                <w:color w:val="auto"/>
              </w:rPr>
            </w:pPr>
          </w:p>
        </w:tc>
      </w:tr>
      <w:tr>
        <w:trPr>
          <w:trHeight w:val="21"/>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liabilities and other, classified as current liabilities, included the following:</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8240" w:type="dxa"/>
            <w:vAlign w:val="bottom"/>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property taxes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accrual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1"/>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8240" w:type="dxa"/>
            <w:vAlign w:val="bottom"/>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portion of deferred lease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19,749</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portion of financing leases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242424"/>
        </w:rPr>
        <w:t xml:space="preserve">During the third quarter of 2020, the Company was awarded certain indefinite-lived Citizens Broadband Radio Service ("CBRS") spectrum licenses to be used within the Broadband segment. The Company paid an aggregate deposit of </w:t>
      </w:r>
      <w:r>
        <w:rPr>
          <w:rFonts w:ascii="Times New Roman" w:cs="Times New Roman" w:eastAsia="Times New Roman" w:hAnsi="Times New Roman"/>
          <w:sz w:val="18"/>
          <w:szCs w:val="18"/>
          <w:color w:val="000000"/>
        </w:rPr>
        <w:t>$16.1 million</w:t>
      </w:r>
      <w:r>
        <w:rPr>
          <w:rFonts w:ascii="Times New Roman" w:cs="Times New Roman" w:eastAsia="Times New Roman" w:hAnsi="Times New Roman"/>
          <w:sz w:val="18"/>
          <w:szCs w:val="18"/>
          <w:color w:val="242424"/>
        </w:rPr>
        <w:t xml:space="preserve"> with respect to the licenses subject to final approval and issuance by the FCC. The licenses will provide us priority access rights over general access users other than incumbents, in that specific band, in accordance with the FCC’s three-tier CBRS band spectrum sharing framework. As of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42424"/>
        </w:rPr>
        <w:t xml:space="preserve"> the FCC was </w:t>
      </w:r>
      <w:r>
        <w:rPr>
          <w:rFonts w:ascii="Times New Roman" w:cs="Times New Roman" w:eastAsia="Times New Roman" w:hAnsi="Times New Roman"/>
          <w:sz w:val="18"/>
          <w:szCs w:val="18"/>
          <w:color w:val="000000"/>
        </w:rPr>
        <w:t>still reviewing the Company’s final</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application for the licenses. The entire deposit of $16.1 million is classified within prepaid expenses and other in the Company’s consolidated balance sheets as of June 30, 2022 and December 31, 2021. In July 2022, the FCC completed its review resulting in the determination that the Company will be issued licenses with a deposit value of $12.1 million and a cash refund for $4.0 million for licenses which were deemed not issuable. The licenses and cash refund are expected to be received in the third quarter of 2022.</w:t>
      </w: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as a result of the sale of our Wireless assets and operations, we implemented a restructuring plan whereby certain employees were notified of their pending dismissal under the workforce reduction program. We made $1.3 million in severance payments related to the workforce reduction program for the six months ended June 30, 2022. We made $0.5 million in severance payments related to the workforce reduction program for the three months ended June 30, 2022. During the three months ended June 30, 2021, we paid approximately $0.6 million of severance benefits and we recognized additional expenses of $0.04 million and $0.3 million, presented in continuing and discontinued operations, respectively. For the six months ended June 30, 2021, $0.7 million and $0.5 million of expense is presented in continuing and discontinued operations,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various broadband network and telecommunications sites, fiber optic cable routes, warehouses, retail stores, and office facilities for use in our business.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2022, our operating leases had a weighted average remaining lease term of twenty years and a weighted average discount rate of 4.4%. Our finance leases had a weighted average remaining lease term of fourteen years and a weighted average discount rate of 5.2%.</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recognized $3.0 million and $2.0 million of operating lease expense for the three months ended June 30, 2022 and 2021, respectively, and $5.7 million and $3.4 million of operating lease expense for the six months ended June 30, 2022 and 2021,</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respectively. We recognized $0.1 million of interest and depreciation expense on finance leases for both of the three months ended June 30, 2022 and 2021, and $0.3 million of interest and depreciation expense on finance leases for both of the six months ended June 30, 2022 and 2021. Operating lease expense is presented in cost of service or selling, general and administrative expense based on the use of the relevant facility. Variable lease payments and short-term lease expense were both immaterial. We remitted $1.5 million and $1.3 million of operating lease payments for the three months ended June 30, 2022 and 2021, respectively. We remitted $3.1 million and $2.8 million of operating lease payments for the six months ended June 30, 2022 and 2021, respectively. We obtained $0.5 million and $2.4 million of leased assets in exchange for new operating lease liabilities recognized for the three months ended June 30, 2022 and 2021, respectively. We obtained $2.1 million and $5.1 million of leased assets in exchange for new operating lease liabilities recognized for the six months ended June 30, 2022 and 2021,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at June 30, 2022:</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2"/>
                <w:szCs w:val="22"/>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60" w:type="dxa"/>
            <w:vAlign w:val="bottom"/>
          </w:tcPr>
          <w:p>
            <w:pPr>
              <w:spacing w:after="0"/>
              <w:rPr>
                <w:sz w:val="22"/>
                <w:szCs w:val="22"/>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69,972</w:t>
            </w:r>
          </w:p>
        </w:tc>
      </w:tr>
      <w:tr>
        <w:trPr>
          <w:trHeight w:val="21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92,191</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35,699</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56,492</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$4.4 million and $2.3 million of operating lease revenue for the three months ended June 30, 2022 and 2021, respectively, and $9.8 million and $4.7 million of operating lease revenue for the six months ended June 30, 2022 and 2021, respectively, related to the cell site colocation space and dedicated fiber optic strands that we lease to our customers, which is included in Service revenue and other in the unaudited condensed consolidated statements of comprehensive income (loss). Substantially all of our lease revenue relates to fixed lease payments.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our minimum rental receipts under the lease agreements in place at June 30, 2022:</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30,069</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87,014</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income tax returns. The Company is not subject to any state or federal income tax audits as of June 30, 2022. The Company's income tax returns are generally open to examination from 2018 forward and the net operating losses acquired in the acquisition of nTelos are open to examination from 2002 forward.</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rates for the three and six months ended June 30, 2022 and 2021, differ from the statutory U.S. federal income tax rate of 21% primarily due to the state income taxes, excess tax benefits and other discrete items.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tax (benefit) expense at federal statutory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2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 (benefit) expense, net of federal tax effect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Revaluation of deferred tax liabilities</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180"/>
        </w:trPr>
        <w:tc>
          <w:tcPr>
            <w:tcW w:w="5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Excess tax deficiency (benefit) from share-based compensation and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1"/>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made no cash payments and received no cash refunds for income taxes for the six months ended June 30, 2022. The Company's cash payments for income taxes were approximately $21.0 million for the six months ended June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 Compensation and (Loss) Earnings per Share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approximately 283,000 restricted stock units ("RSUs") at market prices ranging from $21.57 to $25.07 to employees and members of the board of directors during the six months ended June 30, 2022. Additionally, approximately 100,000 Relative Total Shareholder Return (“RTSR”) awards were granted to employees at a value of $23.83 per award during the six months ended June 30, 2022. The Company incurred $2.4 million and $0.2 million in stock-based compensation expense for the three months ended June 30, 2022 and 2021 and $5.5 million and $0.8 million in stock-based compensation expense for the six months ended June 30, 2022 and 2021, respectively. Stock-based compensation expense is presented in selling, general and administrative costs in our unaudited condensed consolidated statements of comprehensive income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the treasury stock method to calculate the impact on diluted earnings per share that potentially dilutive stock-based compensation awards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computation of basic and diluted earnings per share:</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5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(loss) income per share: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income from discontinued operations, net of tax</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0" w:type="dxa"/>
            <w:vAlign w:val="bottom"/>
          </w:tcPr>
          <w:p>
            <w:pPr>
              <w:spacing w:after="0"/>
              <w:rPr>
                <w:sz w:val="1"/>
                <w:szCs w:val="1"/>
                <w:color w:val="auto"/>
              </w:rPr>
            </w:pP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53,191</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104,608</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net (loss) income per share - continuing operations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net income per share -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awards outstanding:</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0" w:type="dxa"/>
            <w:vAlign w:val="bottom"/>
          </w:tcPr>
          <w:p>
            <w:pPr>
              <w:spacing w:after="0"/>
              <w:rPr>
                <w:sz w:val="1"/>
                <w:szCs w:val="1"/>
                <w:color w:val="auto"/>
              </w:rPr>
            </w:pP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from dilutive shares and options outstanding</w:t>
            </w: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50,157</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50,133</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50,067</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(loss) income per share - continuing operations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3"/>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 - discontinued operations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approximately 212,000 and 155,000 potentially dilutive equity awards for the three and six months ended June 30, 2022; however, these securities were excluded from the calculation of diluted weighted average shares outstanding due to the fact that they were anti-dilutive as a result of the Company's net loss for the period. There were fewer than 200,000 anti-dilutive equity awards outstanding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Government Grants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2021, the Virginia Department of Housing and Community Development ("VA DHCD"), in partnership with five counties in Virginia, awarded the Company up to approximately $57.8 million in grants under the Virginia Telecommunication Initiative ("VATI") to strategically expand the Company's broadband network in order to provide fiber-to-the-home broadband services to unserved residences in the partnering counties in Virginia. In July 2022, the Maryland Department of Housing and Community Development ("MD DHCD"), in partnership with Frederick County, Maryland, awarded the Company up to approximately $10.2 million in grants to expand the Company's broadband network to homes and businesses in Frederick County.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receive such grant distributions, we are required to enter into agreements with each partnering county and meet certain build-out milestones. The network is required to meet certain performance conditions for a subsequent five year period to ensure that minimum download and upload speeds are able to be provided to the underserved residences.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grant receivables at the time it becomes probable that the Company will be eligible to receive the grant, which is estimated to correspond with the date when specified build-out milestones are achieved. The grant is treated as a reduction to the corresponding property, plant and equipment asset balance and is recognized through depreciation expense over the life of the corresponding asset. Reimbursable amounts are dependent upon the actual construction costs. The Company has not recognized any amounts under these programs as of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are committed to make payments to satisfy our lease liabilities. The scheduled payments under those obligations are summarized in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also have outstanding unconditional purchase commitments to procure marketing services and IT software licenses through 2026 and commitments for FCC spectrum licenses to access Educational Broadband Service (“EBS”) spectrum channels through 2039 (which have been classified as held for sale).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consolidated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Segment Reporting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17"/>
                <w:szCs w:val="17"/>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18"/>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61,363</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65,978</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66,021</w:t>
            </w: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69,158</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1"/>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17"/>
                <w:szCs w:val="17"/>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8"/>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54,125</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56,144</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56,227</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60,700</w:t>
            </w: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48,048</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58,310</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17"/>
                <w:szCs w:val="17"/>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5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94,812</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0" w:type="dxa"/>
            <w:vAlign w:val="bottom"/>
          </w:tcPr>
          <w:p>
            <w:pPr>
              <w:spacing w:after="0"/>
              <w:rPr>
                <w:sz w:val="1"/>
                <w:szCs w:val="1"/>
                <w:color w:val="auto"/>
              </w:rPr>
            </w:pPr>
          </w:p>
        </w:tc>
      </w:tr>
      <w:tr>
        <w:trPr>
          <w:trHeight w:val="229"/>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18"/>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121,027</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130,388</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121,126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130,435</w:t>
            </w: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53,095</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46,925</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108,838</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133,952</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1"/>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24"/>
                <w:szCs w:val="24"/>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51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86,919</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0" w:type="dxa"/>
            <w:vAlign w:val="bottom"/>
          </w:tcPr>
          <w:p>
            <w:pPr>
              <w:spacing w:after="0"/>
              <w:rPr>
                <w:sz w:val="1"/>
                <w:szCs w:val="1"/>
                <w:color w:val="auto"/>
              </w:rPr>
            </w:pP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0" w:type="dxa"/>
            <w:vAlign w:val="bottom"/>
          </w:tcPr>
          <w:p>
            <w:pPr>
              <w:spacing w:after="0"/>
              <w:rPr>
                <w:sz w:val="1"/>
                <w:szCs w:val="1"/>
                <w:color w:val="auto"/>
              </w:rPr>
            </w:pPr>
          </w:p>
        </w:tc>
      </w:tr>
      <w:tr>
        <w:trPr>
          <w:trHeight w:val="23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0" w:type="dxa"/>
            <w:vAlign w:val="bottom"/>
          </w:tcPr>
          <w:p>
            <w:pPr>
              <w:spacing w:after="0"/>
              <w:rPr>
                <w:sz w:val="1"/>
                <w:szCs w:val="1"/>
                <w:color w:val="auto"/>
              </w:rPr>
            </w:pPr>
          </w:p>
        </w:tc>
      </w:tr>
      <w:tr>
        <w:trPr>
          <w:trHeight w:val="218"/>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107,071</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111,240</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Intercompany revenue and other</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120,391</w:t>
            </w:r>
          </w:p>
        </w:tc>
        <w:tc>
          <w:tcPr>
            <w:tcW w:w="0" w:type="dxa"/>
            <w:vAlign w:val="bottom"/>
          </w:tcPr>
          <w:p>
            <w:pPr>
              <w:spacing w:after="0"/>
              <w:rPr>
                <w:sz w:val="1"/>
                <w:szCs w:val="1"/>
                <w:color w:val="auto"/>
              </w:rPr>
            </w:pPr>
          </w:p>
        </w:tc>
      </w:tr>
      <w:tr>
        <w:trPr>
          <w:trHeight w:val="205"/>
        </w:trPr>
        <w:tc>
          <w:tcPr>
            <w:tcW w:w="5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48,072</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0" w:type="dxa"/>
            <w:vAlign w:val="bottom"/>
          </w:tcPr>
          <w:p>
            <w:pPr>
              <w:spacing w:after="0"/>
              <w:rPr>
                <w:sz w:val="1"/>
                <w:szCs w:val="1"/>
                <w:color w:val="auto"/>
              </w:rPr>
            </w:pPr>
          </w:p>
        </w:tc>
      </w:tr>
      <w:tr>
        <w:trPr>
          <w:trHeight w:val="229"/>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4"/>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115,771</w:t>
            </w:r>
          </w:p>
        </w:tc>
        <w:tc>
          <w:tcPr>
            <w:tcW w:w="0" w:type="dxa"/>
            <w:vAlign w:val="bottom"/>
          </w:tcPr>
          <w:p>
            <w:pPr>
              <w:spacing w:after="0"/>
              <w:rPr>
                <w:sz w:val="1"/>
                <w:szCs w:val="1"/>
                <w:color w:val="auto"/>
              </w:rPr>
            </w:pP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total of the reportable segments’ operating income (loss) to unaudited consolidated (loss) income for continuing operations before income taxes is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operating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4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r>
      <w:tr>
        <w:trPr>
          <w:trHeight w:val="234"/>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w:t>
            </w:r>
          </w:p>
        </w:tc>
      </w:tr>
      <w:tr>
        <w:trPr>
          <w:trHeight w:val="21"/>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(CODM) does not currently review total assets by segment since the assets are centrally managed and some of the assets are shared by the segments. Accordingly, total assets by segment are not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Discontinued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2021, pursuant to the previously announced Asset Purchase Agreement (the “Purchase Agreement”), dated May 28, 2021, between Shentel and T-Mobile, Shentel completed the sale to T-Mobile of its Wireless assets and operations for cash consideration of approximately $1.94 billion, inclusive of the approximately $60 million settlement of the waived management fees by Sprint, and net of certain transaction expenses (the “Transaction”).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assets and liabilities that transferred in the Transaction (the "disposal group") were presented as held for sale within our historical unaudited condensed consolidated balance sheets, and discontinued operations within our historical unaudited condensed consolidated statements of comprehensive income (loss).</w:t>
      </w:r>
    </w:p>
    <w:p>
      <w:pPr>
        <w:spacing w:after="0" w:line="203"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color w:val="auto"/>
        </w:rPr>
        <w:t>Income from discontinued operations, net of tax, in the unaudited condensed consolidated statements of comprehensive income (loss) consist of the following:</w:t>
      </w:r>
    </w:p>
    <w:tbl>
      <w:tblPr>
        <w:tblLayout w:type="fixed"/>
        <w:tblInd w:w="20" w:type="dxa"/>
        <w:tblCellMar>
          <w:top w:w="0" w:type="dxa"/>
          <w:left w:w="0" w:type="dxa"/>
          <w:bottom w:w="0" w:type="dxa"/>
          <w:right w:w="0" w:type="dxa"/>
        </w:tblCellMar>
      </w:tblPr>
      <w:tr>
        <w:trPr>
          <w:trHeight w:val="19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6"/>
                <w:szCs w:val="16"/>
                <w:color w:val="auto"/>
              </w:rPr>
            </w:pPr>
          </w:p>
        </w:tc>
        <w:tc>
          <w:tcPr>
            <w:tcW w:w="214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6"/>
                <w:szCs w:val="16"/>
                <w:color w:val="auto"/>
              </w:rPr>
            </w:pPr>
          </w:p>
        </w:tc>
        <w:tc>
          <w:tcPr>
            <w:tcW w:w="1940" w:type="dxa"/>
            <w:vAlign w:val="bottom"/>
          </w:tcPr>
          <w:p>
            <w:pPr>
              <w:jc w:val="right"/>
              <w:ind w:right="290"/>
              <w:spacing w:after="0" w:line="190" w:lineRule="exact"/>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6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240" w:type="dxa"/>
            <w:vAlign w:val="bottom"/>
          </w:tcPr>
          <w:p>
            <w:pPr>
              <w:spacing w:after="0"/>
              <w:rPr>
                <w:sz w:val="20"/>
                <w:szCs w:val="20"/>
                <w:color w:val="auto"/>
              </w:rPr>
            </w:pP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0" w:type="dxa"/>
            <w:vAlign w:val="bottom"/>
          </w:tcPr>
          <w:p>
            <w:pPr>
              <w:spacing w:after="0"/>
              <w:rPr>
                <w:sz w:val="1"/>
                <w:szCs w:val="1"/>
                <w:color w:val="auto"/>
              </w:rPr>
            </w:pPr>
          </w:p>
        </w:tc>
      </w:tr>
      <w:tr>
        <w:trPr>
          <w:trHeight w:val="205"/>
        </w:trPr>
        <w:tc>
          <w:tcPr>
            <w:tcW w:w="6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100,402</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201,076</w:t>
            </w:r>
          </w:p>
        </w:tc>
        <w:tc>
          <w:tcPr>
            <w:tcW w:w="0" w:type="dxa"/>
            <w:vAlign w:val="bottom"/>
          </w:tcPr>
          <w:p>
            <w:pPr>
              <w:spacing w:after="0"/>
              <w:rPr>
                <w:sz w:val="1"/>
                <w:szCs w:val="1"/>
                <w:color w:val="auto"/>
              </w:rPr>
            </w:pPr>
          </w:p>
        </w:tc>
      </w:tr>
      <w:tr>
        <w:trPr>
          <w:trHeight w:val="23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revenue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0" w:type="dxa"/>
            <w:vAlign w:val="bottom"/>
          </w:tcPr>
          <w:p>
            <w:pPr>
              <w:spacing w:after="0"/>
              <w:rPr>
                <w:sz w:val="1"/>
                <w:szCs w:val="1"/>
                <w:color w:val="auto"/>
              </w:rPr>
            </w:pPr>
          </w:p>
        </w:tc>
      </w:tr>
      <w:tr>
        <w:trPr>
          <w:trHeight w:val="223"/>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213,329</w:t>
            </w:r>
          </w:p>
        </w:tc>
        <w:tc>
          <w:tcPr>
            <w:tcW w:w="0" w:type="dxa"/>
            <w:vAlign w:val="bottom"/>
          </w:tcPr>
          <w:p>
            <w:pPr>
              <w:spacing w:after="0"/>
              <w:rPr>
                <w:sz w:val="1"/>
                <w:szCs w:val="1"/>
                <w:color w:val="auto"/>
              </w:rPr>
            </w:pPr>
          </w:p>
        </w:tc>
      </w:tr>
      <w:tr>
        <w:trPr>
          <w:trHeight w:val="205"/>
        </w:trPr>
        <w:tc>
          <w:tcPr>
            <w:tcW w:w="67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0" w:type="dxa"/>
            <w:vAlign w:val="bottom"/>
          </w:tcPr>
          <w:p>
            <w:pPr>
              <w:spacing w:after="0"/>
              <w:rPr>
                <w:sz w:val="1"/>
                <w:szCs w:val="1"/>
                <w:color w:val="auto"/>
              </w:rPr>
            </w:pPr>
          </w:p>
        </w:tc>
      </w:tr>
      <w:tr>
        <w:trPr>
          <w:trHeight w:val="22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0" w:type="dxa"/>
            <w:vAlign w:val="bottom"/>
          </w:tcPr>
          <w:p>
            <w:pPr>
              <w:spacing w:after="0"/>
              <w:rPr>
                <w:sz w:val="1"/>
                <w:szCs w:val="1"/>
                <w:color w:val="auto"/>
              </w:rPr>
            </w:pPr>
          </w:p>
        </w:tc>
      </w:tr>
      <w:tr>
        <w:trPr>
          <w:trHeight w:val="23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0" w:type="dxa"/>
            <w:vAlign w:val="bottom"/>
          </w:tcPr>
          <w:p>
            <w:pPr>
              <w:spacing w:after="0"/>
              <w:rPr>
                <w:sz w:val="1"/>
                <w:szCs w:val="1"/>
                <w:color w:val="auto"/>
              </w:rPr>
            </w:pPr>
          </w:p>
        </w:tc>
      </w:tr>
      <w:tr>
        <w:trPr>
          <w:trHeight w:val="23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3"/>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68,087</w:t>
            </w:r>
          </w:p>
        </w:tc>
        <w:tc>
          <w:tcPr>
            <w:tcW w:w="0" w:type="dxa"/>
            <w:vAlign w:val="bottom"/>
          </w:tcPr>
          <w:p>
            <w:pPr>
              <w:spacing w:after="0"/>
              <w:rPr>
                <w:sz w:val="1"/>
                <w:szCs w:val="1"/>
                <w:color w:val="auto"/>
              </w:rPr>
            </w:pPr>
          </w:p>
        </w:tc>
      </w:tr>
      <w:tr>
        <w:trPr>
          <w:trHeight w:val="218"/>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145,242</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18"/>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136,541</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0" w:type="dxa"/>
            <w:vAlign w:val="bottom"/>
          </w:tcPr>
          <w:p>
            <w:pPr>
              <w:spacing w:after="0"/>
              <w:rPr>
                <w:sz w:val="1"/>
                <w:szCs w:val="1"/>
                <w:color w:val="auto"/>
              </w:rPr>
            </w:pPr>
          </w:p>
        </w:tc>
      </w:tr>
      <w:tr>
        <w:trPr>
          <w:trHeight w:val="223"/>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material income from discontinued operations for the three and six months ended June 30,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On July 1, 2022, the Company drew $12.5 million against both (a) the $150 million five-year delayed draw amortizing term loan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A-1") and (b) the $150 million seven-year delayed draw amortizing term loan ("Term Loan A-2") for a total of $25 million.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its fiscal year ended December 31, 2021 ("2021 Form 10-K").</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the Company’s 2021 Form 10-K, including the consolidated financial statements and related notes included therein.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organized around our reportable segments. Refer to Note 12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and Note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our unaudited condensed consolidated financial statements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2022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Beam fixed wireless: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the fourth quarter of 2021, due to the availability of grants awarded under various governmental initiatives, and in support of rural fiber to the home ("FTTH") broadband network expansion projects, we decided to cease further expansion of our “Beam” branded fixed wireless edge-out strategy. During the second quarter of 2022, the Company permanently ceased operating 20 of our 55 Beam fixed wireless sites and expects these sites to be completely decommissioned by December 31, 2022. The Company also began, during the second quarter 2022, exploration of strategic alternatives concerning the remaining Beam branded fixed wireless assets and operations.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with the Three Months Ended June 30, 2021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66,021</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60,700</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58,310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49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49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51,566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(51,566)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53,191</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approximately $5.3 million, or 8.8%, during the three months ended June 30, 2022 compared with the three months ended June 30, 2021, driven by growth of $5.2 million, or 9.2%, in the Broadband segment and $0.1 million, or 1.9%, in the Tower segment. Refer to the discussion of the results of operations for the Broadband and Tower segments, included within this MD&amp;A,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Operating expenses increased approximately $10.8 million, or 18.6%, for the three months ended June 30, 2022 compared with the three months ended June 30, 2021, driven primarily by a $4.1 million impairment expense for Beam fixed wireless in our Broadband segment, $5.2 million of incremental Broadband operating expenses incurred primarily to support the expansion of Glo Fiber branded services, and $1.3 million of incremental Corporate operating expenses primarily driven by stock-based compensation grants.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decreased $1.9 million primarily due to lower income from investments.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2022 the Company recognized an income tax benefit of $0.5 million, compared with $2.1 million of income tax expense for the three months ended June 30, 2021. The $2.6 million decrease in income tax expense was primarily due to a $1.9 million decrease resulting from a decline in taxable income, and a $1.0 million decrease driven by a decline in the revaluation of deferred taxes (for a change in tax law in the state of West Virginia recognized in the prior year), partially offset by a $0.3 million increase in stock compensation related excess tax shortfalls and other discrete items.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with the Six Months Ended June 30, 2021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130,435</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120,391</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115,771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49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49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(100,038)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104,608</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approximately $10.0 million, or 8.3%, during the six months ended June 30, 2022 compared with the six months ended June 30, 2021, driven by growth of $9.7 million, or 8.7%, in the Broadband segment and $0.3 million, or 2.9%, in the Tower segment. Refer to the discussion of the results of operations for the Broadband and Tower segments, included within this MD&amp;A,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Operating expenses increased approximately $18.2 million, or 15.7%, for the six months ended June 30, 2022 compared with the six months ended June 30, 2021, driven primarily by a $4.1 million impairment expense for Beam fixed wireless in our Broadband segment, $11.8 million of incremental Broadband operating expenses incurred primarily to support the expansion of Glo Fiber branded services, and $4.4 million of incremental stock-based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decreased $3.7 million primarily due to lower income from investments.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2022 the Company recognized an income tax benefit of $0.4 million, compared with $3.0 million of income tax expense for the six months ended June 30, 2021. The $3.4 million decrease in income tax expense was primarily due to a $3.2 million decrease resulting from a decline in taxable income and a $1.0 million decrease driven by a decline in the revaluation of deferred taxes (for a change in tax law in the state of West Virginia recognized in the prior year), partially offset by a $0.8 million increase in stock compensation related excess tax shortfalls and other discrete items.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Broadband</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and fixed wireless network under the brand name of Beam. The Broadband segment also leases dark fiber and provides Ethernet and Wavelength fiber optic services to enterprise and wholesale customers throughout the entirety of our service area under the brand names of Glo Fiber Enterprise and Glo Fiber Wholesale. The Broadband segment also provides voice and DSL telephone services to customers in Virginia’s Shenandoah County and portions of adjacent counties as a Rural Local Exchange Carrier (“RLEC”). These integrated networks are connected by our fiber network of over 7,900 route miles.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9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our Broadband segment:</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7"/>
                <w:szCs w:val="17"/>
                <w:color w:val="auto"/>
              </w:rPr>
            </w:pPr>
          </w:p>
        </w:tc>
        <w:tc>
          <w:tcPr>
            <w:tcW w:w="128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Broadband homes and businesses passed (1)</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324,186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257,155</w:t>
            </w:r>
          </w:p>
        </w:tc>
      </w:tr>
      <w:tr>
        <w:trPr>
          <w:trHeight w:val="23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Incumbent Cable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211,681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210,787</w:t>
            </w: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Glo Fiber</w:t>
            </w: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112,505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46,368</w:t>
            </w:r>
          </w:p>
        </w:tc>
      </w:tr>
      <w:tr>
        <w:trPr>
          <w:trHeight w:val="33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&amp; Small and Medium Business ("SMB") RGUs: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125,003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111,475</w:t>
            </w:r>
          </w:p>
        </w:tc>
      </w:tr>
      <w:tr>
        <w:trPr>
          <w:trHeight w:val="229"/>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107,878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103,465</w:t>
            </w:r>
          </w:p>
        </w:tc>
      </w:tr>
      <w:tr>
        <w:trPr>
          <w:trHeight w:val="229"/>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7,169</w:t>
            </w:r>
          </w:p>
        </w:tc>
      </w:tr>
      <w:tr>
        <w:trPr>
          <w:trHeight w:val="230"/>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49,027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51,355</w:t>
            </w:r>
          </w:p>
        </w:tc>
      </w:tr>
      <w:tr>
        <w:trPr>
          <w:trHeight w:val="234"/>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39,535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34,664</w:t>
            </w:r>
          </w:p>
        </w:tc>
      </w:tr>
      <w:tr>
        <w:trPr>
          <w:trHeight w:val="228"/>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Residential &amp; SMB RGUs (excludes RLEC)</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213,565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197,494</w:t>
            </w:r>
          </w:p>
        </w:tc>
      </w:tr>
      <w:tr>
        <w:trPr>
          <w:trHeight w:val="328"/>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&amp; SMB Penetration (2)</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9"/>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29"/>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r>
      <w:tr>
        <w:trPr>
          <w:trHeight w:val="230"/>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29"/>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4"/>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33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&amp; SMB ARPU (3)</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9"/>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78.05</w:t>
            </w:r>
          </w:p>
        </w:tc>
      </w:tr>
      <w:tr>
        <w:trPr>
          <w:trHeight w:val="229"/>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80.85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78.30</w:t>
            </w:r>
          </w:p>
        </w:tc>
      </w:tr>
      <w:tr>
        <w:trPr>
          <w:trHeight w:val="230"/>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74.42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73.92</w:t>
            </w:r>
          </w:p>
        </w:tc>
      </w:tr>
      <w:tr>
        <w:trPr>
          <w:trHeight w:val="229"/>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103.29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100.06</w:t>
            </w:r>
          </w:p>
        </w:tc>
      </w:tr>
      <w:tr>
        <w:trPr>
          <w:trHeight w:val="234"/>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28.85</w:t>
            </w:r>
          </w:p>
        </w:tc>
      </w:tr>
      <w:tr>
        <w:trPr>
          <w:trHeight w:val="333"/>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 route miles</w:t>
            </w:r>
          </w:p>
        </w:tc>
        <w:tc>
          <w:tcPr>
            <w:tcW w:w="2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7,906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7,041</w:t>
            </w:r>
          </w:p>
        </w:tc>
      </w:tr>
      <w:tr>
        <w:trPr>
          <w:trHeight w:val="234"/>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fiber miles (4)</w:t>
            </w: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589,923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440,236</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hanging="328"/>
        <w:spacing w:after="0" w:line="259" w:lineRule="auto"/>
        <w:tabs>
          <w:tab w:leader="none" w:pos="65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640" w:hanging="308"/>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passings or available homes, as appropriate.</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RGU calculation = (Residential &amp; SMB Revenue * 1,000) / average RGUs / 3 months</w:t>
      </w:r>
    </w:p>
    <w:p>
      <w:pPr>
        <w:spacing w:after="0" w:line="4" w:lineRule="exact"/>
        <w:rPr>
          <w:rFonts w:ascii="Times New Roman" w:cs="Times New Roman" w:eastAsia="Times New Roman" w:hAnsi="Times New Roman"/>
          <w:sz w:val="14"/>
          <w:szCs w:val="14"/>
          <w:color w:val="auto"/>
        </w:rPr>
      </w:pPr>
    </w:p>
    <w:p>
      <w:pPr>
        <w:ind w:left="660" w:hanging="328"/>
        <w:spacing w:after="0" w:line="278" w:lineRule="auto"/>
        <w:tabs>
          <w:tab w:leader="none" w:pos="65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with the Three Months Ended June 30, 2021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Broadband results from operations are summarized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5"/>
        </w:trPr>
        <w:tc>
          <w:tcPr>
            <w:tcW w:w="43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2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&amp; SMB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43,989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8"/>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broadband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56,227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Broadband operating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23,440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w:t>
            </w:r>
          </w:p>
        </w:tc>
      </w:tr>
      <w:tr>
        <w:trPr>
          <w:trHeight w:val="229"/>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11,775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broadband operating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48,048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Broadband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8,179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(small &amp; medium business)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&amp; SMB revenue increased approximately $3.9 million, or 8.9%, for the three months ended June 30, 2022 primarily driven by 138.9% and 4.3% year-over-year growth in Glo Fiber and incumbent cable broadband data RGUs, respectively, driven by increased customer demand for higher speed data service.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Commercial Fiber revenue increased approximately $0.8 million, or 9.6%, due primarily to increased connections in the three months ended June 30, 2022, as compared to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for the three months ended June 30, 2022 increased approximately $2.0 million, or 8.5%, compared with the three months ended June 30, 2021, driven by higher maintenance and compensation expenses. Maintenance increased due to higher cable replacement, gasoline and field engineering costs. Compensation increased due to higher headcount to support the expansion of our Glo Fiber network, salary and wage increases and higher medical benefit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Selling, general and administrative expense three months ended June 30, 2022 increased $1.2 million, or 9.0%, compared with the three months ended June 30, 2021, driven primarily by a $0.9 million increase in compensation, and a $0.4 million increase in advertising to support Glo Fiber expansion, partially offset by a decline of $0.1 million in other miscellaneous charges. Compensation costs increased due primarily to higher headcount to support the expansion of Glo Fiber, salary and wage increases and higher medical benefit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2022, we implemented a Beam branded fixed wireless site streamlining program that impacted certain fixed wireless circuits.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we incurred $0.4 million of contract termination expenses during the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w:t>
      </w:r>
    </w:p>
    <w:p>
      <w:pPr>
        <w:spacing w:after="0" w:line="2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During the second quarter of 2022, the Company permanently ceased operating 20 of our 55 Beam fixed wireless sites, and we expect these sites to be completely decommissioned by December 31, 2022. Consequently, Shentel recorded an impairment charge of $4.1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Depreciation and amortization increased $1.6 million, or 13.8%, compared with the three months ended June 30, 2021, primarily as a result of our network expansion of our Glo Fiber network.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with the Six Months Ended June 30, 2021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Broadband results from operations are summarized as follows: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5"/>
        </w:trPr>
        <w:tc>
          <w:tcPr>
            <w:tcW w:w="4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&amp; SMB</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Fiber</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RLEC &amp; Other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8"/>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broadband revenue</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operating expenses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expense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2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expense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4,351.5</w:t>
            </w:r>
          </w:p>
        </w:tc>
      </w:tr>
      <w:tr>
        <w:trPr>
          <w:trHeight w:val="234"/>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broadband operating expenses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operating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(small &amp; medium business) revenue</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Residential &amp; SMB revenue increased approximately $7.9 million, or 9.1%, for the six months ended June 30, 2022 primarily driven by 138.9% and 4.3% year-over-year growth in Glo Fiber and incumbent cable broadband data RGUs, respectively, driven by increased customer demand for higher speed data service.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Commercial Fiber revenue increased approximately $1.4 million, or 8.3%, due primarily to increased connections in the six months ended June 30, 2022, as compared to the prior year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for the six months ended June 30, 2022, increased approximately $4.9 million, or 10.7%, compared with the six months ended June 30, 2021, driven by higher maintenance and compensation expenses. Maintenance increased due to higher cable replacement, gasoline and field engineering costs. Compensation increased due to higher headcount to support the expansion of our Glo Fiber network, salary and wage increases and higher medical benefit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Selling, general and administrative expense for the six months ended June 30, 2022, increased $3.9 million, or 16.6%, compared with the six months ended June 30, 2021, driven primarily by a $1.8 million increase in compensation, a $0.9 million increase in software and professional service fees due to upgrades to our financial and operational systems, a $0.9 million increase in advertising to support Glo Fiber expansion and a $0.3 million in bad debt expense. Compensation costs increased due primarily to higher headcount to support the expansion of Glo Fiber, salary and wage increases and higher medical benefit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p>
      <w:pPr>
        <w:spacing w:after="0" w:line="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During the six months ended June 30, 2022, we implemented a Beam branded fixed wireless site streamlining program that impacted certain fixed wireless circuits. As a result, we incurred $0.4 million of contract termination expenses during this period.</w:t>
      </w: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2021, we implemented a workforce reduction program that impacted certain broadband employees and as a result we incurred $0.1 million of severance expenses during this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second quarter of 2022, the Company permanently ceased operating 20 of our 55 Beam fixed wireless sites and we expect these sites to be completely decommissioned by December 31, 2022. Consequently, Shentel recorded an impairment charge of $4.1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Depreciation and amortization increased $2.5 million, or 10.6%, compared with the six months ended June 30, 2021, primarily as a result of our network expansion of our Glo Fiber network.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Tower</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Tower segment owns cell towers and leases colocation space on the towers to wireless communications providers. Substantially all of our owned towers are built on ground that we lease from the respective landlords.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the Tower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Macro tower sites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tenants per tower</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783"/>
        </w:trPr>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with the Three Months Ended June 30, 2021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Tower results from operations are summarized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4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320" w:type="dxa"/>
            <w:vAlign w:val="bottom"/>
          </w:tcPr>
          <w:p>
            <w:pPr>
              <w:spacing w:after="0"/>
              <w:rPr>
                <w:sz w:val="19"/>
                <w:szCs w:val="19"/>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Tower revenue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4,614</w:t>
            </w: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2,105</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Tower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2,509</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Revenue increased approximately $0.1 million, or 1.9%, for the three months ended June 30, 2022 compared with the three months ended June 30, 2021, primarily due to a 3.8% increase in tenants.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for the three months ended June 30, 2022 increased $0.3 million, or 14.8%, compared with the prior year period. The increase was primarily due to depreciation expense of structural upgrades at tower sites necessary to accommodate deployment of upgraded equipment through existing tenants and placement of new tenants at our sites.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with the Six Months Ended June 30,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Tower results from operations are summarized as follows: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7"/>
        </w:trPr>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4"/>
                <w:szCs w:val="24"/>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Tower revenue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8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Tower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Revenue increased approximately $0.3 million, or 2.9%, for the six months ended June 30, 2022 compared with the six months ended June 30, 2021, primarily due to a 3.8% increase in tenants.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for the six months ended June 30, 2022 increased $0.4 million, or 10.9%, compared with the prior year period. The increase was primarily due to depreciation expense of structural upgrades at tower sites necessary to accommodate deployment of upgraded equipment through existing tenants and placement of new tenants at our sites.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4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Sources and Uses of Cash: </w:t>
      </w:r>
      <w:r>
        <w:rPr>
          <w:rFonts w:ascii="Times New Roman" w:cs="Times New Roman" w:eastAsia="Times New Roman" w:hAnsi="Times New Roman"/>
          <w:sz w:val="18"/>
          <w:szCs w:val="18"/>
          <w:color w:val="auto"/>
        </w:rPr>
        <w:t>Our principal sources of liquidity are our cash and cash equivalents, cash generated from operations, and proceeds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Credit Agreement, dated July 1, 2021 (the "Credit Agreement").</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2022, our cash and cash equivalents totaled $33.3 million and the availability under our delayed draw term loans and revolving line of credit was $400.0 million, for total available liquidity of $433.3 million. On July 1, 2022, we drew a total of $25 million against our term loans. We expect to draw the remaining $275 million available under the term loans by June 2023.</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activities from continuing operations generated approximately $38.7 million during the six months ended June 30, 2022, representing an increase of $10.6 million compared with the prior year period, driven by changes in working capital.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activities from discontinued operations were not material during the six months ended June 30, 2022 due to the sale of the Wireless business in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continuing operations increased $9.1 million during the six months ended June 30, 2022, compared with the six months ended June 30, 2021, primarily due to a $9.1 million increase in capital expenditures due primarily to higher spending in the Broadband segment to enable our Glo Fiber market expansion.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continuing operations decreased approximately $1.1 million due primarily to lower tax payments for stock-based compensation equity issuances during the six months ended June 30, 2022, as compared to the prior year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half of 2022, the Company expects to receive income tax refunds of $29.7 million after filing our 2021 income tax returns.</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On July 1, 2022, we drew $12.5 million against both the Term Loan A-1 and Term Loan A-2 facilities for a total of $25 million. We expect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draw an additional $275 million against the Credit Agreement by June 2023.</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cash on hand, cash flow from continuing operations, and availability of funds from our Credit Agreement, will be sufficient to meet our anticipated liquidity needs for business operations for the next twelve months. There can be no assurance that we will continue to generate cash flows at or above current levels or that we will be able to raise additional financing to support the Company's planned capital expenditures aimed at our network and subscriber growth and expansion initiatives.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our capital expenditures to exceed the cash flow provided from continuing operations through 2025, as we expand our Glo Fiber broadband network to potentially reach over 450,000 passings.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actual amount and timing of our future capital requirements may differ materially from our estimates depending on the demand for our products and services, new market developments and expansion opportunities.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cash flows from continuing operations could be adversely affected by events outside our control, including, without limitation, changes in overall economic conditions,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previously disclosed in Part II, Item 8 of our 2021 Form 10-K for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had not drawn on our Credit Agreement as of June 30, 2022. As a result, our exposure to significant risks concerning fluctuating variable interest rates has not materially changed from December 31, 2021 to June 30, 2022. On July 1, 2022, we drew a total of $25 million against our term loans, and expect to continue to draw upon our Credit Agreement as needed to fund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future capital expenditures. We expect to draw an additional $275 million against the Credit Agreement by June 2023. Fluctuations in interest rates on future borrowings could result in increased market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disclosed in our 2021 Form 10-K, we identified material weaknesses in internal control over financial reporting, and identified our remediation plan. The material weaknesses will not be considered remediated until management’s remediation plan has been fully enacted and any updated and enhanced operational processes and internal control activities operate effectively for a sufficient period of time, and management has concluded, through testing and evaluation, that these enhanced internal controls are operating effectively.</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President and Chief Executive Officer, who is the Principal Executive Officer, the Senior Vice President - Finance and Chief Financial Officer, who is the Principal Financial Officer, and the Vice President and Chief Accounting Officer, who is the Principal Accounting Officer, conducted an evaluation of the effectiveness of the design and operation of our disclosure controls and procedures (as defined by Rule 13a-15(e) under the Securities Exchange Act of 1934), as of the end of the period covered by this Quarterly Report on Form 10-Q. As our remediation plan has not yet been fully completed, our President and Chief Executive Officer, our Senior Vice President - Finance and Chief Financial Officer and our Vice President and Chief Accounting Officer have concluded that our disclosure controls and procedures continued to be ineffective as of June 30, 2022.</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include the use of a Disclosure Committee which is comprised of representatives from our Accounting, Human Resources, Legal, Operations, Technology, and Government Affairs/Regulatory functions and are designed to ensure that information required to be disclosed in the reports we file or submit under the Exchange Act is accumulated and communicated to our management, including our Principal Executive Officer, Principal Financial Officer, and Principal Accounting Officer, as appropriate, to allow timely decisions regarding required disclosure. Notwithstanding the material weaknesses, management has concluded that the unaudited condensed consolidated financial statements included in this Quarterly Report on Form 10-Q were prepared and presented in accordance with U.S. generally accepted accounting principles (U.S. GAAP) and fairly state, in all material respects, our financial position, results of operations and cash flows for the periods presented.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June 30, 2022, the Company continued implementation of management's remediation plan. Our 2022 accomplishments are summarized below.</w:t>
      </w:r>
    </w:p>
    <w:p>
      <w:pPr>
        <w:spacing w:after="0" w:line="203" w:lineRule="exact"/>
        <w:rPr>
          <w:sz w:val="20"/>
          <w:szCs w:val="20"/>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formed a Company wide, cross functional task force of employees, charged with implementing the remediation plan with regular reports on progress provided to the Principal Executive Officer and Principal Financial Officer.</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an implementation of a new enterprise resource planning ("ERP") system and a lease accounting system. In the process of deploying these new systems, we designed and implemented new, or otherwise enhanced existing, internal control activities to complement operational and administrative process changes required to support the functionality of our new ERP and lease accounting systems.</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commenced reevaluation of our accounting policies including those established in conjunction with management’s remediation plan as reported in Item 9A of our 2021 Form 10-K. As a result of this ongoing effort, we have not yet identified any new significant financial reporting risks that required implementation or enhancement of new or existing policies or key internal control activities.</w:t>
      </w:r>
    </w:p>
    <w:p>
      <w:pPr>
        <w:spacing w:after="0" w:line="2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incentives and professional development opportunities have been thoughtfully designed to drive employee engagement, retention, and focus on our remediation plan. Employee turnover to-date has not had a significant impact on our remediation efforts.</w:t>
      </w:r>
    </w:p>
    <w:p>
      <w:pPr>
        <w:spacing w:after="0" w:line="189"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The Company is committed to complete its remediation efforts during 2022. We cannot provide assurance on when we will remediate the identified material weaknesses, nor can we be certain whether additional actions will be required to be added to our remediation plan. Moreover, we cannot provide assurance that additional material weaknesses will not arise in the future.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discuss in our Annual Report on Form 10-K various risks that may materially affect our business. We use this section to update this discussion to reflect material developments since our Form 10-K was filed. As of June 30, 2022, the Company has not identified any needed updates to the risk factors included in our most recent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vesting of shares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June 30, 2022, to settle employee tax withholding obligations related to the vesting of stock awards.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 to April 30</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to May 31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1 to June 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r>
      <w:tr>
        <w:trPr>
          <w:trHeight w:val="241"/>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Surrendered</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r>
      <w:tr>
        <w:trPr>
          <w:trHeight w:val="22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23.09</w:t>
            </w:r>
          </w:p>
        </w:tc>
      </w:tr>
      <w:tr>
        <w:trPr>
          <w:trHeight w:val="230"/>
        </w:trPr>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22.65</w:t>
            </w:r>
          </w:p>
        </w:tc>
      </w:tr>
      <w:tr>
        <w:trPr>
          <w:trHeight w:val="234"/>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22.48</w:t>
            </w:r>
          </w:p>
        </w:tc>
      </w:tr>
      <w:tr>
        <w:trPr>
          <w:trHeight w:val="223"/>
        </w:trPr>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40" w:space="720"/>
            <w:col w:w="408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 Index</w:t>
      </w:r>
    </w:p>
    <w:p>
      <w:pPr>
        <w:spacing w:after="0" w:line="387"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 Description</w:t>
      </w:r>
    </w:p>
    <w:p>
      <w:pPr>
        <w:spacing w:after="0" w:line="297"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Executive Officer pursuant to Rule 13a-14(a) under the Securities Exchange Act of 1934.</w:t>
      </w:r>
    </w:p>
    <w:p>
      <w:pPr>
        <w:spacing w:after="0" w:line="252"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Financial Officer pursuant to Rule 13a-14(a) under the Securities Exchange Act of 1934.</w:t>
      </w:r>
    </w:p>
    <w:p>
      <w:pPr>
        <w:spacing w:after="0" w:line="293"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31.3</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 of Principal Accounting Officer pursuant to Rule 13a-14(a) under the Securities Exchange Act of 1934.</w:t>
      </w:r>
    </w:p>
    <w:p>
      <w:pPr>
        <w:spacing w:after="0" w:line="29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7"/>
          <w:szCs w:val="17"/>
          <w:color w:val="auto"/>
        </w:rPr>
        <w:t>Certifications pursuant to Rule 13a-14(b) under the Securities Exchange Act of 1934 and 18 U.S.C. § 1350.</w:t>
      </w:r>
    </w:p>
    <w:p>
      <w:pPr>
        <w:spacing w:after="0" w:line="252" w:lineRule="exact"/>
        <w:rPr>
          <w:sz w:val="20"/>
          <w:szCs w:val="20"/>
          <w:color w:val="auto"/>
        </w:rPr>
      </w:pPr>
    </w:p>
    <w:p>
      <w:pPr>
        <w:ind w:left="1220" w:hanging="813"/>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Inline XBRL (Extensible Business Reporting Language)</w:t>
      </w:r>
    </w:p>
    <w:p>
      <w:pPr>
        <w:spacing w:after="0" w:line="225"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r>
      <w:tr>
        <w:trPr>
          <w:trHeight w:val="234"/>
        </w:trPr>
        <w:tc>
          <w:tcPr>
            <w:tcW w:w="1000" w:type="dxa"/>
            <w:vAlign w:val="bottom"/>
          </w:tcPr>
          <w:p>
            <w:pPr>
              <w:spacing w:after="0"/>
              <w:rPr>
                <w:sz w:val="20"/>
                <w:szCs w:val="20"/>
                <w:color w:val="auto"/>
              </w:rPr>
            </w:pP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6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65" w:lineRule="exact"/>
        <w:rPr>
          <w:sz w:val="20"/>
          <w:szCs w:val="20"/>
          <w:color w:val="auto"/>
        </w:rPr>
      </w:pPr>
    </w:p>
    <w:p>
      <w:pPr>
        <w:ind w:right="4240" w:firstLine="467"/>
        <w:spacing w:after="0" w:line="641"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660" w:hanging="652"/>
        <w:spacing w:after="0" w:line="266" w:lineRule="auto"/>
        <w:tabs>
          <w:tab w:leader="none" w:pos="4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-904875</wp:posOffset>
            </wp:positionV>
            <wp:extent cx="54864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 James J. Volk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1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19"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4"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571"/>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Dennis Romps, certify that:</w:t>
      </w:r>
    </w:p>
    <w:p>
      <w:pPr>
        <w:spacing w:after="0" w:line="11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/s/DENNIS ROMPS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Dennis Romps, Vice President - Chief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ind w:right="360" w:firstLine="656"/>
        <w:spacing w:after="0" w:line="266" w:lineRule="auto"/>
        <w:tabs>
          <w:tab w:leader="none" w:pos="12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and six months ended June 30, 2022 filed on the date hereof with the Securities and Exchange Commission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August 3, 2022</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August 3, 2022</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01"/>
    </w:lvl>
  </w:abstractNum>
  <w:abstractNum w:abstractNumId="5">
    <w:nsid w:val="515F007C"/>
    <w:multiLevelType w:val="hybridMultilevel"/>
    <w:lvl w:ilvl="0">
      <w:lvlJc w:val="left"/>
      <w:lvlText w:val="*"/>
      <w:numFmt w:val="bullet"/>
      <w:start w:val="1"/>
    </w:lvl>
    <w:lvl w:ilvl="1">
      <w:lvlJc w:val="left"/>
      <w:lvlText w:val="%2"/>
      <w:numFmt w:val="decimal"/>
      <w:start w:val="104"/>
    </w:lvl>
  </w:abstractNum>
  <w:abstractNum w:abstractNumId="6">
    <w:nsid w:val="5BD062C2"/>
    <w:multiLevelType w:val="hybridMultilevel"/>
    <w:lvl w:ilvl="0">
      <w:lvlJc w:val="left"/>
      <w:lvlText w:val="**"/>
      <w:numFmt w:val="bullet"/>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decimal"/>
      <w:start w:val="1"/>
    </w:lvl>
  </w:abstractNum>
  <w:abstractNum w:abstractNumId="8">
    <w:nsid w:val="4DB127F8"/>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9">
    <w:nsid w:val="216231B"/>
    <w:multiLevelType w:val="hybridMultilevel"/>
    <w:lvl w:ilvl="0">
      <w:lvlJc w:val="left"/>
      <w:lvlText w:val="%1."/>
      <w:numFmt w:val="decimal"/>
      <w:start w:val="1"/>
    </w:lvl>
    <w:lvl w:ilvl="1">
      <w:lvlJc w:val="left"/>
      <w:lvlText w:val="(%2)"/>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2022-08-03T07:07:39Z</dcterms:created>
  <dcterms:modified xsi:type="dcterms:W3CDTF">2022-08-03T07:07:39Z</dcterms:modified>
</cp:coreProperties>
</file>