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380" w:hanging="263"/>
        <w:spacing w:after="0" w:line="218" w:lineRule="auto"/>
        <w:tabs>
          <w:tab w:leader="none" w:pos="38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color w:val="auto"/>
        </w:rPr>
        <w:t>QUARTERLY REPORT 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June 30, 2023</w:t>
      </w:r>
    </w:p>
    <w:p>
      <w:pPr>
        <w:spacing w:after="0" w:line="239" w:lineRule="exact"/>
        <w:rPr>
          <w:sz w:val="24"/>
          <w:szCs w:val="24"/>
          <w:color w:val="auto"/>
        </w:rPr>
      </w:pPr>
    </w:p>
    <w:p>
      <w:pPr>
        <w:ind w:left="3540" w:right="2200" w:hanging="3423"/>
        <w:spacing w:after="0" w:line="463" w:lineRule="auto"/>
        <w:tabs>
          <w:tab w:leader="none" w:pos="380"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53" w:lineRule="exact"/>
        <w:rPr>
          <w:rFonts w:ascii="MS PGothic" w:cs="MS PGothic" w:eastAsia="MS PGothic" w:hAnsi="MS PGothic"/>
          <w:sz w:val="29"/>
          <w:szCs w:val="29"/>
          <w:color w:val="auto"/>
          <w:vertAlign w:val="superscript"/>
        </w:rPr>
      </w:pPr>
    </w:p>
    <w:p>
      <w:pPr>
        <w:ind w:left="4420"/>
        <w:spacing w:after="0"/>
        <w:rPr>
          <w:rFonts w:ascii="MS PGothic" w:cs="MS PGothic" w:eastAsia="MS PGothic" w:hAnsi="MS PGothic"/>
          <w:sz w:val="29"/>
          <w:szCs w:val="29"/>
          <w:color w:val="auto"/>
          <w:vertAlign w:val="superscript"/>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168910</wp:posOffset>
            </wp:positionV>
            <wp:extent cx="1842770"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77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tbl>
      <w:tblPr>
        <w:tblLayout w:type="fixed"/>
        <w:tblInd w:w="42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8900" w:type="dxa"/>
            <w:vAlign w:val="bottom"/>
            <w:gridSpan w:val="4"/>
          </w:tcPr>
          <w:p>
            <w:pPr>
              <w:ind w:left="1520"/>
              <w:spacing w:after="0"/>
              <w:rPr>
                <w:sz w:val="20"/>
                <w:szCs w:val="20"/>
                <w:color w:val="auto"/>
              </w:rPr>
            </w:pPr>
            <w:r>
              <w:rPr>
                <w:rFonts w:ascii="Arial" w:cs="Arial" w:eastAsia="Arial" w:hAnsi="Arial"/>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34"/>
        </w:trPr>
        <w:tc>
          <w:tcPr>
            <w:tcW w:w="1820" w:type="dxa"/>
            <w:vAlign w:val="bottom"/>
          </w:tcPr>
          <w:p>
            <w:pPr>
              <w:spacing w:after="0"/>
              <w:rPr>
                <w:sz w:val="24"/>
                <w:szCs w:val="24"/>
                <w:color w:val="auto"/>
              </w:rPr>
            </w:pPr>
          </w:p>
        </w:tc>
        <w:tc>
          <w:tcPr>
            <w:tcW w:w="1660" w:type="dxa"/>
            <w:vAlign w:val="bottom"/>
          </w:tcPr>
          <w:p>
            <w:pPr>
              <w:jc w:val="center"/>
              <w:ind w:right="858"/>
              <w:spacing w:after="0"/>
              <w:rPr>
                <w:sz w:val="20"/>
                <w:szCs w:val="20"/>
                <w:color w:val="auto"/>
              </w:rPr>
            </w:pPr>
            <w:r>
              <w:rPr>
                <w:rFonts w:ascii="Arial" w:cs="Arial" w:eastAsia="Arial" w:hAnsi="Arial"/>
                <w:sz w:val="18"/>
                <w:szCs w:val="18"/>
                <w:b w:val="1"/>
                <w:bCs w:val="1"/>
                <w:color w:val="auto"/>
                <w:w w:val="96"/>
              </w:rPr>
              <w:t>Virginia</w:t>
            </w: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398"/>
              <w:spacing w:after="0"/>
              <w:rPr>
                <w:sz w:val="20"/>
                <w:szCs w:val="20"/>
                <w:color w:val="auto"/>
              </w:rPr>
            </w:pPr>
            <w:r>
              <w:rPr>
                <w:rFonts w:ascii="Arial" w:cs="Arial" w:eastAsia="Arial" w:hAnsi="Arial"/>
                <w:sz w:val="18"/>
                <w:szCs w:val="18"/>
                <w:b w:val="1"/>
                <w:bCs w:val="1"/>
                <w:color w:val="auto"/>
              </w:rPr>
              <w:t>54-1162807</w:t>
            </w:r>
          </w:p>
        </w:tc>
        <w:tc>
          <w:tcPr>
            <w:tcW w:w="0" w:type="dxa"/>
            <w:vAlign w:val="bottom"/>
          </w:tcPr>
          <w:p>
            <w:pPr>
              <w:spacing w:after="0"/>
              <w:rPr>
                <w:sz w:val="1"/>
                <w:szCs w:val="1"/>
                <w:color w:val="auto"/>
              </w:rPr>
            </w:pPr>
          </w:p>
        </w:tc>
      </w:tr>
      <w:tr>
        <w:trPr>
          <w:trHeight w:val="230"/>
        </w:trPr>
        <w:tc>
          <w:tcPr>
            <w:tcW w:w="6260" w:type="dxa"/>
            <w:vAlign w:val="bottom"/>
            <w:gridSpan w:val="4"/>
          </w:tcPr>
          <w:p>
            <w:pPr>
              <w:jc w:val="center"/>
              <w:ind w:right="18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460" w:type="dxa"/>
            <w:vAlign w:val="bottom"/>
          </w:tcPr>
          <w:p>
            <w:pPr>
              <w:jc w:val="right"/>
              <w:ind w:right="1538"/>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539"/>
        </w:trPr>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500 Shentel Way, Edinburg, Virginia</w:t>
            </w:r>
          </w:p>
        </w:tc>
        <w:tc>
          <w:tcPr>
            <w:tcW w:w="4460" w:type="dxa"/>
            <w:vAlign w:val="bottom"/>
          </w:tcPr>
          <w:p>
            <w:pPr>
              <w:jc w:val="right"/>
              <w:ind w:right="3798"/>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4440" w:type="dxa"/>
            <w:vAlign w:val="bottom"/>
            <w:gridSpan w:val="3"/>
          </w:tcPr>
          <w:p>
            <w:pPr>
              <w:ind w:left="1520"/>
              <w:spacing w:after="0"/>
              <w:rPr>
                <w:sz w:val="20"/>
                <w:szCs w:val="20"/>
                <w:color w:val="auto"/>
              </w:rPr>
            </w:pPr>
            <w:r>
              <w:rPr>
                <w:rFonts w:ascii="Arial" w:cs="Arial" w:eastAsia="Arial" w:hAnsi="Arial"/>
                <w:sz w:val="18"/>
                <w:szCs w:val="18"/>
                <w:color w:val="auto"/>
                <w:w w:val="94"/>
              </w:rPr>
              <w:t>(Address of principal executive offices)</w:t>
            </w:r>
          </w:p>
        </w:tc>
        <w:tc>
          <w:tcPr>
            <w:tcW w:w="4460" w:type="dxa"/>
            <w:vAlign w:val="bottom"/>
          </w:tcPr>
          <w:p>
            <w:pPr>
              <w:jc w:val="right"/>
              <w:ind w:right="3558"/>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45"/>
        </w:trPr>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8900" w:type="dxa"/>
            <w:vAlign w:val="bottom"/>
            <w:gridSpan w:val="4"/>
          </w:tcPr>
          <w:p>
            <w:pPr>
              <w:jc w:val="right"/>
              <w:ind w:right="3558"/>
              <w:spacing w:after="0"/>
              <w:rPr>
                <w:sz w:val="20"/>
                <w:szCs w:val="20"/>
                <w:color w:val="auto"/>
              </w:rPr>
            </w:pPr>
            <w:r>
              <w:rPr>
                <w:rFonts w:ascii="Arial" w:cs="Arial" w:eastAsia="Arial" w:hAnsi="Arial"/>
                <w:sz w:val="18"/>
                <w:szCs w:val="18"/>
                <w:color w:val="auto"/>
              </w:rPr>
              <w:t>(Registrant's telephone number, including area code)</w:t>
            </w: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2340" w:type="dxa"/>
            <w:vAlign w:val="bottom"/>
            <w:gridSpan w:val="2"/>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1820" w:type="dxa"/>
            <w:vAlign w:val="bottom"/>
          </w:tcPr>
          <w:p>
            <w:pPr>
              <w:spacing w:after="0"/>
              <w:rPr>
                <w:sz w:val="24"/>
                <w:szCs w:val="24"/>
                <w:color w:val="auto"/>
              </w:rPr>
            </w:pPr>
          </w:p>
        </w:tc>
        <w:tc>
          <w:tcPr>
            <w:tcW w:w="8900" w:type="dxa"/>
            <w:vAlign w:val="bottom"/>
            <w:gridSpan w:val="4"/>
          </w:tcPr>
          <w:p>
            <w:pPr>
              <w:jc w:val="right"/>
              <w:ind w:right="297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91"/>
        </w:trPr>
        <w:tc>
          <w:tcPr>
            <w:tcW w:w="1820" w:type="dxa"/>
            <w:vAlign w:val="bottom"/>
          </w:tcPr>
          <w:p>
            <w:pPr>
              <w:jc w:val="center"/>
              <w:spacing w:after="0"/>
              <w:rPr>
                <w:sz w:val="20"/>
                <w:szCs w:val="20"/>
                <w:color w:val="auto"/>
              </w:rPr>
            </w:pPr>
            <w:r>
              <w:rPr>
                <w:rFonts w:ascii="Arial" w:cs="Arial" w:eastAsia="Arial" w:hAnsi="Arial"/>
                <w:sz w:val="14"/>
                <w:szCs w:val="14"/>
                <w:color w:val="auto"/>
                <w:w w:val="92"/>
              </w:rPr>
              <w:t>Common Stock (No Par Value)</w:t>
            </w:r>
          </w:p>
        </w:tc>
        <w:tc>
          <w:tcPr>
            <w:tcW w:w="1660" w:type="dxa"/>
            <w:vAlign w:val="bottom"/>
          </w:tcPr>
          <w:p>
            <w:pPr>
              <w:jc w:val="center"/>
              <w:ind w:left="358"/>
              <w:spacing w:after="0"/>
              <w:rPr>
                <w:sz w:val="20"/>
                <w:szCs w:val="20"/>
                <w:color w:val="auto"/>
              </w:rPr>
            </w:pPr>
            <w:r>
              <w:rPr>
                <w:rFonts w:ascii="Arial" w:cs="Arial" w:eastAsia="Arial" w:hAnsi="Arial"/>
                <w:sz w:val="14"/>
                <w:szCs w:val="14"/>
                <w:color w:val="auto"/>
                <w:w w:val="97"/>
              </w:rPr>
              <w:t>SHEN</w:t>
            </w:r>
          </w:p>
        </w:tc>
        <w:tc>
          <w:tcPr>
            <w:tcW w:w="2780" w:type="dxa"/>
            <w:vAlign w:val="bottom"/>
            <w:gridSpan w:val="2"/>
          </w:tcPr>
          <w:p>
            <w:pPr>
              <w:jc w:val="center"/>
              <w:ind w:left="259"/>
              <w:spacing w:after="0"/>
              <w:rPr>
                <w:sz w:val="20"/>
                <w:szCs w:val="20"/>
                <w:color w:val="auto"/>
              </w:rPr>
            </w:pPr>
            <w:r>
              <w:rPr>
                <w:rFonts w:ascii="Arial" w:cs="Arial" w:eastAsia="Arial" w:hAnsi="Arial"/>
                <w:sz w:val="14"/>
                <w:szCs w:val="14"/>
                <w:color w:val="auto"/>
                <w:w w:val="97"/>
              </w:rPr>
              <w:t>NASDAQ Global Select Market</w:t>
            </w:r>
          </w:p>
        </w:tc>
        <w:tc>
          <w:tcPr>
            <w:tcW w:w="4460" w:type="dxa"/>
            <w:vAlign w:val="bottom"/>
          </w:tcPr>
          <w:p>
            <w:pPr>
              <w:jc w:val="center"/>
              <w:ind w:left="298"/>
              <w:spacing w:after="0"/>
              <w:rPr>
                <w:sz w:val="20"/>
                <w:szCs w:val="20"/>
                <w:color w:val="auto"/>
              </w:rPr>
            </w:pPr>
            <w:r>
              <w:rPr>
                <w:rFonts w:ascii="Arial" w:cs="Arial" w:eastAsia="Arial" w:hAnsi="Arial"/>
                <w:sz w:val="14"/>
                <w:szCs w:val="14"/>
                <w:color w:val="auto"/>
                <w:w w:val="91"/>
              </w:rPr>
              <w:t>50,263,953</w:t>
            </w:r>
          </w:p>
        </w:tc>
        <w:tc>
          <w:tcPr>
            <w:tcW w:w="0" w:type="dxa"/>
            <w:vAlign w:val="bottom"/>
          </w:tcPr>
          <w:p>
            <w:pPr>
              <w:spacing w:after="0"/>
              <w:rPr>
                <w:sz w:val="1"/>
                <w:szCs w:val="1"/>
                <w:color w:val="auto"/>
              </w:rPr>
            </w:pPr>
          </w:p>
        </w:tc>
      </w:tr>
      <w:tr>
        <w:trPr>
          <w:trHeight w:val="160"/>
        </w:trPr>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5"/>
              </w:rPr>
              <w:t>(Title of Class)</w:t>
            </w:r>
          </w:p>
        </w:tc>
        <w:tc>
          <w:tcPr>
            <w:tcW w:w="1660" w:type="dxa"/>
            <w:vAlign w:val="bottom"/>
            <w:vMerge w:val="restart"/>
          </w:tcPr>
          <w:p>
            <w:pPr>
              <w:jc w:val="center"/>
              <w:ind w:left="358"/>
              <w:spacing w:after="0"/>
              <w:rPr>
                <w:sz w:val="20"/>
                <w:szCs w:val="20"/>
                <w:color w:val="auto"/>
              </w:rPr>
            </w:pPr>
            <w:r>
              <w:rPr>
                <w:rFonts w:ascii="Arial" w:cs="Arial" w:eastAsia="Arial" w:hAnsi="Arial"/>
                <w:sz w:val="14"/>
                <w:szCs w:val="14"/>
                <w:color w:val="auto"/>
                <w:w w:val="94"/>
              </w:rPr>
              <w:t>(Trading Symbol)</w:t>
            </w:r>
          </w:p>
        </w:tc>
        <w:tc>
          <w:tcPr>
            <w:tcW w:w="2780" w:type="dxa"/>
            <w:vAlign w:val="bottom"/>
            <w:gridSpan w:val="2"/>
            <w:vMerge w:val="restart"/>
          </w:tcPr>
          <w:p>
            <w:pPr>
              <w:jc w:val="center"/>
              <w:ind w:left="259"/>
              <w:spacing w:after="0"/>
              <w:rPr>
                <w:sz w:val="20"/>
                <w:szCs w:val="20"/>
                <w:color w:val="auto"/>
              </w:rPr>
            </w:pPr>
            <w:r>
              <w:rPr>
                <w:rFonts w:ascii="Arial" w:cs="Arial" w:eastAsia="Arial" w:hAnsi="Arial"/>
                <w:sz w:val="14"/>
                <w:szCs w:val="14"/>
                <w:color w:val="auto"/>
                <w:w w:val="92"/>
              </w:rPr>
              <w:t>(Name of Exchange on which Registered)</w:t>
            </w:r>
          </w:p>
        </w:tc>
        <w:tc>
          <w:tcPr>
            <w:tcW w:w="4460" w:type="dxa"/>
            <w:vAlign w:val="bottom"/>
          </w:tcPr>
          <w:p>
            <w:pPr>
              <w:jc w:val="center"/>
              <w:ind w:left="278"/>
              <w:spacing w:after="0"/>
              <w:rPr>
                <w:sz w:val="20"/>
                <w:szCs w:val="20"/>
                <w:color w:val="auto"/>
              </w:rPr>
            </w:pPr>
            <w:r>
              <w:rPr>
                <w:rFonts w:ascii="Arial" w:cs="Arial" w:eastAsia="Arial" w:hAnsi="Arial"/>
                <w:sz w:val="14"/>
                <w:szCs w:val="14"/>
                <w:color w:val="auto"/>
                <w:w w:val="92"/>
              </w:rPr>
              <w:t>(The number of shares of the registrant's common stock outstanding on</w:t>
            </w:r>
          </w:p>
        </w:tc>
        <w:tc>
          <w:tcPr>
            <w:tcW w:w="0" w:type="dxa"/>
            <w:vAlign w:val="bottom"/>
          </w:tcPr>
          <w:p>
            <w:pPr>
              <w:spacing w:after="0"/>
              <w:rPr>
                <w:sz w:val="1"/>
                <w:szCs w:val="1"/>
                <w:color w:val="auto"/>
              </w:rPr>
            </w:pPr>
          </w:p>
        </w:tc>
      </w:tr>
      <w:tr>
        <w:trPr>
          <w:trHeight w:val="110"/>
        </w:trPr>
        <w:tc>
          <w:tcPr>
            <w:tcW w:w="18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278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Arial" w:cs="Arial" w:eastAsia="Arial" w:hAnsi="Arial"/>
                <w:sz w:val="14"/>
                <w:szCs w:val="14"/>
                <w:color w:val="auto"/>
                <w:w w:val="93"/>
              </w:rPr>
              <w:t>July 26, 2023)</w:t>
            </w:r>
          </w:p>
        </w:tc>
        <w:tc>
          <w:tcPr>
            <w:tcW w:w="0" w:type="dxa"/>
            <w:vAlign w:val="bottom"/>
          </w:tcPr>
          <w:p>
            <w:pPr>
              <w:spacing w:after="0"/>
              <w:rPr>
                <w:sz w:val="1"/>
                <w:szCs w:val="1"/>
                <w:color w:val="auto"/>
              </w:rPr>
            </w:pPr>
          </w:p>
        </w:tc>
      </w:tr>
      <w:tr>
        <w:trPr>
          <w:trHeight w:val="73"/>
        </w:trPr>
        <w:tc>
          <w:tcPr>
            <w:tcW w:w="18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p>
      <w:pPr>
        <w:ind w:left="20"/>
        <w:spacing w:after="0" w:line="181" w:lineRule="exact"/>
        <w:tabs>
          <w:tab w:leader="none" w:pos="1640" w:val="left"/>
          <w:tab w:leader="none" w:pos="2040" w:val="left"/>
          <w:tab w:leader="none" w:pos="3320" w:val="left"/>
          <w:tab w:leader="none" w:pos="3720" w:val="left"/>
          <w:tab w:leader="none" w:pos="5280" w:val="left"/>
          <w:tab w:leader="none" w:pos="5700" w:val="left"/>
          <w:tab w:leader="none" w:pos="7660" w:val="left"/>
          <w:tab w:leader="none" w:pos="8060" w:val="left"/>
          <w:tab w:leader="none" w:pos="100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7"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0"/>
        </w:trPr>
        <w:tc>
          <w:tcPr>
            <w:tcW w:w="82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8060" w:type="dxa"/>
            <w:vAlign w:val="bottom"/>
            <w:vMerge w:val="restart"/>
          </w:tcPr>
          <w:p>
            <w:pPr>
              <w:ind w:left="160"/>
              <w:spacing w:after="0"/>
              <w:rPr>
                <w:sz w:val="20"/>
                <w:szCs w:val="20"/>
                <w:color w:val="auto"/>
              </w:rPr>
            </w:pPr>
            <w:r>
              <w:rPr>
                <w:rFonts w:ascii="Arial" w:cs="Arial" w:eastAsia="Arial" w:hAnsi="Arial"/>
                <w:sz w:val="18"/>
                <w:szCs w:val="18"/>
                <w:color w:val="auto"/>
              </w:rPr>
              <w:t>FINANCIAL INFORMATION</w:t>
            </w: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90"/>
              </w:rPr>
              <w:t>Numbers</w:t>
            </w:r>
          </w:p>
        </w:tc>
        <w:tc>
          <w:tcPr>
            <w:tcW w:w="0" w:type="dxa"/>
            <w:vAlign w:val="bottom"/>
          </w:tcPr>
          <w:p>
            <w:pPr>
              <w:spacing w:after="0"/>
              <w:rPr>
                <w:sz w:val="1"/>
                <w:szCs w:val="1"/>
                <w:color w:val="auto"/>
              </w:rPr>
            </w:pPr>
          </w:p>
        </w:tc>
      </w:tr>
      <w:tr>
        <w:trPr>
          <w:trHeight w:val="229"/>
        </w:trPr>
        <w:tc>
          <w:tcPr>
            <w:tcW w:w="820" w:type="dxa"/>
            <w:vAlign w:val="bottom"/>
            <w:vMerge w:val="continue"/>
          </w:tcPr>
          <w:p>
            <w:pPr>
              <w:spacing w:after="0"/>
              <w:rPr>
                <w:sz w:val="19"/>
                <w:szCs w:val="19"/>
                <w:color w:val="auto"/>
              </w:rPr>
            </w:pPr>
          </w:p>
        </w:tc>
        <w:tc>
          <w:tcPr>
            <w:tcW w:w="806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806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Unaudited Condensed Consolidated Balance Sheets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20" w:type="dxa"/>
            <w:vAlign w:val="bottom"/>
          </w:tcPr>
          <w:p>
            <w:pPr>
              <w:spacing w:after="0"/>
              <w:rPr>
                <w:sz w:val="24"/>
                <w:szCs w:val="24"/>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Comprehensive Income (Loss)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20" w:type="dxa"/>
            <w:vAlign w:val="bottom"/>
          </w:tcPr>
          <w:p>
            <w:pPr>
              <w:spacing w:after="0"/>
              <w:rPr>
                <w:sz w:val="24"/>
                <w:szCs w:val="24"/>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Shareholders’ Equity</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20" w:type="dxa"/>
            <w:vAlign w:val="bottom"/>
          </w:tcPr>
          <w:p>
            <w:pPr>
              <w:spacing w:after="0"/>
              <w:rPr>
                <w:sz w:val="24"/>
                <w:szCs w:val="24"/>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Cash Flows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20" w:type="dxa"/>
            <w:vAlign w:val="bottom"/>
          </w:tcPr>
          <w:p>
            <w:pPr>
              <w:spacing w:after="0"/>
              <w:rPr>
                <w:sz w:val="24"/>
                <w:szCs w:val="24"/>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Notes to Unaudited Condensed Consolidated Financial Statements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806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19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806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28</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806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1880" w:type="dxa"/>
            <w:vAlign w:val="bottom"/>
            <w:gridSpan w:val="4"/>
          </w:tcPr>
          <w:p>
            <w:pPr>
              <w:jc w:val="center"/>
              <w:ind w:left="1610"/>
              <w:spacing w:after="0"/>
              <w:rPr>
                <w:sz w:val="20"/>
                <w:szCs w:val="20"/>
                <w:color w:val="auto"/>
              </w:rPr>
            </w:pPr>
            <w:r>
              <w:rPr>
                <w:rFonts w:ascii="Arial" w:cs="Arial" w:eastAsia="Arial" w:hAnsi="Arial"/>
                <w:sz w:val="18"/>
                <w:szCs w:val="18"/>
                <w:color w:val="0000FF"/>
                <w:w w:val="89"/>
              </w:rPr>
              <w:t>28</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20" w:type="dxa"/>
            <w:vAlign w:val="bottom"/>
          </w:tcPr>
          <w:p>
            <w:pPr>
              <w:spacing w:after="0"/>
              <w:rPr>
                <w:sz w:val="20"/>
                <w:szCs w:val="20"/>
                <w:color w:val="auto"/>
              </w:rPr>
            </w:pPr>
            <w:r>
              <w:rPr>
                <w:rFonts w:ascii="Arial" w:cs="Arial" w:eastAsia="Arial" w:hAnsi="Arial"/>
                <w:sz w:val="18"/>
                <w:szCs w:val="18"/>
                <w:color w:val="auto"/>
              </w:rPr>
              <w:t>PART II.</w:t>
            </w:r>
          </w:p>
        </w:tc>
        <w:tc>
          <w:tcPr>
            <w:tcW w:w="806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8060" w:type="dxa"/>
            <w:vAlign w:val="bottom"/>
          </w:tcPr>
          <w:p>
            <w:pPr>
              <w:ind w:left="160"/>
              <w:spacing w:after="0"/>
              <w:rPr>
                <w:sz w:val="20"/>
                <w:szCs w:val="20"/>
                <w:color w:val="auto"/>
              </w:rPr>
            </w:pPr>
            <w:r>
              <w:rPr>
                <w:rFonts w:ascii="Arial" w:cs="Arial" w:eastAsia="Arial" w:hAnsi="Arial"/>
                <w:sz w:val="18"/>
                <w:szCs w:val="18"/>
                <w:color w:val="auto"/>
              </w:rPr>
              <w:t>Legal Proceedings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806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8060" w:type="dxa"/>
            <w:vAlign w:val="bottom"/>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tcPr>
          <w:p>
            <w:pPr>
              <w:ind w:left="160"/>
              <w:spacing w:after="0"/>
              <w:rPr>
                <w:sz w:val="20"/>
                <w:szCs w:val="20"/>
                <w:color w:val="auto"/>
              </w:rPr>
            </w:pPr>
            <w:r>
              <w:rPr>
                <w:rFonts w:ascii="Arial" w:cs="Arial" w:eastAsia="Arial" w:hAnsi="Arial"/>
                <w:sz w:val="18"/>
                <w:szCs w:val="18"/>
                <w:color w:val="auto"/>
              </w:rPr>
              <w:t>Exhibits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20" w:type="dxa"/>
            <w:vAlign w:val="bottom"/>
          </w:tcPr>
          <w:p>
            <w:pPr>
              <w:spacing w:after="0"/>
              <w:rPr>
                <w:sz w:val="24"/>
                <w:szCs w:val="24"/>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232"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98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UNAUDITED CONDENSED CONSOLIDATED BALANCE SHEETS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7"/>
                <w:szCs w:val="17"/>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800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26,304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44,061</w:t>
            </w:r>
          </w:p>
        </w:tc>
        <w:tc>
          <w:tcPr>
            <w:tcW w:w="0" w:type="dxa"/>
            <w:vAlign w:val="bottom"/>
          </w:tcPr>
          <w:p>
            <w:pPr>
              <w:spacing w:after="0"/>
              <w:rPr>
                <w:sz w:val="1"/>
                <w:szCs w:val="1"/>
                <w:color w:val="auto"/>
              </w:rPr>
            </w:pPr>
          </w:p>
        </w:tc>
      </w:tr>
      <w:tr>
        <w:trPr>
          <w:trHeight w:val="242"/>
        </w:trPr>
        <w:tc>
          <w:tcPr>
            <w:tcW w:w="8000" w:type="dxa"/>
            <w:vAlign w:val="bottom"/>
          </w:tcPr>
          <w:p>
            <w:pPr>
              <w:ind w:left="120"/>
              <w:spacing w:after="0"/>
              <w:rPr>
                <w:sz w:val="20"/>
                <w:szCs w:val="20"/>
                <w:color w:val="auto"/>
              </w:rPr>
            </w:pPr>
            <w:r>
              <w:rPr>
                <w:rFonts w:ascii="Arial" w:cs="Arial" w:eastAsia="Arial" w:hAnsi="Arial"/>
                <w:sz w:val="18"/>
                <w:szCs w:val="18"/>
                <w:color w:val="auto"/>
              </w:rPr>
              <w:t>Accounts receivable, net of allowance for doubtful accounts of $726 and $776, respectively</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15,344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20,615</w:t>
            </w: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4,647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12,874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Current assets held for sale</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19,742</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22,622</w:t>
            </w:r>
          </w:p>
        </w:tc>
        <w:tc>
          <w:tcPr>
            <w:tcW w:w="0" w:type="dxa"/>
            <w:vAlign w:val="bottom"/>
          </w:tcPr>
          <w:p>
            <w:pPr>
              <w:spacing w:after="0"/>
              <w:rPr>
                <w:sz w:val="1"/>
                <w:szCs w:val="1"/>
                <w:color w:val="auto"/>
              </w:rPr>
            </w:pPr>
          </w:p>
        </w:tc>
      </w:tr>
      <w:tr>
        <w:trPr>
          <w:trHeight w:val="222"/>
        </w:trPr>
        <w:tc>
          <w:tcPr>
            <w:tcW w:w="80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78,911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128,562</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42"/>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786,446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687,553</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Goodwill and intangible assets, net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81,270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81,515</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52,258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53,859</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Deferred charges and other assets</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15,557</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1,027,458</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977,719</w:t>
            </w:r>
          </w:p>
        </w:tc>
        <w:tc>
          <w:tcPr>
            <w:tcW w:w="0" w:type="dxa"/>
            <w:vAlign w:val="bottom"/>
          </w:tcPr>
          <w:p>
            <w:pPr>
              <w:spacing w:after="0"/>
              <w:rPr>
                <w:sz w:val="1"/>
                <w:szCs w:val="1"/>
                <w:color w:val="auto"/>
              </w:rPr>
            </w:pPr>
          </w:p>
        </w:tc>
      </w:tr>
      <w:tr>
        <w:trPr>
          <w:trHeight w:val="21"/>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Current maturities of long-term debt, net of unamortized loan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41,238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49,173</w:t>
            </w:r>
          </w:p>
        </w:tc>
        <w:tc>
          <w:tcPr>
            <w:tcW w:w="0" w:type="dxa"/>
            <w:vAlign w:val="bottom"/>
          </w:tcPr>
          <w:p>
            <w:pPr>
              <w:spacing w:after="0"/>
              <w:rPr>
                <w:sz w:val="1"/>
                <w:szCs w:val="1"/>
                <w:color w:val="auto"/>
              </w:rPr>
            </w:pPr>
          </w:p>
        </w:tc>
      </w:tr>
      <w:tr>
        <w:trPr>
          <w:trHeight w:val="242"/>
        </w:trPr>
        <w:tc>
          <w:tcPr>
            <w:tcW w:w="8000" w:type="dxa"/>
            <w:vAlign w:val="bottom"/>
          </w:tcPr>
          <w:p>
            <w:pPr>
              <w:ind w:left="120"/>
              <w:spacing w:after="0"/>
              <w:rPr>
                <w:sz w:val="20"/>
                <w:szCs w:val="20"/>
                <w:color w:val="auto"/>
              </w:rPr>
            </w:pPr>
            <w:r>
              <w:rPr>
                <w:rFonts w:ascii="Arial" w:cs="Arial" w:eastAsia="Arial" w:hAnsi="Arial"/>
                <w:sz w:val="18"/>
                <w:szCs w:val="18"/>
                <w:color w:val="auto"/>
              </w:rPr>
              <w:t>Advanced billings and customer deposits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12,359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12,425</w:t>
            </w: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3,076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42"/>
        </w:trPr>
        <w:tc>
          <w:tcPr>
            <w:tcW w:w="8000" w:type="dxa"/>
            <w:vAlign w:val="bottom"/>
          </w:tcPr>
          <w:p>
            <w:pPr>
              <w:ind w:left="120"/>
              <w:spacing w:after="0"/>
              <w:rPr>
                <w:sz w:val="20"/>
                <w:szCs w:val="20"/>
                <w:color w:val="auto"/>
              </w:rPr>
            </w:pPr>
            <w:r>
              <w:rPr>
                <w:rFonts w:ascii="Arial" w:cs="Arial" w:eastAsia="Arial" w:hAnsi="Arial"/>
                <w:sz w:val="18"/>
                <w:szCs w:val="18"/>
                <w:color w:val="auto"/>
              </w:rPr>
              <w:t>Accrued liabilities and other</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12,766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17,906</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Current liabilities held for sale</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36"/>
        </w:trPr>
        <w:tc>
          <w:tcPr>
            <w:tcW w:w="80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81,831</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96,421</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123,795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74,306</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87,830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84,600</w:t>
            </w:r>
          </w:p>
        </w:tc>
        <w:tc>
          <w:tcPr>
            <w:tcW w:w="0" w:type="dxa"/>
            <w:vAlign w:val="bottom"/>
          </w:tcPr>
          <w:p>
            <w:pPr>
              <w:spacing w:after="0"/>
              <w:rPr>
                <w:sz w:val="1"/>
                <w:szCs w:val="1"/>
                <w:color w:val="auto"/>
              </w:rPr>
            </w:pPr>
          </w:p>
        </w:tc>
      </w:tr>
      <w:tr>
        <w:trPr>
          <w:trHeight w:val="242"/>
        </w:trPr>
        <w:tc>
          <w:tcPr>
            <w:tcW w:w="8000" w:type="dxa"/>
            <w:vAlign w:val="bottom"/>
          </w:tcPr>
          <w:p>
            <w:pPr>
              <w:ind w:left="120"/>
              <w:spacing w:after="0"/>
              <w:rPr>
                <w:sz w:val="20"/>
                <w:szCs w:val="20"/>
                <w:color w:val="auto"/>
              </w:rPr>
            </w:pPr>
            <w:r>
              <w:rPr>
                <w:rFonts w:ascii="Arial" w:cs="Arial" w:eastAsia="Arial" w:hAnsi="Arial"/>
                <w:sz w:val="18"/>
                <w:szCs w:val="18"/>
                <w:color w:val="auto"/>
              </w:rPr>
              <w:t>Asset retirement obligations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10,187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Benefit plan obligations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49,872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50,477</w:t>
            </w:r>
          </w:p>
        </w:tc>
        <w:tc>
          <w:tcPr>
            <w:tcW w:w="0" w:type="dxa"/>
            <w:vAlign w:val="bottom"/>
          </w:tcPr>
          <w:p>
            <w:pPr>
              <w:spacing w:after="0"/>
              <w:rPr>
                <w:sz w:val="1"/>
                <w:szCs w:val="1"/>
                <w:color w:val="auto"/>
              </w:rPr>
            </w:pP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20,483</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20,218</w:t>
            </w:r>
          </w:p>
        </w:tc>
        <w:tc>
          <w:tcPr>
            <w:tcW w:w="0" w:type="dxa"/>
            <w:vAlign w:val="bottom"/>
          </w:tcPr>
          <w:p>
            <w:pPr>
              <w:spacing w:after="0"/>
              <w:rPr>
                <w:sz w:val="1"/>
                <w:szCs w:val="1"/>
                <w:color w:val="auto"/>
              </w:rPr>
            </w:pPr>
          </w:p>
        </w:tc>
      </w:tr>
      <w:tr>
        <w:trPr>
          <w:trHeight w:val="223"/>
        </w:trPr>
        <w:tc>
          <w:tcPr>
            <w:tcW w:w="8000" w:type="dxa"/>
            <w:vAlign w:val="bottom"/>
          </w:tcPr>
          <w:p>
            <w:pPr>
              <w:ind w:left="200"/>
              <w:spacing w:after="0"/>
              <w:rPr>
                <w:sz w:val="20"/>
                <w:szCs w:val="20"/>
                <w:color w:val="auto"/>
              </w:rPr>
            </w:pPr>
            <w:r>
              <w:rPr>
                <w:rFonts w:ascii="Arial" w:cs="Arial" w:eastAsia="Arial" w:hAnsi="Arial"/>
                <w:sz w:val="18"/>
                <w:szCs w:val="18"/>
                <w:color w:val="auto"/>
              </w:rPr>
              <w:t>Total other long-term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172,407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168,985</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w w:val="91"/>
              </w:rPr>
              <w:t>Common stock, no par value, authorized 96,000; 50,264 and 50,110 issued and outstanding at June 30, 2023</w:t>
            </w:r>
          </w:p>
        </w:tc>
        <w:tc>
          <w:tcPr>
            <w:tcW w:w="3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and December 31, 2022, respectively</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00" w:type="dxa"/>
            <w:vAlign w:val="bottom"/>
          </w:tcPr>
          <w:p>
            <w:pPr>
              <w:ind w:left="120"/>
              <w:spacing w:after="0"/>
              <w:rPr>
                <w:sz w:val="20"/>
                <w:szCs w:val="20"/>
                <w:color w:val="auto"/>
              </w:rPr>
            </w:pPr>
            <w:r>
              <w:rPr>
                <w:rFonts w:ascii="Arial" w:cs="Arial" w:eastAsia="Arial" w:hAnsi="Arial"/>
                <w:sz w:val="18"/>
                <w:szCs w:val="18"/>
                <w:color w:val="auto"/>
              </w:rPr>
              <w:t>Additional paid in capital</w:t>
            </w: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62,888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57,453</w:t>
            </w:r>
          </w:p>
        </w:tc>
        <w:tc>
          <w:tcPr>
            <w:tcW w:w="0" w:type="dxa"/>
            <w:vAlign w:val="bottom"/>
          </w:tcPr>
          <w:p>
            <w:pPr>
              <w:spacing w:after="0"/>
              <w:rPr>
                <w:sz w:val="1"/>
                <w:szCs w:val="1"/>
                <w:color w:val="auto"/>
              </w:rPr>
            </w:pPr>
          </w:p>
        </w:tc>
      </w:tr>
      <w:tr>
        <w:trPr>
          <w:trHeight w:val="242"/>
        </w:trPr>
        <w:tc>
          <w:tcPr>
            <w:tcW w:w="800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584,410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580,554</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Accumulated other comprehensive income, net of taxes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649,425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638,007</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1,027,458</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977,719</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840" w:type="dxa"/>
            <w:vAlign w:val="bottom"/>
            <w:gridSpan w:val="2"/>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6"/>
          </w:tcPr>
          <w:p>
            <w:pPr>
              <w:spacing w:after="0"/>
              <w:rPr>
                <w:sz w:val="20"/>
                <w:szCs w:val="20"/>
                <w:color w:val="auto"/>
              </w:rPr>
            </w:pPr>
            <w:r>
              <w:rPr>
                <w:rFonts w:ascii="Arial" w:cs="Arial" w:eastAsia="Arial" w:hAnsi="Arial"/>
                <w:sz w:val="16"/>
                <w:szCs w:val="16"/>
                <w:b w:val="1"/>
                <w:bCs w:val="1"/>
                <w:color w:val="auto"/>
              </w:rPr>
              <w:t>UNAUDITED CONDENSED CONSOLIDATED STATEMENTS OF COMPREHENSIVE INCOME (LOSS)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right"/>
              <w:ind w:right="559"/>
              <w:spacing w:after="0" w:line="168" w:lineRule="exact"/>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4"/>
          </w:tcPr>
          <w:p>
            <w:pPr>
              <w:jc w:val="right"/>
              <w:ind w:right="659"/>
              <w:spacing w:after="0" w:line="168" w:lineRule="exact"/>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6"/>
                <w:szCs w:val="16"/>
                <w:i w:val="1"/>
                <w:iCs w:val="1"/>
                <w:color w:val="auto"/>
              </w:rPr>
              <w:t>(in thousands, except per share amounts)</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6"/>
                <w:szCs w:val="16"/>
                <w:color w:val="auto"/>
              </w:rPr>
              <w:t>Service revenue and other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71,341</w:t>
            </w: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66,021</w:t>
            </w:r>
          </w:p>
        </w:tc>
        <w:tc>
          <w:tcPr>
            <w:tcW w:w="44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143,027</w:t>
            </w: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130,435</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Cost of services exclusive of 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26,076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52,643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53,095</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25,691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23,090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52,300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46,925</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Impairment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4,068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4,407</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16,369</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14,790</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31,967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29,135</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68,972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69,158</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137,930</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133,952</w:t>
            </w:r>
          </w:p>
        </w:tc>
        <w:tc>
          <w:tcPr>
            <w:tcW w:w="0" w:type="dxa"/>
            <w:vAlign w:val="bottom"/>
          </w:tcPr>
          <w:p>
            <w:pPr>
              <w:spacing w:after="0"/>
              <w:rPr>
                <w:sz w:val="1"/>
                <w:szCs w:val="1"/>
                <w:color w:val="auto"/>
              </w:rPr>
            </w:pPr>
          </w:p>
        </w:tc>
      </w:tr>
      <w:tr>
        <w:trPr>
          <w:trHeight w:val="209"/>
        </w:trPr>
        <w:tc>
          <w:tcPr>
            <w:tcW w:w="5540" w:type="dxa"/>
            <w:vAlign w:val="bottom"/>
          </w:tcPr>
          <w:p>
            <w:pPr>
              <w:ind w:left="20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(3,137)</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(3,517)</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09"/>
        </w:trPr>
        <w:tc>
          <w:tcPr>
            <w:tcW w:w="5540" w:type="dxa"/>
            <w:vAlign w:val="bottom"/>
          </w:tcPr>
          <w:p>
            <w:pPr>
              <w:ind w:left="200"/>
              <w:spacing w:after="0"/>
              <w:rPr>
                <w:sz w:val="20"/>
                <w:szCs w:val="20"/>
                <w:color w:val="auto"/>
              </w:rPr>
            </w:pPr>
            <w:r>
              <w:rPr>
                <w:rFonts w:ascii="Arial" w:cs="Arial" w:eastAsia="Arial" w:hAnsi="Arial"/>
                <w:sz w:val="16"/>
                <w:szCs w:val="16"/>
                <w:color w:val="auto"/>
              </w:rPr>
              <w:t>Income (loss) before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(3,726)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6,391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(4,276)</w:t>
            </w: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0"/>
        </w:trPr>
        <w:tc>
          <w:tcPr>
            <w:tcW w:w="5540" w:type="dxa"/>
            <w:vAlign w:val="bottom"/>
          </w:tcPr>
          <w:p>
            <w:pPr>
              <w:ind w:left="4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1,790</w:t>
            </w: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(3,225)</w:t>
            </w:r>
          </w:p>
        </w:tc>
        <w:tc>
          <w:tcPr>
            <w:tcW w:w="44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3,856</w:t>
            </w: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(3,828)</w:t>
            </w:r>
          </w:p>
        </w:tc>
        <w:tc>
          <w:tcPr>
            <w:tcW w:w="0" w:type="dxa"/>
            <w:vAlign w:val="bottom"/>
          </w:tcPr>
          <w:p>
            <w:pPr>
              <w:spacing w:after="0"/>
              <w:rPr>
                <w:sz w:val="1"/>
                <w:szCs w:val="1"/>
                <w:color w:val="auto"/>
              </w:rPr>
            </w:pPr>
          </w:p>
        </w:tc>
      </w:tr>
      <w:tr>
        <w:trPr>
          <w:trHeight w:val="26"/>
        </w:trPr>
        <w:tc>
          <w:tcPr>
            <w:tcW w:w="5540" w:type="dxa"/>
            <w:vAlign w:val="bottom"/>
            <w:vMerge w:val="restart"/>
          </w:tcPr>
          <w:p>
            <w:pPr>
              <w:spacing w:after="0"/>
              <w:rPr>
                <w:sz w:val="20"/>
                <w:szCs w:val="20"/>
                <w:color w:val="auto"/>
              </w:rPr>
            </w:pPr>
            <w:r>
              <w:rPr>
                <w:rFonts w:ascii="Arial" w:cs="Arial" w:eastAsia="Arial" w:hAnsi="Arial"/>
                <w:sz w:val="16"/>
                <w:szCs w:val="16"/>
                <w:color w:val="auto"/>
              </w:rPr>
              <w:t>Other comprehensive income:</w:t>
            </w:r>
          </w:p>
        </w:tc>
        <w:tc>
          <w:tcPr>
            <w:tcW w:w="3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Unrealized income on interest rate hedge, net of tax</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20"/>
              <w:spacing w:after="0"/>
              <w:rPr>
                <w:sz w:val="20"/>
                <w:szCs w:val="20"/>
                <w:color w:val="auto"/>
              </w:rPr>
            </w:pPr>
            <w:r>
              <w:rPr>
                <w:rFonts w:ascii="Arial" w:cs="Arial" w:eastAsia="Arial" w:hAnsi="Arial"/>
                <w:sz w:val="16"/>
                <w:szCs w:val="16"/>
                <w:color w:val="auto"/>
              </w:rPr>
              <w:t>Comprehensive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3,917</w:t>
            </w: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(3,225)</w:t>
            </w:r>
          </w:p>
        </w:tc>
        <w:tc>
          <w:tcPr>
            <w:tcW w:w="44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5,983</w:t>
            </w: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(3,828)</w:t>
            </w:r>
          </w:p>
        </w:tc>
        <w:tc>
          <w:tcPr>
            <w:tcW w:w="0" w:type="dxa"/>
            <w:vAlign w:val="bottom"/>
          </w:tcPr>
          <w:p>
            <w:pPr>
              <w:spacing w:after="0"/>
              <w:rPr>
                <w:sz w:val="1"/>
                <w:szCs w:val="1"/>
                <w:color w:val="auto"/>
              </w:rPr>
            </w:pPr>
          </w:p>
        </w:tc>
      </w:tr>
      <w:tr>
        <w:trPr>
          <w:trHeight w:val="26"/>
        </w:trPr>
        <w:tc>
          <w:tcPr>
            <w:tcW w:w="5540" w:type="dxa"/>
            <w:vAlign w:val="bottom"/>
            <w:vMerge w:val="restart"/>
          </w:tcPr>
          <w:p>
            <w:pPr>
              <w:spacing w:after="0"/>
              <w:rPr>
                <w:sz w:val="20"/>
                <w:szCs w:val="20"/>
                <w:color w:val="auto"/>
              </w:rPr>
            </w:pPr>
            <w:r>
              <w:rPr>
                <w:rFonts w:ascii="Arial" w:cs="Arial" w:eastAsia="Arial" w:hAnsi="Arial"/>
                <w:sz w:val="16"/>
                <w:szCs w:val="16"/>
                <w:color w:val="auto"/>
              </w:rPr>
              <w:t>Net income (loss) per share, basic and diluted:</w:t>
            </w:r>
          </w:p>
        </w:tc>
        <w:tc>
          <w:tcPr>
            <w:tcW w:w="3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5540" w:type="dxa"/>
            <w:vAlign w:val="bottom"/>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120"/>
              <w:spacing w:after="0"/>
              <w:rPr>
                <w:sz w:val="20"/>
                <w:szCs w:val="20"/>
                <w:color w:val="auto"/>
              </w:rPr>
            </w:pPr>
            <w:r>
              <w:rPr>
                <w:rFonts w:ascii="Arial" w:cs="Arial" w:eastAsia="Arial" w:hAnsi="Arial"/>
                <w:sz w:val="16"/>
                <w:szCs w:val="16"/>
                <w:color w:val="auto"/>
              </w:rPr>
              <w:t>Basic net income (loss)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120"/>
              <w:spacing w:after="0"/>
              <w:rPr>
                <w:sz w:val="20"/>
                <w:szCs w:val="20"/>
                <w:color w:val="auto"/>
              </w:rPr>
            </w:pPr>
            <w:r>
              <w:rPr>
                <w:rFonts w:ascii="Arial" w:cs="Arial" w:eastAsia="Arial" w:hAnsi="Arial"/>
                <w:sz w:val="16"/>
                <w:szCs w:val="16"/>
                <w:color w:val="auto"/>
              </w:rPr>
              <w:t>Diluted net income (loss) per share</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4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0.04</w:t>
            </w: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(0.06)</w:t>
            </w:r>
          </w:p>
        </w:tc>
        <w:tc>
          <w:tcPr>
            <w:tcW w:w="44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0.08</w:t>
            </w: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tcPr>
          <w:p>
            <w:pPr>
              <w:ind w:left="120"/>
              <w:spacing w:after="0"/>
              <w:rPr>
                <w:sz w:val="20"/>
                <w:szCs w:val="20"/>
                <w:color w:val="auto"/>
              </w:rPr>
            </w:pPr>
            <w:r>
              <w:rPr>
                <w:rFonts w:ascii="Arial" w:cs="Arial" w:eastAsia="Arial" w:hAnsi="Arial"/>
                <w:sz w:val="16"/>
                <w:szCs w:val="16"/>
                <w:color w:val="auto"/>
              </w:rPr>
              <w:t>Weighted average shares outstanding, basic</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50,366</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50,157</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50,330</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50,133</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120"/>
              <w:spacing w:after="0"/>
              <w:rPr>
                <w:sz w:val="20"/>
                <w:szCs w:val="20"/>
                <w:color w:val="auto"/>
              </w:rPr>
            </w:pPr>
            <w:r>
              <w:rPr>
                <w:rFonts w:ascii="Arial" w:cs="Arial" w:eastAsia="Arial" w:hAnsi="Arial"/>
                <w:sz w:val="16"/>
                <w:szCs w:val="16"/>
                <w:color w:val="auto"/>
              </w:rPr>
              <w:t>Weighted average shares outstanding, diluted</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5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50,693</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50,157</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50,569</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50,133</w:t>
            </w: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left="20" w:right="3580"/>
        <w:spacing w:after="0" w:line="307"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Shares of Common</w:t>
            </w:r>
          </w:p>
        </w:tc>
        <w:tc>
          <w:tcPr>
            <w:tcW w:w="12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Stock (no par</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Retained Earnings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value)</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Arial" w:cs="Arial" w:eastAsia="Arial" w:hAnsi="Arial"/>
                <w:sz w:val="14"/>
                <w:szCs w:val="14"/>
                <w:b w:val="1"/>
                <w:bCs w:val="1"/>
                <w:color w:val="auto"/>
              </w:rPr>
              <w:t>Balance, March 31, 2023</w:t>
            </w:r>
          </w:p>
        </w:tc>
        <w:tc>
          <w:tcPr>
            <w:tcW w:w="1220" w:type="dxa"/>
            <w:vAlign w:val="bottom"/>
          </w:tcPr>
          <w:p>
            <w:pPr>
              <w:jc w:val="right"/>
              <w:spacing w:after="0"/>
              <w:rPr>
                <w:sz w:val="20"/>
                <w:szCs w:val="20"/>
                <w:color w:val="auto"/>
              </w:rPr>
            </w:pPr>
            <w:r>
              <w:rPr>
                <w:rFonts w:ascii="Arial" w:cs="Arial" w:eastAsia="Arial" w:hAnsi="Arial"/>
                <w:sz w:val="14"/>
                <w:szCs w:val="14"/>
                <w:color w:val="auto"/>
              </w:rPr>
              <w:t>50,247</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60,160</w:t>
            </w:r>
          </w:p>
        </w:tc>
        <w:tc>
          <w:tcPr>
            <w:tcW w:w="14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582,620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642,780</w:t>
            </w:r>
          </w:p>
        </w:tc>
        <w:tc>
          <w:tcPr>
            <w:tcW w:w="0" w:type="dxa"/>
            <w:vAlign w:val="bottom"/>
          </w:tcPr>
          <w:p>
            <w:pPr>
              <w:spacing w:after="0"/>
              <w:rPr>
                <w:sz w:val="1"/>
                <w:szCs w:val="1"/>
                <w:color w:val="auto"/>
              </w:rPr>
            </w:pPr>
          </w:p>
        </w:tc>
      </w:tr>
      <w:tr>
        <w:trPr>
          <w:trHeight w:val="197"/>
        </w:trPr>
        <w:tc>
          <w:tcPr>
            <w:tcW w:w="45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189"/>
        </w:trPr>
        <w:tc>
          <w:tcPr>
            <w:tcW w:w="45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2,878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2,878</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1"/>
        </w:trPr>
        <w:tc>
          <w:tcPr>
            <w:tcW w:w="4580" w:type="dxa"/>
            <w:vAlign w:val="bottom"/>
          </w:tcPr>
          <w:p>
            <w:pPr>
              <w:ind w:left="120"/>
              <w:spacing w:after="0"/>
              <w:rPr>
                <w:sz w:val="20"/>
                <w:szCs w:val="20"/>
                <w:color w:val="auto"/>
              </w:rPr>
            </w:pPr>
            <w:r>
              <w:rPr>
                <w:rFonts w:ascii="Arial" w:cs="Arial" w:eastAsia="Arial" w:hAnsi="Arial"/>
                <w:sz w:val="14"/>
                <w:szCs w:val="14"/>
                <w:color w:val="auto"/>
              </w:rPr>
              <w:t>Shares surrendered for settlement of employee taxes upon issuance of</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2"/>
        </w:trPr>
        <w:tc>
          <w:tcPr>
            <w:tcW w:w="4580" w:type="dxa"/>
            <w:vAlign w:val="bottom"/>
          </w:tcPr>
          <w:p>
            <w:pPr>
              <w:ind w:left="120"/>
              <w:spacing w:after="0"/>
              <w:rPr>
                <w:sz w:val="20"/>
                <w:szCs w:val="20"/>
                <w:color w:val="auto"/>
              </w:rPr>
            </w:pPr>
            <w:r>
              <w:rPr>
                <w:rFonts w:ascii="Arial" w:cs="Arial" w:eastAsia="Arial" w:hAnsi="Arial"/>
                <w:sz w:val="14"/>
                <w:szCs w:val="14"/>
                <w:color w:val="auto"/>
              </w:rPr>
              <w:t>vested equity awards</w:t>
            </w: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120"/>
              <w:spacing w:after="0"/>
              <w:rPr>
                <w:sz w:val="20"/>
                <w:szCs w:val="20"/>
                <w:color w:val="auto"/>
              </w:rPr>
            </w:pPr>
            <w:r>
              <w:rPr>
                <w:rFonts w:ascii="Arial" w:cs="Arial" w:eastAsia="Arial" w:hAnsi="Arial"/>
                <w:sz w:val="14"/>
                <w:szCs w:val="14"/>
                <w:color w:val="auto"/>
              </w:rPr>
              <w:t>Other comprehensive income, net of tax</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26"/>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Balance, June 30, 2023</w:t>
            </w:r>
          </w:p>
        </w:tc>
        <w:tc>
          <w:tcPr>
            <w:tcW w:w="12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580" w:type="dxa"/>
            <w:vAlign w:val="bottom"/>
            <w:vMerge w:val="continue"/>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50,264</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62,888</w:t>
            </w:r>
          </w:p>
        </w:tc>
        <w:tc>
          <w:tcPr>
            <w:tcW w:w="1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584,410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2,127</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649,425</w:t>
            </w:r>
          </w:p>
        </w:tc>
        <w:tc>
          <w:tcPr>
            <w:tcW w:w="0" w:type="dxa"/>
            <w:vAlign w:val="bottom"/>
          </w:tcPr>
          <w:p>
            <w:pPr>
              <w:spacing w:after="0"/>
              <w:rPr>
                <w:sz w:val="1"/>
                <w:szCs w:val="1"/>
                <w:color w:val="auto"/>
              </w:rPr>
            </w:pPr>
          </w:p>
        </w:tc>
      </w:tr>
      <w:tr>
        <w:trPr>
          <w:trHeight w:val="24"/>
        </w:trPr>
        <w:tc>
          <w:tcPr>
            <w:tcW w:w="45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Shares of Common</w:t>
            </w:r>
          </w:p>
        </w:tc>
        <w:tc>
          <w:tcPr>
            <w:tcW w:w="12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(no par</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Retained Earnings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value)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Arial" w:cs="Arial" w:eastAsia="Arial" w:hAnsi="Arial"/>
                <w:sz w:val="14"/>
                <w:szCs w:val="14"/>
                <w:b w:val="1"/>
                <w:bCs w:val="1"/>
                <w:color w:val="auto"/>
              </w:rPr>
              <w:t>Balance, December 31, 2022</w:t>
            </w:r>
          </w:p>
        </w:tc>
        <w:tc>
          <w:tcPr>
            <w:tcW w:w="1220" w:type="dxa"/>
            <w:vAlign w:val="bottom"/>
          </w:tcPr>
          <w:p>
            <w:pPr>
              <w:jc w:val="right"/>
              <w:spacing w:after="0"/>
              <w:rPr>
                <w:sz w:val="20"/>
                <w:szCs w:val="20"/>
                <w:color w:val="auto"/>
              </w:rPr>
            </w:pPr>
            <w:r>
              <w:rPr>
                <w:rFonts w:ascii="Arial" w:cs="Arial" w:eastAsia="Arial" w:hAnsi="Arial"/>
                <w:sz w:val="14"/>
                <w:szCs w:val="14"/>
                <w:color w:val="auto"/>
              </w:rPr>
              <w:t>50,110</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57,453</w:t>
            </w:r>
          </w:p>
        </w:tc>
        <w:tc>
          <w:tcPr>
            <w:tcW w:w="14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580,554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638,007</w:t>
            </w:r>
          </w:p>
        </w:tc>
        <w:tc>
          <w:tcPr>
            <w:tcW w:w="0" w:type="dxa"/>
            <w:vAlign w:val="bottom"/>
          </w:tcPr>
          <w:p>
            <w:pPr>
              <w:spacing w:after="0"/>
              <w:rPr>
                <w:sz w:val="1"/>
                <w:szCs w:val="1"/>
                <w:color w:val="auto"/>
              </w:rPr>
            </w:pPr>
          </w:p>
        </w:tc>
      </w:tr>
      <w:tr>
        <w:trPr>
          <w:trHeight w:val="197"/>
        </w:trPr>
        <w:tc>
          <w:tcPr>
            <w:tcW w:w="45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3,856</w:t>
            </w:r>
          </w:p>
        </w:tc>
        <w:tc>
          <w:tcPr>
            <w:tcW w:w="0" w:type="dxa"/>
            <w:vAlign w:val="bottom"/>
          </w:tcPr>
          <w:p>
            <w:pPr>
              <w:spacing w:after="0"/>
              <w:rPr>
                <w:sz w:val="1"/>
                <w:szCs w:val="1"/>
                <w:color w:val="auto"/>
              </w:rPr>
            </w:pPr>
          </w:p>
        </w:tc>
      </w:tr>
      <w:tr>
        <w:trPr>
          <w:trHeight w:val="189"/>
        </w:trPr>
        <w:tc>
          <w:tcPr>
            <w:tcW w:w="45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6,730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6,730</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1"/>
        </w:trPr>
        <w:tc>
          <w:tcPr>
            <w:tcW w:w="4580" w:type="dxa"/>
            <w:vAlign w:val="bottom"/>
          </w:tcPr>
          <w:p>
            <w:pPr>
              <w:ind w:left="120"/>
              <w:spacing w:after="0"/>
              <w:rPr>
                <w:sz w:val="20"/>
                <w:szCs w:val="20"/>
                <w:color w:val="auto"/>
              </w:rPr>
            </w:pPr>
            <w:r>
              <w:rPr>
                <w:rFonts w:ascii="Arial" w:cs="Arial" w:eastAsia="Arial" w:hAnsi="Arial"/>
                <w:sz w:val="14"/>
                <w:szCs w:val="14"/>
                <w:color w:val="auto"/>
              </w:rPr>
              <w:t>Shares surrendered for settlement of employee taxes upon issuance of</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(1,317)</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182"/>
        </w:trPr>
        <w:tc>
          <w:tcPr>
            <w:tcW w:w="4580" w:type="dxa"/>
            <w:vAlign w:val="bottom"/>
          </w:tcPr>
          <w:p>
            <w:pPr>
              <w:ind w:left="120"/>
              <w:spacing w:after="0"/>
              <w:rPr>
                <w:sz w:val="20"/>
                <w:szCs w:val="20"/>
                <w:color w:val="auto"/>
              </w:rPr>
            </w:pPr>
            <w:r>
              <w:rPr>
                <w:rFonts w:ascii="Arial" w:cs="Arial" w:eastAsia="Arial" w:hAnsi="Arial"/>
                <w:sz w:val="14"/>
                <w:szCs w:val="14"/>
                <w:color w:val="auto"/>
              </w:rPr>
              <w:t>vested equity awards</w:t>
            </w: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120"/>
              <w:spacing w:after="0"/>
              <w:rPr>
                <w:sz w:val="20"/>
                <w:szCs w:val="20"/>
                <w:color w:val="auto"/>
              </w:rPr>
            </w:pPr>
            <w:r>
              <w:rPr>
                <w:rFonts w:ascii="Arial" w:cs="Arial" w:eastAsia="Arial" w:hAnsi="Arial"/>
                <w:sz w:val="14"/>
                <w:szCs w:val="14"/>
                <w:color w:val="auto"/>
              </w:rPr>
              <w:t>Other comprehensive income, net of tax</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26"/>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Balance, June 30, 2023</w:t>
            </w:r>
          </w:p>
        </w:tc>
        <w:tc>
          <w:tcPr>
            <w:tcW w:w="12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580" w:type="dxa"/>
            <w:vAlign w:val="bottom"/>
            <w:vMerge w:val="continue"/>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50,264</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62,888</w:t>
            </w:r>
          </w:p>
        </w:tc>
        <w:tc>
          <w:tcPr>
            <w:tcW w:w="1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584,410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2,127</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649,425</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Shares of Common</w:t>
            </w:r>
          </w:p>
        </w:tc>
        <w:tc>
          <w:tcPr>
            <w:tcW w:w="12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(no par</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Retained Earnings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value)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Arial" w:cs="Arial" w:eastAsia="Arial" w:hAnsi="Arial"/>
                <w:sz w:val="14"/>
                <w:szCs w:val="14"/>
                <w:b w:val="1"/>
                <w:bCs w:val="1"/>
                <w:color w:val="auto"/>
              </w:rPr>
              <w:t>Balance, March 31, 2022</w:t>
            </w:r>
          </w:p>
        </w:tc>
        <w:tc>
          <w:tcPr>
            <w:tcW w:w="1220" w:type="dxa"/>
            <w:vAlign w:val="bottom"/>
          </w:tcPr>
          <w:p>
            <w:pPr>
              <w:jc w:val="right"/>
              <w:spacing w:after="0"/>
              <w:rPr>
                <w:sz w:val="20"/>
                <w:szCs w:val="20"/>
                <w:color w:val="auto"/>
              </w:rPr>
            </w:pPr>
            <w:r>
              <w:rPr>
                <w:rFonts w:ascii="Arial" w:cs="Arial" w:eastAsia="Arial" w:hAnsi="Arial"/>
                <w:sz w:val="14"/>
                <w:szCs w:val="14"/>
                <w:color w:val="auto"/>
              </w:rPr>
              <w:t>50,049</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52,008</w:t>
            </w:r>
          </w:p>
        </w:tc>
        <w:tc>
          <w:tcPr>
            <w:tcW w:w="14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592,321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644,329</w:t>
            </w:r>
          </w:p>
        </w:tc>
        <w:tc>
          <w:tcPr>
            <w:tcW w:w="0" w:type="dxa"/>
            <w:vAlign w:val="bottom"/>
          </w:tcPr>
          <w:p>
            <w:pPr>
              <w:spacing w:after="0"/>
              <w:rPr>
                <w:sz w:val="1"/>
                <w:szCs w:val="1"/>
                <w:color w:val="auto"/>
              </w:rPr>
            </w:pPr>
          </w:p>
        </w:tc>
      </w:tr>
      <w:tr>
        <w:trPr>
          <w:trHeight w:val="197"/>
        </w:trPr>
        <w:tc>
          <w:tcPr>
            <w:tcW w:w="458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(3,225)</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2,557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189"/>
        </w:trPr>
        <w:tc>
          <w:tcPr>
            <w:tcW w:w="458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9"/>
        </w:trPr>
        <w:tc>
          <w:tcPr>
            <w:tcW w:w="4580" w:type="dxa"/>
            <w:vAlign w:val="bottom"/>
          </w:tcPr>
          <w:p>
            <w:pPr>
              <w:ind w:left="120"/>
              <w:spacing w:after="0"/>
              <w:rPr>
                <w:sz w:val="20"/>
                <w:szCs w:val="20"/>
                <w:color w:val="auto"/>
              </w:rPr>
            </w:pPr>
            <w:r>
              <w:rPr>
                <w:rFonts w:ascii="Arial" w:cs="Arial" w:eastAsia="Arial" w:hAnsi="Arial"/>
                <w:sz w:val="14"/>
                <w:szCs w:val="14"/>
                <w:color w:val="auto"/>
              </w:rPr>
              <w:t>Shares surrendered for settlement of employee taxes upon issuance of</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(299)</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88"/>
        </w:trPr>
        <w:tc>
          <w:tcPr>
            <w:tcW w:w="4580" w:type="dxa"/>
            <w:vAlign w:val="bottom"/>
          </w:tcPr>
          <w:p>
            <w:pPr>
              <w:ind w:left="120"/>
              <w:spacing w:after="0"/>
              <w:rPr>
                <w:sz w:val="20"/>
                <w:szCs w:val="20"/>
                <w:color w:val="auto"/>
              </w:rPr>
            </w:pPr>
            <w:r>
              <w:rPr>
                <w:rFonts w:ascii="Arial" w:cs="Arial" w:eastAsia="Arial" w:hAnsi="Arial"/>
                <w:sz w:val="14"/>
                <w:szCs w:val="14"/>
                <w:color w:val="auto"/>
              </w:rPr>
              <w:t>vested equity awards</w:t>
            </w: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20"/>
                <w:szCs w:val="20"/>
                <w:color w:val="auto"/>
              </w:rPr>
            </w:pPr>
            <w:r>
              <w:rPr>
                <w:rFonts w:ascii="Arial" w:cs="Arial" w:eastAsia="Arial" w:hAnsi="Arial"/>
                <w:sz w:val="14"/>
                <w:szCs w:val="14"/>
                <w:b w:val="1"/>
                <w:bCs w:val="1"/>
                <w:color w:val="auto"/>
              </w:rPr>
              <w:t>Balance, June 30, 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50,077</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54,274</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589,096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643,370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Shares of Common</w:t>
            </w:r>
          </w:p>
        </w:tc>
        <w:tc>
          <w:tcPr>
            <w:tcW w:w="12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(no par</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Retained Earnings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value)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Arial" w:cs="Arial" w:eastAsia="Arial" w:hAnsi="Arial"/>
                <w:sz w:val="14"/>
                <w:szCs w:val="14"/>
                <w:b w:val="1"/>
                <w:bCs w:val="1"/>
                <w:color w:val="auto"/>
              </w:rPr>
              <w:t>Balance, December 31, 2021</w:t>
            </w:r>
          </w:p>
        </w:tc>
        <w:tc>
          <w:tcPr>
            <w:tcW w:w="1220" w:type="dxa"/>
            <w:vAlign w:val="bottom"/>
          </w:tcPr>
          <w:p>
            <w:pPr>
              <w:jc w:val="right"/>
              <w:spacing w:after="0"/>
              <w:rPr>
                <w:sz w:val="20"/>
                <w:szCs w:val="20"/>
                <w:color w:val="auto"/>
              </w:rPr>
            </w:pPr>
            <w:r>
              <w:rPr>
                <w:rFonts w:ascii="Arial" w:cs="Arial" w:eastAsia="Arial" w:hAnsi="Arial"/>
                <w:sz w:val="14"/>
                <w:szCs w:val="14"/>
                <w:color w:val="auto"/>
              </w:rPr>
              <w:t>49,965</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49,351</w:t>
            </w:r>
          </w:p>
        </w:tc>
        <w:tc>
          <w:tcPr>
            <w:tcW w:w="14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592,924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642,275</w:t>
            </w:r>
          </w:p>
        </w:tc>
        <w:tc>
          <w:tcPr>
            <w:tcW w:w="0" w:type="dxa"/>
            <w:vAlign w:val="bottom"/>
          </w:tcPr>
          <w:p>
            <w:pPr>
              <w:spacing w:after="0"/>
              <w:rPr>
                <w:sz w:val="1"/>
                <w:szCs w:val="1"/>
                <w:color w:val="auto"/>
              </w:rPr>
            </w:pPr>
          </w:p>
        </w:tc>
      </w:tr>
      <w:tr>
        <w:trPr>
          <w:trHeight w:val="197"/>
        </w:trPr>
        <w:tc>
          <w:tcPr>
            <w:tcW w:w="458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(3,828)</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5,809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5,809</w:t>
            </w:r>
          </w:p>
        </w:tc>
        <w:tc>
          <w:tcPr>
            <w:tcW w:w="0" w:type="dxa"/>
            <w:vAlign w:val="bottom"/>
          </w:tcPr>
          <w:p>
            <w:pPr>
              <w:spacing w:after="0"/>
              <w:rPr>
                <w:sz w:val="1"/>
                <w:szCs w:val="1"/>
                <w:color w:val="auto"/>
              </w:rPr>
            </w:pPr>
          </w:p>
        </w:tc>
      </w:tr>
      <w:tr>
        <w:trPr>
          <w:trHeight w:val="189"/>
        </w:trPr>
        <w:tc>
          <w:tcPr>
            <w:tcW w:w="458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9"/>
        </w:trPr>
        <w:tc>
          <w:tcPr>
            <w:tcW w:w="4580" w:type="dxa"/>
            <w:vAlign w:val="bottom"/>
          </w:tcPr>
          <w:p>
            <w:pPr>
              <w:ind w:left="120"/>
              <w:spacing w:after="0"/>
              <w:rPr>
                <w:sz w:val="20"/>
                <w:szCs w:val="20"/>
                <w:color w:val="auto"/>
              </w:rPr>
            </w:pPr>
            <w:r>
              <w:rPr>
                <w:rFonts w:ascii="Arial" w:cs="Arial" w:eastAsia="Arial" w:hAnsi="Arial"/>
                <w:sz w:val="14"/>
                <w:szCs w:val="14"/>
                <w:color w:val="auto"/>
              </w:rPr>
              <w:t>Shares surrendered for settlement of employee taxes upon issuance of</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(902)</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88"/>
        </w:trPr>
        <w:tc>
          <w:tcPr>
            <w:tcW w:w="4580" w:type="dxa"/>
            <w:vAlign w:val="bottom"/>
          </w:tcPr>
          <w:p>
            <w:pPr>
              <w:ind w:left="120"/>
              <w:spacing w:after="0"/>
              <w:rPr>
                <w:sz w:val="20"/>
                <w:szCs w:val="20"/>
                <w:color w:val="auto"/>
              </w:rPr>
            </w:pPr>
            <w:r>
              <w:rPr>
                <w:rFonts w:ascii="Arial" w:cs="Arial" w:eastAsia="Arial" w:hAnsi="Arial"/>
                <w:sz w:val="14"/>
                <w:szCs w:val="14"/>
                <w:color w:val="auto"/>
              </w:rPr>
              <w:t>vested equity awards</w:t>
            </w: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spacing w:after="0"/>
              <w:rPr>
                <w:sz w:val="20"/>
                <w:szCs w:val="20"/>
                <w:color w:val="auto"/>
              </w:rPr>
            </w:pPr>
            <w:r>
              <w:rPr>
                <w:rFonts w:ascii="Arial" w:cs="Arial" w:eastAsia="Arial" w:hAnsi="Arial"/>
                <w:sz w:val="14"/>
                <w:szCs w:val="14"/>
                <w:b w:val="1"/>
                <w:bCs w:val="1"/>
                <w:color w:val="auto"/>
              </w:rPr>
              <w:t>Balance, June 30, 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50,077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54,274</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589,096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643,370</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00" w:type="dxa"/>
            <w:vAlign w:val="bottom"/>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20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2700" w:type="dxa"/>
            <w:vAlign w:val="bottom"/>
            <w:gridSpan w:val="4"/>
          </w:tcPr>
          <w:p>
            <w:pPr>
              <w:jc w:val="right"/>
              <w:ind w:right="779"/>
              <w:spacing w:after="0" w:line="168" w:lineRule="exact"/>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820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3,856</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(3,828)</w:t>
            </w: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31,967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29,135</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Stock-based compensation expense, net of amount capitalized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6,320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Impairment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4,407</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4,499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4,430</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Current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25,108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Operating lease assets and liabilities,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(3,012)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Other deferrals and accruals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09"/>
        </w:trPr>
        <w:tc>
          <w:tcPr>
            <w:tcW w:w="820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69,800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38,724</w:t>
            </w:r>
          </w:p>
        </w:tc>
        <w:tc>
          <w:tcPr>
            <w:tcW w:w="0" w:type="dxa"/>
            <w:vAlign w:val="bottom"/>
          </w:tcPr>
          <w:p>
            <w:pPr>
              <w:spacing w:after="0"/>
              <w:rPr>
                <w:sz w:val="1"/>
                <w:szCs w:val="1"/>
                <w:color w:val="auto"/>
              </w:rPr>
            </w:pPr>
          </w:p>
        </w:tc>
      </w:tr>
      <w:tr>
        <w:trPr>
          <w:trHeight w:val="318"/>
        </w:trPr>
        <w:tc>
          <w:tcPr>
            <w:tcW w:w="82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(136,158)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(88,706)</w:t>
            </w: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6"/>
                <w:szCs w:val="16"/>
                <w:color w:val="auto"/>
              </w:rPr>
              <w:t>Proceeds from sale of assets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9"/>
        </w:trPr>
        <w:tc>
          <w:tcPr>
            <w:tcW w:w="820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(135,650)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(88,427)</w:t>
            </w:r>
          </w:p>
        </w:tc>
        <w:tc>
          <w:tcPr>
            <w:tcW w:w="0" w:type="dxa"/>
            <w:vAlign w:val="bottom"/>
          </w:tcPr>
          <w:p>
            <w:pPr>
              <w:spacing w:after="0"/>
              <w:rPr>
                <w:sz w:val="1"/>
                <w:szCs w:val="1"/>
                <w:color w:val="auto"/>
              </w:rPr>
            </w:pPr>
          </w:p>
        </w:tc>
      </w:tr>
      <w:tr>
        <w:trPr>
          <w:trHeight w:val="304"/>
        </w:trPr>
        <w:tc>
          <w:tcPr>
            <w:tcW w:w="82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6"/>
                <w:szCs w:val="16"/>
                <w:color w:val="auto"/>
              </w:rPr>
              <w:t>Proceeds from credit facility borrowings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6"/>
                <w:szCs w:val="16"/>
                <w:color w:val="auto"/>
              </w:rPr>
              <w:t>Payments for debt issuance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6"/>
                <w:szCs w:val="16"/>
                <w:color w:val="auto"/>
              </w:rPr>
              <w:t>Taxes paid for equity award issuances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6"/>
                <w:szCs w:val="16"/>
                <w:color w:val="auto"/>
              </w:rPr>
              <w:t>Payments for financing arrangements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09"/>
        </w:trPr>
        <w:tc>
          <w:tcPr>
            <w:tcW w:w="8200" w:type="dxa"/>
            <w:vAlign w:val="bottom"/>
          </w:tcPr>
          <w:p>
            <w:pPr>
              <w:ind w:left="20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210"/>
        </w:trPr>
        <w:tc>
          <w:tcPr>
            <w:tcW w:w="8200" w:type="dxa"/>
            <w:vAlign w:val="bottom"/>
          </w:tcPr>
          <w:p>
            <w:pPr>
              <w:ind w:left="12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(17,757)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(51,009)</w:t>
            </w: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44,061</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84,344</w:t>
            </w:r>
          </w:p>
        </w:tc>
        <w:tc>
          <w:tcPr>
            <w:tcW w:w="0" w:type="dxa"/>
            <w:vAlign w:val="bottom"/>
          </w:tcPr>
          <w:p>
            <w:pPr>
              <w:spacing w:after="0"/>
              <w:rPr>
                <w:sz w:val="1"/>
                <w:szCs w:val="1"/>
                <w:color w:val="auto"/>
              </w:rPr>
            </w:pPr>
          </w:p>
        </w:tc>
      </w:tr>
      <w:tr>
        <w:trPr>
          <w:trHeight w:val="210"/>
        </w:trPr>
        <w:tc>
          <w:tcPr>
            <w:tcW w:w="8200" w:type="dxa"/>
            <w:vAlign w:val="bottom"/>
          </w:tcPr>
          <w:p>
            <w:pPr>
              <w:ind w:left="120"/>
              <w:spacing w:after="0"/>
              <w:rPr>
                <w:sz w:val="20"/>
                <w:szCs w:val="20"/>
                <w:color w:val="auto"/>
              </w:rPr>
            </w:pPr>
            <w:r>
              <w:rPr>
                <w:rFonts w:ascii="Arial" w:cs="Arial" w:eastAsia="Arial" w:hAnsi="Arial"/>
                <w:sz w:val="16"/>
                <w:szCs w:val="16"/>
                <w:b w:val="1"/>
                <w:bCs w:val="1"/>
                <w:color w:val="auto"/>
              </w:rPr>
              <w:t>Cash and cash equivalents, end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26,304</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33,335</w:t>
            </w:r>
          </w:p>
        </w:tc>
        <w:tc>
          <w:tcPr>
            <w:tcW w:w="0" w:type="dxa"/>
            <w:vAlign w:val="bottom"/>
          </w:tcPr>
          <w:p>
            <w:pPr>
              <w:spacing w:after="0"/>
              <w:rPr>
                <w:sz w:val="1"/>
                <w:szCs w:val="1"/>
                <w:color w:val="auto"/>
              </w:rPr>
            </w:pPr>
          </w:p>
        </w:tc>
      </w:tr>
      <w:tr>
        <w:trPr>
          <w:trHeight w:val="27"/>
        </w:trPr>
        <w:tc>
          <w:tcPr>
            <w:tcW w:w="820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8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Interest paid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3,111</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8200" w:type="dxa"/>
            <w:vAlign w:val="bottom"/>
            <w:vMerge w:val="restart"/>
          </w:tcPr>
          <w:p>
            <w:pPr>
              <w:ind w:left="200"/>
              <w:spacing w:after="0"/>
              <w:rPr>
                <w:sz w:val="20"/>
                <w:szCs w:val="20"/>
                <w:color w:val="auto"/>
              </w:rPr>
            </w:pPr>
            <w:r>
              <w:rPr>
                <w:rFonts w:ascii="Arial" w:cs="Arial" w:eastAsia="Arial" w:hAnsi="Arial"/>
                <w:sz w:val="16"/>
                <w:szCs w:val="16"/>
                <w:color w:val="auto"/>
              </w:rPr>
              <w:t>Income tax refunds received, net</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200" w:type="dxa"/>
            <w:vAlign w:val="bottom"/>
            <w:vMerge w:val="continue"/>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25,481</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Other Information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Shenandoah Telecommunications Company and its subsidiaries (“Shentel”, “we”, “our”, “us”, or the “Company”) provide broadband data, video and voice services to residential and commercial customers in portions of Virginia, West Virginia, Maryland, Pennsylvania and Kentucky, via fiber optic and hybrid fiber coaxial cable networks. We also lease dark fiber and provide Ethernet and Wavelength fiber optic services to enterprise and wholesale customers throughout the entirety of our service area. The Company also provides voice and DSL telephone services to customers in Virginia’s Shenandoah County and portions of adjacent counties as a Rural Local Exchange Carrier (“RLEC”). These integrated networks are connected by a fiber network. All of these operations are contained within our Broadband reporting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212529"/>
        </w:rPr>
        <w:t>Our Tower segment owns 222 cell towers and leases colocation space on those towers to wireless communications providers.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Arial" w:cs="Arial" w:eastAsia="Arial" w:hAnsi="Arial"/>
          <w:sz w:val="18"/>
          <w:szCs w:val="18"/>
          <w:color w:val="000000"/>
        </w:rPr>
        <w:t>year ended December 31,</w:t>
      </w:r>
      <w:r>
        <w:rPr>
          <w:rFonts w:ascii="Arial" w:cs="Arial" w:eastAsia="Arial" w:hAnsi="Arial"/>
          <w:sz w:val="18"/>
          <w:szCs w:val="18"/>
          <w:color w:val="212529"/>
        </w:rPr>
        <w:t xml:space="preserve"> </w:t>
      </w:r>
      <w:r>
        <w:rPr>
          <w:rFonts w:ascii="Arial" w:cs="Arial" w:eastAsia="Arial" w:hAnsi="Arial"/>
          <w:sz w:val="18"/>
          <w:szCs w:val="18"/>
          <w:color w:val="000000"/>
        </w:rPr>
        <w:t>2022.</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12529"/>
        </w:rPr>
        <w:t>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significant estimates and assumptions, including, but not limited to, revenue recognition, stock-based compensation, estimated useful lives of assets, impairment of goodwill and indefinite-lived intangible assets, intangible assets subject to amortization, the computation of income taxes and the fair value of interest rate swaps.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Annual Report on Form 10-K for its fiscal year ended December 31, 2022, that would be expected to impact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The Company’s current contract assets are included in prepaid expenses and other and the Company’s non-current contract assets are included in deferred charges and other assets in its unaudited condensed consolidated balance sheets. Amortization of capitalized commission expenses is recorded in selling, general and administrative expenses in the Company’s unaudited condensed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activity of current and non-current contract assets: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7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26"/>
        </w:trPr>
        <w:tc>
          <w:tcPr>
            <w:tcW w:w="50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8,756</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410"/>
              <w:spacing w:after="0"/>
              <w:rPr>
                <w:sz w:val="20"/>
                <w:szCs w:val="20"/>
                <w:color w:val="auto"/>
              </w:rPr>
            </w:pPr>
            <w:r>
              <w:rPr>
                <w:rFonts w:ascii="Arial" w:cs="Arial" w:eastAsia="Arial" w:hAnsi="Arial"/>
                <w:sz w:val="18"/>
                <w:szCs w:val="18"/>
                <w:color w:val="auto"/>
                <w:w w:val="88"/>
              </w:rPr>
              <w:t>8,303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473"/>
              <w:spacing w:after="0"/>
              <w:rPr>
                <w:sz w:val="20"/>
                <w:szCs w:val="20"/>
                <w:color w:val="auto"/>
              </w:rPr>
            </w:pPr>
            <w:r>
              <w:rPr>
                <w:rFonts w:ascii="Arial" w:cs="Arial" w:eastAsia="Arial" w:hAnsi="Arial"/>
                <w:sz w:val="18"/>
                <w:szCs w:val="18"/>
                <w:color w:val="auto"/>
                <w:w w:val="88"/>
              </w:rPr>
              <w:t>8,646</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410"/>
              <w:spacing w:after="0"/>
              <w:rPr>
                <w:sz w:val="20"/>
                <w:szCs w:val="20"/>
                <w:color w:val="auto"/>
              </w:rPr>
            </w:pPr>
            <w:r>
              <w:rPr>
                <w:rFonts w:ascii="Arial" w:cs="Arial" w:eastAsia="Arial" w:hAnsi="Arial"/>
                <w:sz w:val="18"/>
                <w:szCs w:val="18"/>
                <w:color w:val="auto"/>
                <w:w w:val="88"/>
              </w:rPr>
              <w:t>8,147</w:t>
            </w:r>
          </w:p>
        </w:tc>
      </w:tr>
      <w:tr>
        <w:trPr>
          <w:trHeight w:val="241"/>
        </w:trPr>
        <w:tc>
          <w:tcPr>
            <w:tcW w:w="5080" w:type="dxa"/>
            <w:vAlign w:val="bottom"/>
          </w:tcPr>
          <w:p>
            <w:pPr>
              <w:spacing w:after="0"/>
              <w:rPr>
                <w:sz w:val="20"/>
                <w:szCs w:val="20"/>
                <w:color w:val="auto"/>
              </w:rPr>
            </w:pPr>
            <w:r>
              <w:rPr>
                <w:rFonts w:ascii="Arial" w:cs="Arial" w:eastAsia="Arial" w:hAnsi="Arial"/>
                <w:sz w:val="18"/>
                <w:szCs w:val="18"/>
                <w:color w:val="auto"/>
              </w:rPr>
              <w:t>Commission payments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center"/>
              <w:ind w:left="410"/>
              <w:spacing w:after="0"/>
              <w:rPr>
                <w:sz w:val="20"/>
                <w:szCs w:val="20"/>
                <w:color w:val="auto"/>
              </w:rPr>
            </w:pPr>
            <w:r>
              <w:rPr>
                <w:rFonts w:ascii="Arial" w:cs="Arial" w:eastAsia="Arial" w:hAnsi="Arial"/>
                <w:sz w:val="18"/>
                <w:szCs w:val="18"/>
                <w:color w:val="auto"/>
                <w:w w:val="88"/>
              </w:rPr>
              <w:t>1,309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center"/>
              <w:ind w:left="473"/>
              <w:spacing w:after="0"/>
              <w:rPr>
                <w:sz w:val="20"/>
                <w:szCs w:val="20"/>
                <w:color w:val="auto"/>
              </w:rPr>
            </w:pPr>
            <w:r>
              <w:rPr>
                <w:rFonts w:ascii="Arial" w:cs="Arial" w:eastAsia="Arial" w:hAnsi="Arial"/>
                <w:sz w:val="18"/>
                <w:szCs w:val="18"/>
                <w:color w:val="auto"/>
                <w:w w:val="88"/>
              </w:rPr>
              <w:t>1,684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center"/>
              <w:ind w:left="410"/>
              <w:spacing w:after="0"/>
              <w:rPr>
                <w:sz w:val="20"/>
                <w:szCs w:val="20"/>
                <w:color w:val="auto"/>
              </w:rPr>
            </w:pPr>
            <w:r>
              <w:rPr>
                <w:rFonts w:ascii="Arial" w:cs="Arial" w:eastAsia="Arial" w:hAnsi="Arial"/>
                <w:sz w:val="18"/>
                <w:szCs w:val="18"/>
                <w:color w:val="auto"/>
                <w:w w:val="88"/>
              </w:rPr>
              <w:t>1,647</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Contract asset 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4"/>
              </w:rPr>
              <w:t>(1,185)</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33"/>
              <w:spacing w:after="0"/>
              <w:rPr>
                <w:sz w:val="20"/>
                <w:szCs w:val="20"/>
                <w:color w:val="auto"/>
              </w:rPr>
            </w:pPr>
            <w:r>
              <w:rPr>
                <w:rFonts w:ascii="Arial" w:cs="Arial" w:eastAsia="Arial" w:hAnsi="Arial"/>
                <w:sz w:val="18"/>
                <w:szCs w:val="18"/>
                <w:color w:val="auto"/>
                <w:w w:val="91"/>
              </w:rPr>
              <w:t>(1,588)</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4"/>
              </w:rPr>
              <w:t>(1,367)</w:t>
            </w:r>
          </w:p>
        </w:tc>
      </w:tr>
      <w:tr>
        <w:trPr>
          <w:trHeight w:val="237"/>
        </w:trPr>
        <w:tc>
          <w:tcPr>
            <w:tcW w:w="5080" w:type="dxa"/>
            <w:vAlign w:val="bottom"/>
          </w:tcPr>
          <w:p>
            <w:pPr>
              <w:ind w:left="1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8,742</w:t>
            </w:r>
          </w:p>
        </w:tc>
        <w:tc>
          <w:tcPr>
            <w:tcW w:w="1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8"/>
              </w:rPr>
              <w:t>8,427</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473"/>
              <w:spacing w:after="0"/>
              <w:rPr>
                <w:sz w:val="20"/>
                <w:szCs w:val="20"/>
                <w:color w:val="auto"/>
              </w:rPr>
            </w:pPr>
            <w:r>
              <w:rPr>
                <w:rFonts w:ascii="Arial" w:cs="Arial" w:eastAsia="Arial" w:hAnsi="Arial"/>
                <w:sz w:val="18"/>
                <w:szCs w:val="18"/>
                <w:color w:val="auto"/>
                <w:w w:val="88"/>
              </w:rPr>
              <w:t>8,742</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8"/>
              </w:rPr>
              <w:t>8,427</w:t>
            </w:r>
          </w:p>
        </w:tc>
      </w:tr>
      <w:tr>
        <w:trPr>
          <w:trHeight w:val="21"/>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contract liabilities include services that are billed in advance and recorded as deferred revenue, as well as installation fees that are charged upfront without transfer of commensurate goods or services to the customer. The Company’s current contract liabilities are included in advanced billings and customer deposits and the Company’s non-current contract liabilities are included in other liabilities in its unaudited condensed consolidated balance sheets. Shentel’s current contract liability balances were $9.4 million and $9.5 million as of June 30, 2023 and December 31, 2022, respectively, and Shentel’s non-current contract liability balances were $1.3 million and $1.9 million as of June 30, 2023 and December 31, 2022, respectively. Shentel expects its current contract liability balances to be recognized within revenues during the twelve-month periods following the respective balance sheet dates and its non-current contract liability balances to be recognized within revenues after the twelve-month periods following the respective balance sheet dates.</w:t>
      </w:r>
    </w:p>
    <w:p>
      <w:pPr>
        <w:sectPr>
          <w:pgSz w:w="11900" w:h="16838" w:orient="portrait"/>
          <w:cols w:equalWidth="0" w:num="1">
            <w:col w:w="11240"/>
          </w:cols>
          <w:pgMar w:left="320" w:top="125"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Note 14, </w:t>
      </w:r>
      <w:r>
        <w:rPr>
          <w:rFonts w:ascii="Arial" w:cs="Arial" w:eastAsia="Arial" w:hAnsi="Arial"/>
          <w:sz w:val="16"/>
          <w:szCs w:val="16"/>
          <w:i w:val="1"/>
          <w:iCs w:val="1"/>
          <w:color w:val="auto"/>
        </w:rPr>
        <w:t>Segment Reporting</w:t>
      </w:r>
      <w:r>
        <w:rPr>
          <w:rFonts w:ascii="Arial" w:cs="Arial" w:eastAsia="Arial" w:hAnsi="Arial"/>
          <w:sz w:val="16"/>
          <w:szCs w:val="16"/>
          <w:color w:val="auto"/>
        </w:rPr>
        <w:t>, for a summary of the Company’s revenue streams.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SERP investments at fair value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method investments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method investments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9"/>
        </w:trPr>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6"/>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2,116</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30"/>
        </w:trPr>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10,749</w:t>
            </w:r>
          </w:p>
        </w:tc>
      </w:tr>
      <w:tr>
        <w:trPr>
          <w:trHeight w:val="237"/>
        </w:trPr>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13,016</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12,971</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80" w:space="720"/>
            <w:col w:w="3140"/>
          </w:cols>
          <w:pgMar w:left="320" w:top="125" w:right="339" w:bottom="1440" w:gutter="0" w:footer="0" w:header="0"/>
          <w:type w:val="continuous"/>
        </w:sectPr>
      </w:pP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SERP Investments at Fair Value: </w:t>
      </w:r>
      <w:r>
        <w:rPr>
          <w:rFonts w:ascii="Arial" w:cs="Arial" w:eastAsia="Arial" w:hAnsi="Arial"/>
          <w:sz w:val="18"/>
          <w:szCs w:val="18"/>
          <w:color w:val="auto"/>
        </w:rPr>
        <w:t>The fair value of the SERP investments are based on unadjusted quoted prices in active markets and are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Level 1 of the fair value hierarchy. Changes to the investments' fair value are presented in Other income (expense), while the reciprocal changes in the liability are presented in selling, general and administrative expense.</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Cost Method Investments</w:t>
      </w:r>
      <w:r>
        <w:rPr>
          <w:rFonts w:ascii="Arial" w:cs="Arial" w:eastAsia="Arial" w:hAnsi="Arial"/>
          <w:sz w:val="17"/>
          <w:szCs w:val="17"/>
          <w:color w:val="auto"/>
        </w:rPr>
        <w:t>: Shentel’s investment in CoBank’s Class A common stock, derived from the CoBank patronage program, represented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the Company’s cost method investments with a balance of $10.0 million at both June 30, 2023 and December 31, 2022, respectively. We recognized approximately $0.2 million and $0.1 million of patronage income in other income (expense) for the three months ended June 30, 2023 and 2022, respectively, and approximately $0.3 million and $0.2 million during the six months ended June 30, 2023 and 2022, respectively. The Company expects that approximately 88% of the patronage distributions will be collected in cash and 12% in equity in 2023.</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Equity Method Investments: </w:t>
      </w:r>
      <w:r>
        <w:rPr>
          <w:rFonts w:ascii="Arial" w:cs="Arial" w:eastAsia="Arial" w:hAnsi="Arial"/>
          <w:sz w:val="18"/>
          <w:szCs w:val="18"/>
          <w:color w:val="auto"/>
        </w:rPr>
        <w:t>At December 31, 2022, the Company had a 20.0% ownership interest in Valley Network Partnership (“ValleyNet”). ValleyNet</w:t>
      </w:r>
      <w:r>
        <w:rPr>
          <w:rFonts w:ascii="Arial" w:cs="Arial" w:eastAsia="Arial" w:hAnsi="Arial"/>
          <w:sz w:val="18"/>
          <w:szCs w:val="18"/>
          <w:i w:val="1"/>
          <w:iCs w:val="1"/>
          <w:color w:val="auto"/>
        </w:rPr>
        <w:t xml:space="preserve"> </w:t>
      </w:r>
      <w:r>
        <w:rPr>
          <w:rFonts w:ascii="Arial" w:cs="Arial" w:eastAsia="Arial" w:hAnsi="Arial"/>
          <w:sz w:val="18"/>
          <w:szCs w:val="18"/>
          <w:color w:val="auto"/>
        </w:rPr>
        <w:t>has ceased operations and is in the process of being dissolved. In April 2023, Shentel received a payment of $0.1 million, representing Shentel’s remaining capital in the partnership, and the investment balance was derecognized from Shentel’s unaudited condensed consolidated balance sheets. Prior to the commencement of dissolution proceedings, the Company and ValleyNet purchased capacity on one another’s fiber network, through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i w:val="1"/>
                <w:iCs w:val="1"/>
                <w:color w:val="0000FF"/>
                <w:w w:val="88"/>
              </w:rPr>
              <w:t>Table of Contents</w:t>
            </w:r>
          </w:p>
        </w:tc>
        <w:tc>
          <w:tcPr>
            <w:tcW w:w="5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90"/>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6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 Useful</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43"/>
        </w:trPr>
        <w:tc>
          <w:tcPr>
            <w:tcW w:w="648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thousands)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Lives</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2"/>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Land</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3,722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3,722</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Land improvements</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3,483</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Buildings and structures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10 - 45 years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96,175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93,461</w:t>
            </w:r>
          </w:p>
        </w:tc>
      </w:tr>
      <w:tr>
        <w:trPr>
          <w:trHeight w:val="242"/>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Cable and fiber</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15 - 30 years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682,218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593,771</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Equipment and software</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4 - 8 years</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333,821</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317,347</w:t>
            </w:r>
          </w:p>
        </w:tc>
      </w:tr>
      <w:tr>
        <w:trPr>
          <w:trHeight w:val="224"/>
        </w:trPr>
        <w:tc>
          <w:tcPr>
            <w:tcW w:w="6480" w:type="dxa"/>
            <w:vAlign w:val="bottom"/>
            <w:gridSpan w:val="2"/>
          </w:tcPr>
          <w:p>
            <w:pPr>
              <w:ind w:left="140"/>
              <w:spacing w:after="0"/>
              <w:rPr>
                <w:sz w:val="20"/>
                <w:szCs w:val="20"/>
                <w:color w:val="auto"/>
              </w:rPr>
            </w:pPr>
            <w:r>
              <w:rPr>
                <w:rFonts w:ascii="Arial" w:cs="Arial" w:eastAsia="Arial" w:hAnsi="Arial"/>
                <w:sz w:val="18"/>
                <w:szCs w:val="18"/>
                <w:color w:val="auto"/>
              </w:rPr>
              <w:t>Plant in service</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1,119,419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1,011,784</w:t>
            </w:r>
          </w:p>
        </w:tc>
      </w:tr>
      <w:tr>
        <w:trPr>
          <w:trHeight w:val="242"/>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Plant under construction</w:t>
            </w: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163,610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144,534</w:t>
            </w:r>
          </w:p>
        </w:tc>
      </w:tr>
      <w:tr>
        <w:trPr>
          <w:trHeight w:val="222"/>
        </w:trPr>
        <w:tc>
          <w:tcPr>
            <w:tcW w:w="6480" w:type="dxa"/>
            <w:vAlign w:val="bottom"/>
            <w:gridSpan w:val="2"/>
          </w:tcPr>
          <w:p>
            <w:pPr>
              <w:ind w:left="140"/>
              <w:spacing w:after="0"/>
              <w:rPr>
                <w:sz w:val="20"/>
                <w:szCs w:val="20"/>
                <w:color w:val="auto"/>
              </w:rPr>
            </w:pPr>
            <w:r>
              <w:rPr>
                <w:rFonts w:ascii="Arial" w:cs="Arial" w:eastAsia="Arial" w:hAnsi="Arial"/>
                <w:sz w:val="18"/>
                <w:szCs w:val="18"/>
                <w:color w:val="auto"/>
              </w:rPr>
              <w:t>Total property, plant and equipment</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1,283,029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1,156,318</w:t>
            </w:r>
          </w:p>
        </w:tc>
      </w:tr>
      <w:tr>
        <w:trPr>
          <w:trHeight w:val="237"/>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(496,583)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(468,765)</w:t>
            </w:r>
          </w:p>
        </w:tc>
      </w:tr>
      <w:tr>
        <w:trPr>
          <w:trHeight w:val="230"/>
        </w:trPr>
        <w:tc>
          <w:tcPr>
            <w:tcW w:w="648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786,446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687,553</w:t>
            </w:r>
          </w:p>
        </w:tc>
      </w:tr>
      <w:tr>
        <w:trPr>
          <w:trHeight w:val="20"/>
        </w:trPr>
        <w:tc>
          <w:tcPr>
            <w:tcW w:w="12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plant and equipment, net increases were primarily attributable to capital expenditures in the Broadband segment due to expansion of Glo Fiber assets and market expansion. The Company’s accounts payable as of June 30, 2023 and December 31, 2022 included amounts associated with capital expenditures of approximately $38.9 million and $43.8 million, respectively. Depreciation and amortization expense was $16.2 million and $14.6 million during the three months ended June 30, 2023 and 2022, respectively, and $31.7 million and $28.7 million during the six months ended June 30, 2023 and 2022, respectively.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23, 2022, the Company entered into a definitive asset purchase agreement (the “Spectrum Purchase Agreement”) with a wireless carrier pursuant to which the Company agreed to sell certain Federal Communications Commission (“FCC”) spectrum licenses and leases previously utilized in the Company’s Beam branded fixed wireless service for total consideration of approximately $21.1 million, composed of $17.3 million cash and approximately $3.8 million of liabilities to be assumed by the wireless carrier (the “Spectrum Transaction”). The Spectrum Transaction closed on July 6,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June 30, 2023</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 2022</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75"/>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90"/>
              <w:spacing w:after="0" w:line="176" w:lineRule="exact"/>
              <w:rPr>
                <w:sz w:val="20"/>
                <w:szCs w:val="20"/>
                <w:color w:val="auto"/>
              </w:rPr>
            </w:pPr>
            <w:r>
              <w:rPr>
                <w:rFonts w:ascii="Arial" w:cs="Arial" w:eastAsia="Arial" w:hAnsi="Arial"/>
                <w:sz w:val="18"/>
                <w:szCs w:val="18"/>
                <w:b w:val="1"/>
                <w:bCs w:val="1"/>
                <w:color w:val="auto"/>
                <w:w w:val="95"/>
              </w:rPr>
              <w:t>Accumulated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110"/>
              <w:spacing w:after="0" w:line="176" w:lineRule="exact"/>
              <w:rPr>
                <w:sz w:val="20"/>
                <w:szCs w:val="20"/>
                <w:color w:val="auto"/>
              </w:rPr>
            </w:pPr>
            <w:r>
              <w:rPr>
                <w:rFonts w:ascii="Arial" w:cs="Arial" w:eastAsia="Arial" w:hAnsi="Arial"/>
                <w:sz w:val="18"/>
                <w:szCs w:val="18"/>
                <w:b w:val="1"/>
                <w:bCs w:val="1"/>
                <w:color w:val="auto"/>
                <w:w w:val="91"/>
              </w:rPr>
              <w:t>Accumulated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5"/>
                <w:szCs w:val="15"/>
                <w:color w:val="auto"/>
              </w:rPr>
            </w:pPr>
          </w:p>
        </w:tc>
        <w:tc>
          <w:tcPr>
            <w:tcW w:w="142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92"/>
              </w:rPr>
              <w:t>Amortization and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5"/>
                <w:szCs w:val="15"/>
                <w:color w:val="auto"/>
              </w:rPr>
            </w:pPr>
          </w:p>
        </w:tc>
        <w:tc>
          <w:tcPr>
            <w:tcW w:w="142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92"/>
              </w:rPr>
              <w:t>Amortization and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Goodwill - Broadband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3,244</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Indefinite-lived intangibles: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Cable franchise rights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64,334</w:t>
            </w:r>
          </w:p>
        </w:tc>
      </w:tr>
      <w:tr>
        <w:trPr>
          <w:trHeight w:val="242"/>
        </w:trPr>
        <w:tc>
          <w:tcPr>
            <w:tcW w:w="3680" w:type="dxa"/>
            <w:vAlign w:val="bottom"/>
          </w:tcPr>
          <w:p>
            <w:pPr>
              <w:ind w:left="120"/>
              <w:spacing w:after="0"/>
              <w:rPr>
                <w:sz w:val="20"/>
                <w:szCs w:val="20"/>
                <w:color w:val="auto"/>
              </w:rPr>
            </w:pPr>
            <w:r>
              <w:rPr>
                <w:rFonts w:ascii="Arial" w:cs="Arial" w:eastAsia="Arial" w:hAnsi="Arial"/>
                <w:sz w:val="18"/>
                <w:szCs w:val="18"/>
                <w:color w:val="auto"/>
              </w:rPr>
              <w:t>FCC Spectrum licenses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12,122</w:t>
            </w: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Railroad crossing rights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36"/>
        </w:trPr>
        <w:tc>
          <w:tcPr>
            <w:tcW w:w="3680" w:type="dxa"/>
            <w:vAlign w:val="bottom"/>
          </w:tcPr>
          <w:p>
            <w:pPr>
              <w:ind w:left="200"/>
              <w:spacing w:after="0"/>
              <w:rPr>
                <w:sz w:val="20"/>
                <w:szCs w:val="20"/>
                <w:color w:val="auto"/>
              </w:rPr>
            </w:pPr>
            <w:r>
              <w:rPr>
                <w:rFonts w:ascii="Arial" w:cs="Arial" w:eastAsia="Arial" w:hAnsi="Arial"/>
                <w:sz w:val="18"/>
                <w:szCs w:val="18"/>
                <w:color w:val="auto"/>
              </w:rPr>
              <w:t>Total indefinite-lived intangibles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76,597</w:t>
            </w:r>
          </w:p>
        </w:tc>
      </w:tr>
      <w:tr>
        <w:trPr>
          <w:trHeight w:val="479"/>
        </w:trPr>
        <w:tc>
          <w:tcPr>
            <w:tcW w:w="3680" w:type="dxa"/>
            <w:vAlign w:val="bottom"/>
          </w:tcPr>
          <w:p>
            <w:pPr>
              <w:spacing w:after="0"/>
              <w:rPr>
                <w:sz w:val="20"/>
                <w:szCs w:val="20"/>
                <w:color w:val="auto"/>
              </w:rPr>
            </w:pPr>
            <w:r>
              <w:rPr>
                <w:rFonts w:ascii="Arial" w:cs="Arial" w:eastAsia="Arial" w:hAnsi="Arial"/>
                <w:sz w:val="18"/>
                <w:szCs w:val="18"/>
                <w:color w:val="auto"/>
              </w:rPr>
              <w:t>Finite-lived intangibles: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Subscriber relationships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1,515</w:t>
            </w:r>
          </w:p>
        </w:tc>
      </w:tr>
      <w:tr>
        <w:trPr>
          <w:trHeight w:val="243"/>
        </w:trPr>
        <w:tc>
          <w:tcPr>
            <w:tcW w:w="3680" w:type="dxa"/>
            <w:vAlign w:val="bottom"/>
          </w:tcPr>
          <w:p>
            <w:pPr>
              <w:ind w:left="120"/>
              <w:spacing w:after="0"/>
              <w:rPr>
                <w:sz w:val="20"/>
                <w:szCs w:val="20"/>
                <w:color w:val="auto"/>
              </w:rPr>
            </w:pPr>
            <w:r>
              <w:rPr>
                <w:rFonts w:ascii="Arial" w:cs="Arial" w:eastAsia="Arial" w:hAnsi="Arial"/>
                <w:sz w:val="18"/>
                <w:szCs w:val="18"/>
                <w:color w:val="auto"/>
              </w:rPr>
              <w:t>Other intangibles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3680" w:type="dxa"/>
            <w:vAlign w:val="bottom"/>
          </w:tcPr>
          <w:p>
            <w:pPr>
              <w:ind w:left="200"/>
              <w:spacing w:after="0"/>
              <w:rPr>
                <w:sz w:val="20"/>
                <w:szCs w:val="20"/>
                <w:color w:val="auto"/>
              </w:rPr>
            </w:pPr>
            <w:r>
              <w:rPr>
                <w:rFonts w:ascii="Arial" w:cs="Arial" w:eastAsia="Arial" w:hAnsi="Arial"/>
                <w:sz w:val="18"/>
                <w:szCs w:val="18"/>
                <w:color w:val="auto"/>
              </w:rPr>
              <w:t>Total finite-lived intangibles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r>
      <w:tr>
        <w:trPr>
          <w:trHeight w:val="236"/>
        </w:trPr>
        <w:tc>
          <w:tcPr>
            <w:tcW w:w="3680" w:type="dxa"/>
            <w:vAlign w:val="bottom"/>
          </w:tcPr>
          <w:p>
            <w:pPr>
              <w:ind w:left="340"/>
              <w:spacing w:after="0"/>
              <w:rPr>
                <w:sz w:val="20"/>
                <w:szCs w:val="20"/>
                <w:color w:val="auto"/>
              </w:rPr>
            </w:pPr>
            <w:r>
              <w:rPr>
                <w:rFonts w:ascii="Arial" w:cs="Arial" w:eastAsia="Arial" w:hAnsi="Arial"/>
                <w:sz w:val="18"/>
                <w:szCs w:val="18"/>
                <w:color w:val="auto"/>
              </w:rPr>
              <w:t>Total goodwill and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108,754</w:t>
            </w:r>
          </w:p>
        </w:tc>
        <w:tc>
          <w:tcPr>
            <w:tcW w:w="100" w:type="dxa"/>
            <w:vAlign w:val="bottom"/>
          </w:tcPr>
          <w:p>
            <w:pPr>
              <w:spacing w:after="0"/>
              <w:rPr>
                <w:sz w:val="20"/>
                <w:szCs w:val="20"/>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81,270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108,754</w:t>
            </w:r>
          </w:p>
        </w:tc>
        <w:tc>
          <w:tcPr>
            <w:tcW w:w="100" w:type="dxa"/>
            <w:vAlign w:val="bottom"/>
          </w:tcPr>
          <w:p>
            <w:pPr>
              <w:spacing w:after="0"/>
              <w:rPr>
                <w:sz w:val="20"/>
                <w:szCs w:val="20"/>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81,515</w:t>
            </w:r>
          </w:p>
        </w:tc>
      </w:tr>
      <w:tr>
        <w:trPr>
          <w:trHeight w:val="21"/>
        </w:trPr>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$0.1 million and $0.2 million during the three months ended June 30, 2023 and 2022, respectively, and $0.2 million and $0.4 million during the six months ended June 30, 2023 and 2022, respectively.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As described in Note 4,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the Company entered into the Spectrum Purchase Agreement to sell FCC spectrum licenses associated with Beam. As a result of the expected sale, the Company concluded that the FCC spectrum licenses met the held for sale criteria; accordingly, $13.8 million of indefinite-lived licenses and $5.9 million of finite-lived licenses are presented as held for sale, along with the corresponding $3.8 million of operating lease liabilities related to the finite-lived licenses, as of June 30, 2023 and December 31, 2022. The Company evaluated the events described here and in Note 4,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and determined that these events do not represent a strategic shift in the Company’s business.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Note 6. Other Assets and Accrued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60" w:type="dxa"/>
            <w:vAlign w:val="bottom"/>
          </w:tcPr>
          <w:p>
            <w:pPr>
              <w:spacing w:after="0"/>
              <w:rPr>
                <w:sz w:val="20"/>
                <w:szCs w:val="20"/>
                <w:color w:val="auto"/>
              </w:rPr>
            </w:pPr>
            <w:r>
              <w:rPr>
                <w:rFonts w:ascii="Arial" w:cs="Arial" w:eastAsia="Arial" w:hAnsi="Arial"/>
                <w:sz w:val="18"/>
                <w:szCs w:val="18"/>
                <w:color w:val="auto"/>
              </w:rPr>
              <w:t>Prepaid expenses and other, classified as current assets, included the following:</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2"/>
        </w:trPr>
        <w:tc>
          <w:tcPr>
            <w:tcW w:w="8060" w:type="dxa"/>
            <w:vAlign w:val="bottom"/>
          </w:tcPr>
          <w:p>
            <w:pPr>
              <w:ind w:left="20"/>
              <w:spacing w:after="0"/>
              <w:rPr>
                <w:sz w:val="20"/>
                <w:szCs w:val="20"/>
                <w:color w:val="auto"/>
              </w:rPr>
            </w:pPr>
            <w:r>
              <w:rPr>
                <w:rFonts w:ascii="Arial" w:cs="Arial" w:eastAsia="Arial" w:hAnsi="Arial"/>
                <w:sz w:val="18"/>
                <w:szCs w:val="18"/>
                <w:color w:val="auto"/>
              </w:rPr>
              <w:t>Prepaid maintenance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6,830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Broadband contract acquisition costs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3"/>
        </w:trPr>
        <w:tc>
          <w:tcPr>
            <w:tcW w:w="806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12,874</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1"/>
        </w:trPr>
        <w:tc>
          <w:tcPr>
            <w:tcW w:w="8060" w:type="dxa"/>
            <w:vAlign w:val="bottom"/>
            <w:vMerge w:val="restart"/>
          </w:tcPr>
          <w:p>
            <w:pPr>
              <w:spacing w:after="0"/>
              <w:rPr>
                <w:sz w:val="20"/>
                <w:szCs w:val="20"/>
                <w:color w:val="auto"/>
              </w:rPr>
            </w:pPr>
            <w:r>
              <w:rPr>
                <w:rFonts w:ascii="Arial" w:cs="Arial" w:eastAsia="Arial" w:hAnsi="Arial"/>
                <w:sz w:val="18"/>
                <w:szCs w:val="18"/>
                <w:color w:val="auto"/>
              </w:rPr>
              <w:t>Deferred charges and other assets, classified as long-term assets, included the following:</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80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4"/>
        </w:trPr>
        <w:tc>
          <w:tcPr>
            <w:tcW w:w="8060" w:type="dxa"/>
            <w:vAlign w:val="bottom"/>
          </w:tcPr>
          <w:p>
            <w:pPr>
              <w:ind w:left="20"/>
              <w:spacing w:after="0"/>
              <w:rPr>
                <w:sz w:val="20"/>
                <w:szCs w:val="20"/>
                <w:color w:val="auto"/>
              </w:rPr>
            </w:pPr>
            <w:r>
              <w:rPr>
                <w:rFonts w:ascii="Arial" w:cs="Arial" w:eastAsia="Arial" w:hAnsi="Arial"/>
                <w:sz w:val="18"/>
                <w:szCs w:val="18"/>
                <w:color w:val="auto"/>
              </w:rPr>
              <w:t>Broadband contract acquisition costs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5,716</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41"/>
        </w:trPr>
        <w:tc>
          <w:tcPr>
            <w:tcW w:w="806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37"/>
        </w:trPr>
        <w:tc>
          <w:tcPr>
            <w:tcW w:w="8060" w:type="dxa"/>
            <w:vAlign w:val="bottom"/>
          </w:tcPr>
          <w:p>
            <w:pPr>
              <w:ind w:left="140"/>
              <w:spacing w:after="0"/>
              <w:rPr>
                <w:sz w:val="20"/>
                <w:szCs w:val="20"/>
                <w:color w:val="auto"/>
              </w:rPr>
            </w:pPr>
            <w:r>
              <w:rPr>
                <w:rFonts w:ascii="Arial" w:cs="Arial" w:eastAsia="Arial" w:hAnsi="Arial"/>
                <w:sz w:val="18"/>
                <w:szCs w:val="18"/>
                <w:color w:val="auto"/>
              </w:rPr>
              <w:t>Deferred charges and other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15,557</w:t>
            </w: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4"/>
        </w:trPr>
        <w:tc>
          <w:tcPr>
            <w:tcW w:w="8060" w:type="dxa"/>
            <w:vAlign w:val="bottom"/>
          </w:tcPr>
          <w:p>
            <w:pPr>
              <w:ind w:left="20"/>
              <w:spacing w:after="0"/>
              <w:rPr>
                <w:sz w:val="20"/>
                <w:szCs w:val="20"/>
                <w:color w:val="auto"/>
              </w:rPr>
            </w:pPr>
            <w:r>
              <w:rPr>
                <w:rFonts w:ascii="Arial" w:cs="Arial" w:eastAsia="Arial" w:hAnsi="Arial"/>
                <w:sz w:val="18"/>
                <w:szCs w:val="18"/>
                <w:color w:val="auto"/>
              </w:rPr>
              <w:t>Accrued programming costs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3,142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41"/>
        </w:trPr>
        <w:tc>
          <w:tcPr>
            <w:tcW w:w="8060" w:type="dxa"/>
            <w:vAlign w:val="bottom"/>
          </w:tcPr>
          <w:p>
            <w:pPr>
              <w:ind w:left="20"/>
              <w:spacing w:after="0"/>
              <w:rPr>
                <w:sz w:val="20"/>
                <w:szCs w:val="20"/>
                <w:color w:val="auto"/>
              </w:rPr>
            </w:pPr>
            <w:r>
              <w:rPr>
                <w:rFonts w:ascii="Arial" w:cs="Arial" w:eastAsia="Arial" w:hAnsi="Arial"/>
                <w:sz w:val="18"/>
                <w:szCs w:val="18"/>
                <w:color w:val="auto"/>
              </w:rPr>
              <w:t>Pension plan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9,624</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37"/>
        </w:trPr>
        <w:tc>
          <w:tcPr>
            <w:tcW w:w="8060" w:type="dxa"/>
            <w:vAlign w:val="bottom"/>
          </w:tcPr>
          <w:p>
            <w:pPr>
              <w:ind w:left="140"/>
              <w:spacing w:after="0"/>
              <w:rPr>
                <w:sz w:val="20"/>
                <w:szCs w:val="20"/>
                <w:color w:val="auto"/>
              </w:rPr>
            </w:pPr>
            <w:r>
              <w:rPr>
                <w:rFonts w:ascii="Arial" w:cs="Arial" w:eastAsia="Arial" w:hAnsi="Arial"/>
                <w:sz w:val="18"/>
                <w:szCs w:val="18"/>
                <w:color w:val="auto"/>
              </w:rPr>
              <w:t>Accrued liabilities and other</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12,766</w:t>
            </w: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17,906</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8"/>
                <w:szCs w:val="18"/>
                <w:color w:val="auto"/>
              </w:rPr>
              <w:t>Other liabilities, classified as long-term liabilities, included the following:</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2023</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2"/>
        </w:trPr>
        <w:tc>
          <w:tcPr>
            <w:tcW w:w="8060" w:type="dxa"/>
            <w:vAlign w:val="bottom"/>
          </w:tcPr>
          <w:p>
            <w:pPr>
              <w:ind w:left="20"/>
              <w:spacing w:after="0"/>
              <w:rPr>
                <w:sz w:val="20"/>
                <w:szCs w:val="20"/>
                <w:color w:val="auto"/>
              </w:rPr>
            </w:pPr>
            <w:r>
              <w:rPr>
                <w:rFonts w:ascii="Arial" w:cs="Arial" w:eastAsia="Arial" w:hAnsi="Arial"/>
                <w:sz w:val="18"/>
                <w:szCs w:val="18"/>
                <w:color w:val="auto"/>
              </w:rPr>
              <w:t>Noncurrent portion of deferred lease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18,788</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18,679</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Noncurrent portion of financing leases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4"/>
        </w:trPr>
        <w:tc>
          <w:tcPr>
            <w:tcW w:w="80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806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20,483</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20,218</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2021, Shentel’s Board of Directors adopted a resolution to terminate its pension plan. The Company terminated the pension plan and all benefits were distributed in June 2023 through the combination of lump sum payments and the purchase of non-participating annuity contracts at the option of the pension plan participants. The Company made an additional $2.9 million contribution from its cash balance as a result of the settlement and recognized a settlement gain of $0.7 million in other income (expense).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various broadband network and telecommunications sites, fiber optic cable routes, warehouses, retail stores, and office facilities for use in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200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Classification</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Finance lease cost</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120"/>
              <w:spacing w:after="0"/>
              <w:rPr>
                <w:sz w:val="20"/>
                <w:szCs w:val="20"/>
                <w:color w:val="auto"/>
              </w:rPr>
            </w:pPr>
            <w:r>
              <w:rPr>
                <w:rFonts w:ascii="Arial" w:cs="Arial" w:eastAsia="Arial" w:hAnsi="Arial"/>
                <w:sz w:val="18"/>
                <w:szCs w:val="18"/>
                <w:color w:val="auto"/>
              </w:rPr>
              <w:t>Amortization of leased assets</w:t>
            </w:r>
          </w:p>
        </w:tc>
        <w:tc>
          <w:tcPr>
            <w:tcW w:w="20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238</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20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Operating lease cost</w:t>
            </w:r>
          </w:p>
        </w:tc>
        <w:tc>
          <w:tcPr>
            <w:tcW w:w="2000" w:type="dxa"/>
            <w:vAlign w:val="bottom"/>
          </w:tcPr>
          <w:p>
            <w:pPr>
              <w:ind w:left="20"/>
              <w:spacing w:after="0" w:line="243" w:lineRule="exact"/>
              <w:rPr>
                <w:sz w:val="20"/>
                <w:szCs w:val="20"/>
                <w:color w:val="auto"/>
              </w:rPr>
            </w:pPr>
            <w:r>
              <w:rPr>
                <w:rFonts w:ascii="Arial" w:cs="Arial" w:eastAsia="Arial" w:hAnsi="Arial"/>
                <w:sz w:val="18"/>
                <w:szCs w:val="18"/>
                <w:color w:val="auto"/>
              </w:rPr>
              <w:t>Operating expense</w:t>
            </w:r>
            <w:r>
              <w:rPr>
                <w:rFonts w:ascii="Arial" w:cs="Arial" w:eastAsia="Arial" w:hAnsi="Arial"/>
                <w:sz w:val="23"/>
                <w:szCs w:val="23"/>
                <w:color w:val="auto"/>
                <w:vertAlign w:val="superscript"/>
              </w:rPr>
              <w:t>1</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Lease cost</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w:t>
      </w:r>
    </w:p>
    <w:p>
      <w:pPr>
        <w:spacing w:after="0" w:line="1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Operating lease expense is presented in cost of service or selling, general and administrative expense based on the use of the relevant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expected maturity of lease liabilities as of June 30, 2023:</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Operating Leases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Finance Leases</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Total</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2,534</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5,750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5,928</w:t>
            </w:r>
          </w:p>
        </w:tc>
      </w:tr>
      <w:tr>
        <w:trPr>
          <w:trHeight w:val="242"/>
        </w:trPr>
        <w:tc>
          <w:tcPr>
            <w:tcW w:w="504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5,421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5,601</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4,601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4,754</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3,750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3,905</w:t>
            </w:r>
          </w:p>
        </w:tc>
      </w:tr>
      <w:tr>
        <w:trPr>
          <w:trHeight w:val="244"/>
        </w:trPr>
        <w:tc>
          <w:tcPr>
            <w:tcW w:w="5040" w:type="dxa"/>
            <w:vAlign w:val="bottom"/>
          </w:tcPr>
          <w:p>
            <w:pPr>
              <w:spacing w:after="0"/>
              <w:rPr>
                <w:sz w:val="20"/>
                <w:szCs w:val="20"/>
                <w:color w:val="auto"/>
              </w:rPr>
            </w:pPr>
            <w:r>
              <w:rPr>
                <w:rFonts w:ascii="Arial" w:cs="Arial" w:eastAsia="Arial" w:hAnsi="Arial"/>
                <w:sz w:val="18"/>
                <w:szCs w:val="18"/>
                <w:color w:val="auto"/>
              </w:rPr>
              <w:t>2028 and thereafter</w:t>
            </w: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64,996</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66,355</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87,052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2,080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89,132</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(34,669)</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52,948</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14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54,463</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operating and finance leases was as follows: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20" w:type="dxa"/>
            <w:vAlign w:val="bottom"/>
          </w:tcPr>
          <w:p>
            <w:pPr>
              <w:spacing w:after="0"/>
              <w:rPr>
                <w:sz w:val="18"/>
                <w:szCs w:val="18"/>
                <w:color w:val="auto"/>
              </w:rPr>
            </w:pPr>
          </w:p>
        </w:tc>
        <w:tc>
          <w:tcPr>
            <w:tcW w:w="1220" w:type="dxa"/>
            <w:vAlign w:val="bottom"/>
          </w:tcPr>
          <w:p>
            <w:pPr>
              <w:ind w:left="520"/>
              <w:spacing w:after="0"/>
              <w:rPr>
                <w:sz w:val="20"/>
                <w:szCs w:val="20"/>
                <w:color w:val="auto"/>
              </w:rPr>
            </w:pPr>
            <w:r>
              <w:rPr>
                <w:rFonts w:ascii="Arial" w:cs="Arial" w:eastAsia="Arial" w:hAnsi="Arial"/>
                <w:sz w:val="18"/>
                <w:szCs w:val="18"/>
                <w:b w:val="1"/>
                <w:bCs w:val="1"/>
                <w:color w:val="auto"/>
                <w:w w:val="94"/>
              </w:rPr>
              <w:t>June 30,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9040" w:type="dxa"/>
            <w:vAlign w:val="bottom"/>
            <w:gridSpan w:val="2"/>
          </w:tcPr>
          <w:p>
            <w:pPr>
              <w:ind w:left="848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7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Operating leases</w:t>
            </w:r>
          </w:p>
        </w:tc>
        <w:tc>
          <w:tcPr>
            <w:tcW w:w="1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30"/>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Weighted average remaining lease term (years)</w:t>
            </w:r>
          </w:p>
        </w:tc>
        <w:tc>
          <w:tcPr>
            <w:tcW w:w="480" w:type="dxa"/>
            <w:vAlign w:val="bottom"/>
          </w:tcPr>
          <w:p>
            <w:pPr>
              <w:jc w:val="right"/>
              <w:spacing w:after="0"/>
              <w:rPr>
                <w:sz w:val="20"/>
                <w:szCs w:val="20"/>
                <w:color w:val="auto"/>
              </w:rPr>
            </w:pPr>
            <w:r>
              <w:rPr>
                <w:rFonts w:ascii="Arial" w:cs="Arial" w:eastAsia="Arial" w:hAnsi="Arial"/>
                <w:sz w:val="18"/>
                <w:szCs w:val="18"/>
                <w:color w:val="auto"/>
              </w:rPr>
              <w:t>19.4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Weighted average discount rate</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4.8 %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42"/>
        </w:trPr>
        <w:tc>
          <w:tcPr>
            <w:tcW w:w="904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0"/>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Weighted average remaining lease term (years)</w:t>
            </w: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Weighted average discount rate</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5.2 %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5.2 %</w:t>
            </w:r>
          </w:p>
        </w:tc>
      </w:tr>
    </w:tbl>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center"/>
              <w:ind w:right="23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center"/>
              <w:ind w:right="230"/>
              <w:spacing w:after="0"/>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5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6"/>
                <w:szCs w:val="16"/>
                <w:b w:val="1"/>
                <w:bCs w:val="1"/>
                <w:color w:val="auto"/>
                <w:w w:val="87"/>
              </w:rPr>
              <w:t>June 30,</w:t>
            </w:r>
          </w:p>
        </w:tc>
        <w:tc>
          <w:tcPr>
            <w:tcW w:w="1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6"/>
                <w:szCs w:val="16"/>
                <w:b w:val="1"/>
                <w:bCs w:val="1"/>
                <w:color w:val="auto"/>
                <w:w w:val="87"/>
              </w:rPr>
              <w:t>June 30,</w:t>
            </w:r>
          </w:p>
        </w:tc>
        <w:tc>
          <w:tcPr>
            <w:tcW w:w="1060" w:type="dxa"/>
            <w:vAlign w:val="bottom"/>
            <w:tcBorders>
              <w:bottom w:val="single" w:sz="8" w:color="auto"/>
            </w:tcBorders>
          </w:tcPr>
          <w:p>
            <w:pPr>
              <w:spacing w:after="0"/>
              <w:rPr>
                <w:sz w:val="18"/>
                <w:szCs w:val="18"/>
                <w:color w:val="auto"/>
              </w:rPr>
            </w:pPr>
          </w:p>
        </w:tc>
      </w:tr>
      <w:tr>
        <w:trPr>
          <w:trHeight w:val="239"/>
        </w:trPr>
        <w:tc>
          <w:tcPr>
            <w:tcW w:w="5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Cash paid for operating lease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1,497</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1,511</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3,103</w:t>
            </w:r>
          </w:p>
        </w:tc>
      </w:tr>
      <w:tr>
        <w:trPr>
          <w:trHeight w:val="176"/>
        </w:trPr>
        <w:tc>
          <w:tcPr>
            <w:tcW w:w="5100" w:type="dxa"/>
            <w:vAlign w:val="bottom"/>
          </w:tcPr>
          <w:p>
            <w:pPr>
              <w:spacing w:after="0" w:line="176" w:lineRule="exact"/>
              <w:rPr>
                <w:sz w:val="20"/>
                <w:szCs w:val="20"/>
                <w:color w:val="auto"/>
              </w:rPr>
            </w:pPr>
            <w:r>
              <w:rPr>
                <w:rFonts w:ascii="Arial" w:cs="Arial" w:eastAsia="Arial" w:hAnsi="Arial"/>
                <w:sz w:val="18"/>
                <w:szCs w:val="18"/>
                <w:color w:val="auto"/>
                <w:w w:val="97"/>
              </w:rPr>
              <w:t>Operating lease right-of-use assets obtained in exchange for new</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8"/>
        </w:trPr>
        <w:tc>
          <w:tcPr>
            <w:tcW w:w="5100" w:type="dxa"/>
            <w:vAlign w:val="bottom"/>
          </w:tcPr>
          <w:p>
            <w:pPr>
              <w:spacing w:after="0" w:line="189" w:lineRule="exact"/>
              <w:rPr>
                <w:sz w:val="20"/>
                <w:szCs w:val="20"/>
                <w:color w:val="auto"/>
              </w:rPr>
            </w:pPr>
            <w:r>
              <w:rPr>
                <w:rFonts w:ascii="Arial" w:cs="Arial" w:eastAsia="Arial" w:hAnsi="Arial"/>
                <w:sz w:val="18"/>
                <w:szCs w:val="18"/>
                <w:color w:val="auto"/>
              </w:rPr>
              <w:t>lease liabilities (includes new leases or modification of existing</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leases)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recognized $4.7 million and $4.4 million of operating lease revenue for the three months ended June 30, 2023 and 2022, respectively, and $9.2 million and $9.8 million of operating lease revenue for the six months ended June 30, 2023 and 2022, respectively, related to the cell site colocation space and dedicated fiber optic strands that we lease to our customers, which is included in Service revenue and other in the unaudited condensed consolidated statements of comprehensive income (loss). Substantially all of our lease revenue relates to fixed lease payments.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Below is a summary of our minimum rental receipts under the lease agreements in place as of June 30, 2023:</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7"/>
        </w:trPr>
        <w:tc>
          <w:tcPr>
            <w:tcW w:w="9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Operating Leases</w:t>
            </w:r>
          </w:p>
        </w:tc>
      </w:tr>
      <w:tr>
        <w:trPr>
          <w:trHeight w:val="224"/>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8,093</w:t>
            </w:r>
          </w:p>
        </w:tc>
      </w:tr>
      <w:tr>
        <w:trPr>
          <w:trHeight w:val="241"/>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15,110</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14,006</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10,941</w:t>
            </w:r>
          </w:p>
        </w:tc>
      </w:tr>
      <w:tr>
        <w:trPr>
          <w:trHeight w:val="242"/>
        </w:trPr>
        <w:tc>
          <w:tcPr>
            <w:tcW w:w="9260" w:type="dxa"/>
            <w:vAlign w:val="bottom"/>
          </w:tcPr>
          <w:p>
            <w:pPr>
              <w:ind w:left="2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9,425</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22,794</w:t>
            </w:r>
          </w:p>
        </w:tc>
      </w:tr>
      <w:tr>
        <w:trPr>
          <w:trHeight w:val="236"/>
        </w:trPr>
        <w:tc>
          <w:tcPr>
            <w:tcW w:w="9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80,369</w:t>
            </w:r>
          </w:p>
        </w:tc>
      </w:tr>
      <w:tr>
        <w:trPr>
          <w:trHeight w:val="21"/>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Credit Agreement, dated July 1, 2021 (the “Credit Agreement”) contains (i) a $100 million, five-year undrawn revolving credit facility (the “Revolver”), (ii) a $150 million five-year delayed draw amortizing term loan (“Term Loan A-1”) and (iii) a $150 million seven-year delayed draw amortizing term loan (“Term Loan A-2” and collectively with Term Loan A-1, the “Term Loans”). The following loans were outstanding under the Credit Agreement:</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Term loan A-1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62,500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37,500</w:t>
            </w:r>
          </w:p>
        </w:tc>
      </w:tr>
      <w:tr>
        <w:trPr>
          <w:trHeight w:val="244"/>
        </w:trPr>
        <w:tc>
          <w:tcPr>
            <w:tcW w:w="8000" w:type="dxa"/>
            <w:vAlign w:val="bottom"/>
          </w:tcPr>
          <w:p>
            <w:pPr>
              <w:spacing w:after="0"/>
              <w:rPr>
                <w:sz w:val="20"/>
                <w:szCs w:val="20"/>
                <w:color w:val="auto"/>
              </w:rPr>
            </w:pPr>
            <w:r>
              <w:rPr>
                <w:rFonts w:ascii="Arial" w:cs="Arial" w:eastAsia="Arial" w:hAnsi="Arial"/>
                <w:sz w:val="18"/>
                <w:szCs w:val="18"/>
                <w:color w:val="auto"/>
              </w:rPr>
              <w:t>Term loan A-2</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w:t>
            </w: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Less: unamortized loan fees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36"/>
        </w:trPr>
        <w:tc>
          <w:tcPr>
            <w:tcW w:w="8000" w:type="dxa"/>
            <w:vAlign w:val="bottom"/>
          </w:tcPr>
          <w:p>
            <w:pPr>
              <w:spacing w:after="0"/>
              <w:rPr>
                <w:sz w:val="20"/>
                <w:szCs w:val="20"/>
                <w:color w:val="auto"/>
              </w:rPr>
            </w:pPr>
            <w:r>
              <w:rPr>
                <w:rFonts w:ascii="Arial" w:cs="Arial" w:eastAsia="Arial" w:hAnsi="Arial"/>
                <w:sz w:val="18"/>
                <w:szCs w:val="18"/>
                <w:color w:val="auto"/>
              </w:rPr>
              <w:t>Total debt, net of unamortized loan fees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124,851</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74,954</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2023, Shentel amended the Credit Agreement resulting in (a) a change of the floating index rate from the one-month term London Inter-Bank Offered Rate (“LIBOR”) to the one-month term Secured Overnight Financing Rate (“SOFR”), (b) an extension of the borrowing deadline under the Term Loans from June 30, 2023 to December 31, 2023, and (c) an extension of the first principal repayment date for the Term Loans from September 30, 2023 to March 31, 2024. Management evaluated the amendment and concluded that the amendment event represents a modification of the existing Credit Agreement; therefore, modification accounting was applied.</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Both Term Loan A-1 and Term Loan A-2 bore interest at one-month LIBOR plus a margin of 1.50% until May 2023 and now bear interest at one-month term SOFR plus a margin of 1.50%. The margin of 1.50% is variable and determined by the Company’s net leverage ratio. The interest rate was 6.64% and 5.89% at June 30, 2023 and December 31, 2022, respectively. The Company’s cash payments for interest were $1.8 million during the three months ended June 30, 2023 and $3.1 million during the six months ended June 30, 2023. Shentel had no debt outstanding during the three and six months ended June 30, 2022; therefore, the Company made no interest payments during the three and six months ended June 30, 2022. Shentel is charged commitment fees on unutilized portions of its Revolver and Term Loans. The Company recorded $0.1 million and $0.2 million related to these fees for the three months ended June 30, 2023 and 2022, respectively, and $0.3 million and $0.4 million related to these fees for the six months ended June 30, 2023 and 2022, respectively, which is included in other income (expense), net in the unaudited condensed consolidated statements of comprehensive income (loss).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a borrowing deadline of December 31, 2023, after which the Company will not be able to borrow against the undrawn portion of the Term Loans.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various covenants, including total net leverage ratio and debt service coverage ratio financial covenants.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Shentel’s Term Loans require quarterly payments based on a percentage of the outstanding balance. Based on the outstanding balance as of June 30, 2023, Term Loan A-1 requires quarterly principal repayments of $0.4 million from March 31, 2024 through June 30, 2024; then increasing to $0.8 million quarterly from September 30, 2024 through March 31, 2026, with the remaining balance due June 30, 2026. Based on the outstanding balance as of June 30, 2023, Term Loan A-2 requires quarterly principal repayments of $0.2 million from March 31, 2024 through March 31, 2028, with the remaining balance due June 30, 2028.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The following table summarizes the expected payments of Shentel’s outstanding borrowings as of June 30, 2023:</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00"/>
        </w:trPr>
        <w:tc>
          <w:tcPr>
            <w:tcW w:w="9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w:t>
            </w:r>
          </w:p>
        </w:tc>
      </w:tr>
      <w:tr>
        <w:trPr>
          <w:trHeight w:val="224"/>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2,969</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57,656</w:t>
            </w:r>
          </w:p>
        </w:tc>
      </w:tr>
      <w:tr>
        <w:trPr>
          <w:trHeight w:val="242"/>
        </w:trPr>
        <w:tc>
          <w:tcPr>
            <w:tcW w:w="9260" w:type="dxa"/>
            <w:vAlign w:val="bottom"/>
          </w:tcPr>
          <w:p>
            <w:pPr>
              <w:ind w:left="20"/>
              <w:spacing w:after="0"/>
              <w:rPr>
                <w:sz w:val="20"/>
                <w:szCs w:val="20"/>
                <w:color w:val="auto"/>
              </w:rPr>
            </w:pPr>
            <w:r>
              <w:rPr>
                <w:rFonts w:ascii="Arial" w:cs="Arial" w:eastAsia="Arial" w:hAnsi="Arial"/>
                <w:sz w:val="18"/>
                <w:szCs w:val="18"/>
                <w:color w:val="auto"/>
              </w:rPr>
              <w:t>2027</w:t>
            </w:r>
          </w:p>
        </w:tc>
        <w:tc>
          <w:tcPr>
            <w:tcW w:w="4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2028</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r>
      <w:tr>
        <w:trPr>
          <w:trHeight w:val="236"/>
        </w:trPr>
        <w:tc>
          <w:tcPr>
            <w:tcW w:w="926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w:t>
            </w:r>
          </w:p>
        </w:tc>
      </w:tr>
      <w:tr>
        <w:trPr>
          <w:trHeight w:val="21"/>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is fully secured by a pledge and unconditional guarantee from the Company and all of its subsidiaries, except Shenandoah Telephone Company. This provides the lenders a security interest in substantially all of the assets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and Hedging</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2023, Shentel entered into pay fixed (2.90%), receive variable (one-month term SOFR) interest rate swaps totaling $150.0 million of notional principal (the “Swaps”). The Swaps contain monthly payment terms beginning in May 2024, which extend through their maturity dates in June 2026. The Swaps are designated as a cash flow hedge, representing 50% of the Company’s expected outstanding debt (including expected future borrowings under the Term Loans). The Company uses the Swaps to manage its exposure to interest rate risk for its long-term variable-rate Term Loans.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presents the fair value of the Swaps as well as their classification in the unaudited condensed consolidated balance sheets. The fair value of these instruments was estimated using an income approach and observable market inputs (Level 2):</w:t>
      </w:r>
    </w:p>
    <w:tbl>
      <w:tblPr>
        <w:tblLayout w:type="fixed"/>
        <w:tblInd w:w="20" w:type="dxa"/>
        <w:tblCellMar>
          <w:top w:w="0" w:type="dxa"/>
          <w:left w:w="0" w:type="dxa"/>
          <w:bottom w:w="0" w:type="dxa"/>
          <w:right w:w="0" w:type="dxa"/>
        </w:tblCellMar>
      </w:tblPr>
      <w:tr>
        <w:trPr>
          <w:trHeight w:val="190"/>
        </w:trPr>
        <w:tc>
          <w:tcPr>
            <w:tcW w:w="9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jc w:val="right"/>
              <w:ind w:right="570"/>
              <w:spacing w:after="0" w:line="190" w:lineRule="exact"/>
              <w:rPr>
                <w:sz w:val="20"/>
                <w:szCs w:val="20"/>
                <w:color w:val="auto"/>
              </w:rPr>
            </w:pPr>
            <w:r>
              <w:rPr>
                <w:rFonts w:ascii="Arial" w:cs="Arial" w:eastAsia="Arial" w:hAnsi="Arial"/>
                <w:sz w:val="18"/>
                <w:szCs w:val="18"/>
                <w:b w:val="1"/>
                <w:bCs w:val="1"/>
                <w:color w:val="auto"/>
              </w:rPr>
              <w:t>June 30,</w:t>
            </w:r>
          </w:p>
        </w:tc>
      </w:tr>
      <w:tr>
        <w:trPr>
          <w:trHeight w:val="234"/>
        </w:trPr>
        <w:tc>
          <w:tcPr>
            <w:tcW w:w="9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r>
      <w:tr>
        <w:trPr>
          <w:trHeight w:val="210"/>
        </w:trPr>
        <w:tc>
          <w:tcPr>
            <w:tcW w:w="9240" w:type="dxa"/>
            <w:vAlign w:val="bottom"/>
          </w:tcPr>
          <w:p>
            <w:pPr>
              <w:spacing w:after="0"/>
              <w:rPr>
                <w:sz w:val="20"/>
                <w:szCs w:val="20"/>
                <w:color w:val="auto"/>
              </w:rPr>
            </w:pPr>
            <w:r>
              <w:rPr>
                <w:rFonts w:ascii="Arial" w:cs="Arial" w:eastAsia="Arial" w:hAnsi="Arial"/>
                <w:sz w:val="18"/>
                <w:szCs w:val="18"/>
                <w:color w:val="auto"/>
              </w:rPr>
              <w:t>Balance sheet line item of derivative financial instruments:</w:t>
            </w: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1"/>
        </w:trPr>
        <w:tc>
          <w:tcPr>
            <w:tcW w:w="924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9240" w:type="dxa"/>
            <w:vAlign w:val="bottom"/>
          </w:tcPr>
          <w:p>
            <w:pPr>
              <w:ind w:left="120"/>
              <w:spacing w:after="0"/>
              <w:rPr>
                <w:sz w:val="20"/>
                <w:szCs w:val="20"/>
                <w:color w:val="auto"/>
              </w:rPr>
            </w:pPr>
            <w:r>
              <w:rPr>
                <w:rFonts w:ascii="Arial" w:cs="Arial" w:eastAsia="Arial" w:hAnsi="Arial"/>
                <w:sz w:val="18"/>
                <w:szCs w:val="18"/>
                <w:color w:val="auto"/>
              </w:rPr>
              <w:t>Deferred charges and other assets</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r>
      <w:tr>
        <w:trPr>
          <w:trHeight w:val="237"/>
        </w:trPr>
        <w:tc>
          <w:tcPr>
            <w:tcW w:w="9240" w:type="dxa"/>
            <w:vAlign w:val="bottom"/>
          </w:tcPr>
          <w:p>
            <w:pPr>
              <w:ind w:left="200"/>
              <w:spacing w:after="0"/>
              <w:rPr>
                <w:sz w:val="20"/>
                <w:szCs w:val="20"/>
                <w:color w:val="auto"/>
              </w:rPr>
            </w:pPr>
            <w:r>
              <w:rPr>
                <w:rFonts w:ascii="Arial" w:cs="Arial" w:eastAsia="Arial" w:hAnsi="Arial"/>
                <w:sz w:val="18"/>
                <w:szCs w:val="18"/>
                <w:color w:val="auto"/>
              </w:rPr>
              <w:t>Total derivatives designated as hedging instruments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w:t>
            </w:r>
          </w:p>
        </w:tc>
      </w:tr>
      <w:tr>
        <w:trPr>
          <w:trHeight w:val="20"/>
        </w:trPr>
        <w:tc>
          <w:tcPr>
            <w:tcW w:w="9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hedge was determined to be highly effective and therefore all change in the fair value of the swaps was recognized through other comprehensive income. The Company recognized $2.1 million of unrealized gains, net of deferred taxes totaling $0.7 million, for the three and six months ended June 30, 2023. Since the Company did not have outstanding interest rate swaps in the prior year period, there were no gains or losses recorded for the three or six months ended June 30, 2022. Shentel expects to begin reclassifying amounts related to the Swaps from accumulated other comprehensive income to interest expense in May 2024, when the payment period of the Swaps, and thus the period containing the hedged transactions, begins.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files U.S. federal income tax returns and various state income tax returns. The Company is not subject to any state or federal income tax audits as of June 30, 2023. The Company’s income tax returns are generally open to examination from 2019 forward and the net operating losses acquired in the acquisition of nTelos are open to examination from 2002 forward.</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rates for the three and six months ended June 30, 2023 and 2022, differ from the statutory U.S. federal income tax rate of 21% primarily due to the state income taxes, excess tax benefits and other discrete items.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Expected tax expense (benefit) at federal statutory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530"/>
              <w:spacing w:after="0"/>
              <w:rPr>
                <w:sz w:val="20"/>
                <w:szCs w:val="20"/>
                <w:color w:val="auto"/>
              </w:rPr>
            </w:pPr>
            <w:r>
              <w:rPr>
                <w:rFonts w:ascii="Arial" w:cs="Arial" w:eastAsia="Arial" w:hAnsi="Arial"/>
                <w:sz w:val="18"/>
                <w:szCs w:val="18"/>
                <w:color w:val="auto"/>
                <w:w w:val="95"/>
              </w:rPr>
              <w:t>(783)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510"/>
              <w:spacing w:after="0"/>
              <w:rPr>
                <w:sz w:val="20"/>
                <w:szCs w:val="20"/>
                <w:color w:val="auto"/>
              </w:rPr>
            </w:pPr>
            <w:r>
              <w:rPr>
                <w:rFonts w:ascii="Arial" w:cs="Arial" w:eastAsia="Arial" w:hAnsi="Arial"/>
                <w:sz w:val="18"/>
                <w:szCs w:val="18"/>
                <w:color w:val="auto"/>
                <w:w w:val="95"/>
              </w:rPr>
              <w:t>(898)</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State income tax expense (benefit), net of federal tax effect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center"/>
              <w:ind w:left="530"/>
              <w:spacing w:after="0"/>
              <w:rPr>
                <w:sz w:val="20"/>
                <w:szCs w:val="20"/>
                <w:color w:val="auto"/>
              </w:rPr>
            </w:pPr>
            <w:r>
              <w:rPr>
                <w:rFonts w:ascii="Arial" w:cs="Arial" w:eastAsia="Arial" w:hAnsi="Arial"/>
                <w:sz w:val="18"/>
                <w:szCs w:val="18"/>
                <w:color w:val="auto"/>
                <w:w w:val="95"/>
              </w:rPr>
              <w:t>(181)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center"/>
              <w:ind w:left="510"/>
              <w:spacing w:after="0"/>
              <w:rPr>
                <w:sz w:val="20"/>
                <w:szCs w:val="20"/>
                <w:color w:val="auto"/>
              </w:rPr>
            </w:pPr>
            <w:r>
              <w:rPr>
                <w:rFonts w:ascii="Arial" w:cs="Arial" w:eastAsia="Arial" w:hAnsi="Arial"/>
                <w:sz w:val="18"/>
                <w:szCs w:val="18"/>
                <w:color w:val="auto"/>
                <w:w w:val="95"/>
              </w:rPr>
              <w:t>(213)</w:t>
            </w: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8"/>
                <w:szCs w:val="18"/>
                <w:color w:val="auto"/>
                <w:w w:val="97"/>
              </w:rPr>
              <w:t>Excess tax deficiency from share-based compensation and other</w:t>
            </w: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vMerge w:val="restart"/>
          </w:tcPr>
          <w:p>
            <w:pPr>
              <w:jc w:val="center"/>
              <w:ind w:left="550"/>
              <w:spacing w:after="0"/>
              <w:rPr>
                <w:sz w:val="20"/>
                <w:szCs w:val="20"/>
                <w:color w:val="auto"/>
              </w:rPr>
            </w:pPr>
            <w:r>
              <w:rPr>
                <w:rFonts w:ascii="Arial" w:cs="Arial" w:eastAsia="Arial" w:hAnsi="Arial"/>
                <w:sz w:val="18"/>
                <w:szCs w:val="18"/>
                <w:color w:val="auto"/>
                <w:w w:val="86"/>
              </w:rPr>
              <w:t>463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vMerge w:val="restart"/>
          </w:tcPr>
          <w:p>
            <w:pPr>
              <w:jc w:val="center"/>
              <w:ind w:left="530"/>
              <w:spacing w:after="0"/>
              <w:rPr>
                <w:sz w:val="20"/>
                <w:szCs w:val="20"/>
                <w:color w:val="auto"/>
              </w:rPr>
            </w:pPr>
            <w:r>
              <w:rPr>
                <w:rFonts w:ascii="Arial" w:cs="Arial" w:eastAsia="Arial" w:hAnsi="Arial"/>
                <w:sz w:val="18"/>
                <w:szCs w:val="18"/>
                <w:color w:val="auto"/>
                <w:w w:val="86"/>
              </w:rPr>
              <w:t>663</w:t>
            </w:r>
          </w:p>
        </w:tc>
        <w:tc>
          <w:tcPr>
            <w:tcW w:w="0" w:type="dxa"/>
            <w:vAlign w:val="bottom"/>
          </w:tcPr>
          <w:p>
            <w:pPr>
              <w:spacing w:after="0"/>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expense,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5"/>
              </w:rPr>
              <w:t>(501)</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5"/>
              </w:rPr>
              <w:t>(448)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received $25.6 million in cash refunds for income taxes for the six months ended June 30, 2023. The Company made $0.1 million in cash payments for income taxes for the six months ended June 30,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Compensation and Earnings (Loss) per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approximately 385,000 restricted stock units (“RSUs”) at a weighted average grant price of $19.05 to employees and directors during the six months ended June 30, 2023. Approximately 190,000 RSUs with a weighted average grant price of $25.01 vested and 8,000 RSUs with a weighted average grant price of $21.64 were forfeited during the six months ended June 30, 2023. The total fair value of RSUs vested was $4.8 million during the six months ended June 30, 2023. Approximately 837,000 RSUs with a weighted average grant price of $21.64 remained outstanding as of June 30, 2023.</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granted approximately 134,000 Relative Total Shareholder Return RSUs (“RTSRs”) awards at a weighted average grant price of $23.64 to employees during the six months ended June 30, 2023. Approximately 30,000 RTSRs with a weighted average grant price of $56.32 vested and no RTSRs were forfeited during the six months ended June 30, 2023. The total fair value of RTSRs vested was $1.1 million during the six months ended June 30, 2023. Approximately 293,000 RTSRs with a weighted average grant price of $25.80 remained outstanding as of June 30, 2023. The amount of RTSRs issued are determined on the vesting date based upon the Company’s stock performance compared to a group of peer companies. The vested amounts above exclude the vesting date adjustment and issuance of RTSRs based on actual performance, which totaled approximately 13,000 RTSRs, resulting in lower shares issued upon vesting of the RTSRs than originally granted.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Stock-based compensation expense was as follows: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4"/>
        </w:trPr>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4"/>
        </w:trPr>
        <w:tc>
          <w:tcPr>
            <w:tcW w:w="51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5,809</w:t>
            </w:r>
          </w:p>
        </w:tc>
      </w:tr>
      <w:tr>
        <w:trPr>
          <w:trHeight w:val="242"/>
        </w:trPr>
        <w:tc>
          <w:tcPr>
            <w:tcW w:w="5120" w:type="dxa"/>
            <w:vAlign w:val="bottom"/>
          </w:tcPr>
          <w:p>
            <w:pPr>
              <w:ind w:left="20"/>
              <w:spacing w:after="0"/>
              <w:rPr>
                <w:sz w:val="20"/>
                <w:szCs w:val="20"/>
                <w:color w:val="auto"/>
              </w:rPr>
            </w:pPr>
            <w:r>
              <w:rPr>
                <w:rFonts w:ascii="Arial" w:cs="Arial" w:eastAsia="Arial" w:hAnsi="Arial"/>
                <w:sz w:val="18"/>
                <w:szCs w:val="18"/>
                <w:color w:val="auto"/>
              </w:rPr>
              <w:t>Capitalized stock compensation</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Stock compensation expense,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was $13.2 million of total unrecognized compensation cost related to non-vested incentive awards which is expected to be recognized over weighted 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the treasury stock method to calculate the impact on diluted earnings (loss) per share that potentially dilutive stock-based compensation awards have. The following table indicates the computation of basic and diluted earnings (loss) per share:</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0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Calculation of net income (loss) per share:</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1,790</w:t>
            </w:r>
          </w:p>
        </w:tc>
        <w:tc>
          <w:tcPr>
            <w:tcW w:w="54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(3,225)</w:t>
            </w:r>
          </w:p>
        </w:tc>
        <w:tc>
          <w:tcPr>
            <w:tcW w:w="4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3,856</w:t>
            </w:r>
          </w:p>
        </w:tc>
        <w:tc>
          <w:tcPr>
            <w:tcW w:w="52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29"/>
        </w:trPr>
        <w:tc>
          <w:tcPr>
            <w:tcW w:w="50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3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50,366</w:t>
            </w:r>
          </w:p>
        </w:tc>
        <w:tc>
          <w:tcPr>
            <w:tcW w:w="1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50,157</w:t>
            </w:r>
          </w:p>
        </w:tc>
        <w:tc>
          <w:tcPr>
            <w:tcW w:w="1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50,330</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50,133</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5080" w:type="dxa"/>
            <w:vAlign w:val="bottom"/>
            <w:vMerge w:val="restart"/>
          </w:tcPr>
          <w:p>
            <w:pPr>
              <w:spacing w:after="0"/>
              <w:rPr>
                <w:sz w:val="20"/>
                <w:szCs w:val="20"/>
                <w:color w:val="auto"/>
              </w:rPr>
            </w:pPr>
            <w:r>
              <w:rPr>
                <w:rFonts w:ascii="Arial" w:cs="Arial" w:eastAsia="Arial" w:hAnsi="Arial"/>
                <w:sz w:val="18"/>
                <w:szCs w:val="18"/>
                <w:color w:val="auto"/>
              </w:rPr>
              <w:t>Effect of stock-based compensation awards outstanding:</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50,366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50,157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50,133</w:t>
            </w:r>
          </w:p>
        </w:tc>
        <w:tc>
          <w:tcPr>
            <w:tcW w:w="0" w:type="dxa"/>
            <w:vAlign w:val="bottom"/>
          </w:tcPr>
          <w:p>
            <w:pPr>
              <w:spacing w:after="0"/>
              <w:rPr>
                <w:sz w:val="1"/>
                <w:szCs w:val="1"/>
                <w:color w:val="auto"/>
              </w:rPr>
            </w:pPr>
          </w:p>
        </w:tc>
      </w:tr>
      <w:tr>
        <w:trPr>
          <w:trHeight w:val="244"/>
        </w:trPr>
        <w:tc>
          <w:tcPr>
            <w:tcW w:w="5080" w:type="dxa"/>
            <w:vAlign w:val="bottom"/>
          </w:tcPr>
          <w:p>
            <w:pPr>
              <w:ind w:left="120"/>
              <w:spacing w:after="0"/>
              <w:rPr>
                <w:sz w:val="20"/>
                <w:szCs w:val="20"/>
                <w:color w:val="auto"/>
              </w:rPr>
            </w:pPr>
            <w:r>
              <w:rPr>
                <w:rFonts w:ascii="Arial" w:cs="Arial" w:eastAsia="Arial" w:hAnsi="Arial"/>
                <w:sz w:val="18"/>
                <w:szCs w:val="18"/>
                <w:color w:val="auto"/>
              </w:rPr>
              <w:t>Effect from dilutive shares and options outstanding</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50,693</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50,157</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50,133</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approximately 119,000 and 411,000 anti-dilutive equity awards outstanding during the three and six months ended June 30, 2023, respectively. There were approximately 212,000 and 155,000 potentially dilutive equity awards for the three and six months ended June 30, 2022; however, these securities were excluded from the calculation of diluted weighted average shares outstanding due to the fact that they were anti-dilutive as a result of the Company’s net loss for the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Government Grants</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six months ended June 30, 2023, Shentel was awarded an additional $16.1 million in new grants to strategically expand the Company’s broadband network in order to provide broadband services to unserved residences. The additional grants consisted of $9.4 million awarded under the Connect Maryland Network Infrastructure Grant Program in Maryland, $6.3 million awarded under the Virginia Telecommunications Initiative in Virginia, and $0.4 million under the Line Extension Advancement and Development program in West Virginia. The Company recognizes grant receivables at the time it becomes probable that the Company will be eligible to receive the grant, which is estimated to correspond with the date when specified build-out milestones are achieved. The Company has not recognized any material amounts under these programs as of June 30, 2023 and December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 xml:space="preserve">We are committed to make payments to satisfy our lease liabilities. The scheduled payments under those obligations are summarized in Note 7, </w:t>
      </w:r>
      <w:r>
        <w:rPr>
          <w:rFonts w:ascii="Arial" w:cs="Arial" w:eastAsia="Arial" w:hAnsi="Arial"/>
          <w:sz w:val="17"/>
          <w:szCs w:val="17"/>
          <w:i w:val="1"/>
          <w:iCs w:val="1"/>
          <w:color w:val="auto"/>
        </w:rPr>
        <w:t>Leases</w:t>
      </w:r>
      <w:r>
        <w:rPr>
          <w:rFonts w:ascii="Arial" w:cs="Arial" w:eastAsia="Arial" w:hAnsi="Arial"/>
          <w:sz w:val="17"/>
          <w:szCs w:val="17"/>
          <w:color w:val="auto"/>
        </w:rPr>
        <w:t>. We also have outstanding unconditional purchase commitments to procure marketing services and IT software licenses through 2026.</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presently expect any litigation matters to have a material adverse impact on the Company’s financial position, results of operations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Shentel has presented Residential &amp; SMB - Cable Markets and Residential &amp; SMB - Glo Fiber Markets separately for the three and six months ended June 30, 2023. These revenues were previously reported in one line under the description “Residential &amp; SMB”. Shentel has amended the presentation for the three and six months ended June 30, 2022 for comparability.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i w:val="1"/>
                <w:iCs w:val="1"/>
                <w:color w:val="0000FF"/>
                <w:w w:val="88"/>
              </w:rPr>
              <w:t>Table of Contents</w:t>
            </w:r>
          </w:p>
        </w:tc>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June 30, 2023:</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Broadband</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Tower</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Residential &amp; SMB - Cable Markets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44,403</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44,403</w:t>
            </w:r>
          </w:p>
        </w:tc>
        <w:tc>
          <w:tcPr>
            <w:tcW w:w="0" w:type="dxa"/>
            <w:vAlign w:val="bottom"/>
          </w:tcPr>
          <w:p>
            <w:pPr>
              <w:spacing w:after="0"/>
              <w:rPr>
                <w:sz w:val="1"/>
                <w:szCs w:val="1"/>
                <w:color w:val="auto"/>
              </w:rPr>
            </w:pPr>
          </w:p>
        </w:tc>
      </w:tr>
      <w:tr>
        <w:trPr>
          <w:trHeight w:val="242"/>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Residential &amp; SMB - Glo Fiber Markets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8,164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8,164</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10,253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22"/>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66,626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71,341</w:t>
            </w:r>
          </w:p>
        </w:tc>
        <w:tc>
          <w:tcPr>
            <w:tcW w:w="0" w:type="dxa"/>
            <w:vAlign w:val="bottom"/>
          </w:tcPr>
          <w:p>
            <w:pPr>
              <w:spacing w:after="0"/>
              <w:rPr>
                <w:sz w:val="1"/>
                <w:szCs w:val="1"/>
                <w:color w:val="auto"/>
              </w:rPr>
            </w:pPr>
          </w:p>
        </w:tc>
      </w:tr>
      <w:tr>
        <w:trPr>
          <w:trHeight w:val="244"/>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Intercompany revenue and other</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66,677</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71,341</w:t>
            </w:r>
          </w:p>
        </w:tc>
        <w:tc>
          <w:tcPr>
            <w:tcW w:w="0" w:type="dxa"/>
            <w:vAlign w:val="bottom"/>
          </w:tcPr>
          <w:p>
            <w:pPr>
              <w:spacing w:after="0"/>
              <w:rPr>
                <w:sz w:val="1"/>
                <w:szCs w:val="1"/>
                <w:color w:val="auto"/>
              </w:rPr>
            </w:pPr>
          </w:p>
        </w:tc>
      </w:tr>
      <w:tr>
        <w:trPr>
          <w:trHeight w:val="222"/>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24,752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26,076</w:t>
            </w:r>
          </w:p>
        </w:tc>
        <w:tc>
          <w:tcPr>
            <w:tcW w:w="0" w:type="dxa"/>
            <w:vAlign w:val="bottom"/>
          </w:tcPr>
          <w:p>
            <w:pPr>
              <w:spacing w:after="0"/>
              <w:rPr>
                <w:sz w:val="1"/>
                <w:szCs w:val="1"/>
                <w:color w:val="auto"/>
              </w:rPr>
            </w:pPr>
          </w:p>
        </w:tc>
      </w:tr>
      <w:tr>
        <w:trPr>
          <w:trHeight w:val="230"/>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15,924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25,691</w:t>
            </w:r>
          </w:p>
        </w:tc>
        <w:tc>
          <w:tcPr>
            <w:tcW w:w="0" w:type="dxa"/>
            <w:vAlign w:val="bottom"/>
          </w:tcPr>
          <w:p>
            <w:pPr>
              <w:spacing w:after="0"/>
              <w:rPr>
                <w:sz w:val="1"/>
                <w:szCs w:val="1"/>
                <w:color w:val="auto"/>
              </w:rPr>
            </w:pPr>
          </w:p>
        </w:tc>
      </w:tr>
      <w:tr>
        <w:trPr>
          <w:trHeight w:val="242"/>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Impairment expense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15,490</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16,369</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57,002</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68,972</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June 30, 2022:</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7"/>
                <w:szCs w:val="17"/>
                <w:color w:val="auto"/>
              </w:rPr>
            </w:pPr>
          </w:p>
        </w:tc>
        <w:tc>
          <w:tcPr>
            <w:tcW w:w="12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8"/>
              </w:rPr>
              <w:t>Broadband</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Tower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9"/>
        </w:trPr>
        <w:tc>
          <w:tcPr>
            <w:tcW w:w="5040" w:type="dxa"/>
            <w:vAlign w:val="bottom"/>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Residential &amp; SMB - Cable Markets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43,843</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43,843</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Residential &amp; SMB - Glo Fiber Markets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42"/>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9,340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37"/>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65,978</w:t>
            </w:r>
          </w:p>
        </w:tc>
        <w:tc>
          <w:tcPr>
            <w:tcW w:w="0" w:type="dxa"/>
            <w:vAlign w:val="bottom"/>
          </w:tcPr>
          <w:p>
            <w:pPr>
              <w:spacing w:after="0"/>
              <w:rPr>
                <w:sz w:val="1"/>
                <w:szCs w:val="1"/>
                <w:color w:val="auto"/>
              </w:rPr>
            </w:pPr>
          </w:p>
        </w:tc>
      </w:tr>
      <w:tr>
        <w:trPr>
          <w:trHeight w:val="230"/>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Intercompany revenue and other</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61,412</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66,021</w:t>
            </w:r>
          </w:p>
        </w:tc>
        <w:tc>
          <w:tcPr>
            <w:tcW w:w="0" w:type="dxa"/>
            <w:vAlign w:val="bottom"/>
          </w:tcPr>
          <w:p>
            <w:pPr>
              <w:spacing w:after="0"/>
              <w:rPr>
                <w:sz w:val="1"/>
                <w:szCs w:val="1"/>
                <w:color w:val="auto"/>
              </w:rPr>
            </w:pPr>
          </w:p>
        </w:tc>
      </w:tr>
      <w:tr>
        <w:trPr>
          <w:trHeight w:val="216"/>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25,440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26,756</w:t>
            </w:r>
          </w:p>
        </w:tc>
        <w:tc>
          <w:tcPr>
            <w:tcW w:w="0" w:type="dxa"/>
            <w:vAlign w:val="bottom"/>
          </w:tcPr>
          <w:p>
            <w:pPr>
              <w:spacing w:after="0"/>
              <w:rPr>
                <w:sz w:val="1"/>
                <w:szCs w:val="1"/>
                <w:color w:val="auto"/>
              </w:rPr>
            </w:pPr>
          </w:p>
        </w:tc>
      </w:tr>
      <w:tr>
        <w:trPr>
          <w:trHeight w:val="230"/>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13,958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23,090</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Impairment expense</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4,068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43"/>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13,396</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57,305</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69,158</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(9,529)</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i w:val="1"/>
                <w:iCs w:val="1"/>
                <w:color w:val="0000FF"/>
                <w:w w:val="88"/>
              </w:rPr>
              <w:t>Table of Contents</w:t>
            </w:r>
          </w:p>
        </w:tc>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 30, 2023:</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Broadband</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Tower</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9"/>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External revenue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Residential &amp; SMB - Cable Markets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89,159</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89,159</w:t>
            </w:r>
          </w:p>
        </w:tc>
        <w:tc>
          <w:tcPr>
            <w:tcW w:w="0" w:type="dxa"/>
            <w:vAlign w:val="bottom"/>
          </w:tcPr>
          <w:p>
            <w:pPr>
              <w:spacing w:after="0"/>
              <w:rPr>
                <w:sz w:val="1"/>
                <w:szCs w:val="1"/>
                <w:color w:val="auto"/>
              </w:rPr>
            </w:pPr>
          </w:p>
        </w:tc>
      </w:tr>
      <w:tr>
        <w:trPr>
          <w:trHeight w:val="242"/>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Residential &amp; SMB - Glo Fiber Markets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15,167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21,951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21,951</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Tower lease</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RLEC &amp; Other</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7,497</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22"/>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Service revenue and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133,774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143,027</w:t>
            </w:r>
          </w:p>
        </w:tc>
        <w:tc>
          <w:tcPr>
            <w:tcW w:w="0" w:type="dxa"/>
            <w:vAlign w:val="bottom"/>
          </w:tcPr>
          <w:p>
            <w:pPr>
              <w:spacing w:after="0"/>
              <w:rPr>
                <w:sz w:val="1"/>
                <w:szCs w:val="1"/>
                <w:color w:val="auto"/>
              </w:rPr>
            </w:pPr>
          </w:p>
        </w:tc>
      </w:tr>
      <w:tr>
        <w:trPr>
          <w:trHeight w:val="244"/>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Intercompany revenue and other</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133,880</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143,027</w:t>
            </w:r>
          </w:p>
        </w:tc>
        <w:tc>
          <w:tcPr>
            <w:tcW w:w="0" w:type="dxa"/>
            <w:vAlign w:val="bottom"/>
          </w:tcPr>
          <w:p>
            <w:pPr>
              <w:spacing w:after="0"/>
              <w:rPr>
                <w:sz w:val="1"/>
                <w:szCs w:val="1"/>
                <w:color w:val="auto"/>
              </w:rPr>
            </w:pPr>
          </w:p>
        </w:tc>
      </w:tr>
      <w:tr>
        <w:trPr>
          <w:trHeight w:val="222"/>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50,181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52,643</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31,495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52,300</w:t>
            </w:r>
          </w:p>
        </w:tc>
        <w:tc>
          <w:tcPr>
            <w:tcW w:w="0" w:type="dxa"/>
            <w:vAlign w:val="bottom"/>
          </w:tcPr>
          <w:p>
            <w:pPr>
              <w:spacing w:after="0"/>
              <w:rPr>
                <w:sz w:val="1"/>
                <w:szCs w:val="1"/>
                <w:color w:val="auto"/>
              </w:rPr>
            </w:pPr>
          </w:p>
        </w:tc>
      </w:tr>
      <w:tr>
        <w:trPr>
          <w:trHeight w:val="242"/>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Impairment expense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31,967</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112,869</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21,011</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Six Months Ended June 30, 2022:</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ind w:left="60"/>
              <w:spacing w:after="0"/>
              <w:rPr>
                <w:sz w:val="20"/>
                <w:szCs w:val="20"/>
                <w:color w:val="auto"/>
              </w:rPr>
            </w:pPr>
            <w:r>
              <w:rPr>
                <w:rFonts w:ascii="Arial" w:cs="Arial" w:eastAsia="Arial" w:hAnsi="Arial"/>
                <w:sz w:val="18"/>
                <w:szCs w:val="18"/>
                <w:b w:val="1"/>
                <w:bCs w:val="1"/>
                <w:color w:val="auto"/>
              </w:rPr>
              <w:t>Corporate &amp;</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Broadband</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Tower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External revenue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Residential &amp; SMB - Cable Markets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87,336</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87,336</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Residential &amp; SMB - Glo Fiber Markets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7,476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Commercial Fiber</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18,402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18,402</w:t>
            </w:r>
          </w:p>
        </w:tc>
        <w:tc>
          <w:tcPr>
            <w:tcW w:w="0" w:type="dxa"/>
            <w:vAlign w:val="bottom"/>
          </w:tcPr>
          <w:p>
            <w:pPr>
              <w:spacing w:after="0"/>
              <w:rPr>
                <w:sz w:val="1"/>
                <w:szCs w:val="1"/>
                <w:color w:val="auto"/>
              </w:rPr>
            </w:pPr>
          </w:p>
        </w:tc>
      </w:tr>
      <w:tr>
        <w:trPr>
          <w:trHeight w:val="242"/>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Tower lease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9,361</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RLEC &amp;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24"/>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Service revenue and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121,027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130,388</w:t>
            </w:r>
          </w:p>
        </w:tc>
        <w:tc>
          <w:tcPr>
            <w:tcW w:w="0" w:type="dxa"/>
            <w:vAlign w:val="bottom"/>
          </w:tcPr>
          <w:p>
            <w:pPr>
              <w:spacing w:after="0"/>
              <w:rPr>
                <w:sz w:val="1"/>
                <w:szCs w:val="1"/>
                <w:color w:val="auto"/>
              </w:rPr>
            </w:pPr>
          </w:p>
        </w:tc>
      </w:tr>
      <w:tr>
        <w:trPr>
          <w:trHeight w:val="242"/>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Intercompany revenue and other</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121,126</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130,435</w:t>
            </w:r>
          </w:p>
        </w:tc>
        <w:tc>
          <w:tcPr>
            <w:tcW w:w="0" w:type="dxa"/>
            <w:vAlign w:val="bottom"/>
          </w:tcPr>
          <w:p>
            <w:pPr>
              <w:spacing w:after="0"/>
              <w:rPr>
                <w:sz w:val="1"/>
                <w:szCs w:val="1"/>
                <w:color w:val="auto"/>
              </w:rPr>
            </w:pPr>
          </w:p>
        </w:tc>
      </w:tr>
      <w:tr>
        <w:trPr>
          <w:trHeight w:val="222"/>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50,608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53,095</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27,430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46,925</w:t>
            </w:r>
          </w:p>
        </w:tc>
        <w:tc>
          <w:tcPr>
            <w:tcW w:w="0" w:type="dxa"/>
            <w:vAlign w:val="bottom"/>
          </w:tcPr>
          <w:p>
            <w:pPr>
              <w:spacing w:after="0"/>
              <w:rPr>
                <w:sz w:val="1"/>
                <w:szCs w:val="1"/>
                <w:color w:val="auto"/>
              </w:rPr>
            </w:pPr>
          </w:p>
        </w:tc>
      </w:tr>
      <w:tr>
        <w:trPr>
          <w:trHeight w:val="242"/>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Restructuring expense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Impairment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37"/>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29,135</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108,838</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133,952</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12,288</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total of the reportable segments’ operating income (loss) to unaudited condensed consolidated income (loss) before income taxes is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Total consolidated operating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2,369</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(3,137)</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5,097</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(3,517)</w:t>
            </w:r>
          </w:p>
        </w:tc>
      </w:tr>
      <w:tr>
        <w:trPr>
          <w:trHeight w:val="230"/>
        </w:trPr>
        <w:tc>
          <w:tcPr>
            <w:tcW w:w="508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6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6,391</w:t>
            </w:r>
          </w:p>
        </w:tc>
        <w:tc>
          <w:tcPr>
            <w:tcW w:w="14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w:t>
            </w:r>
          </w:p>
        </w:tc>
      </w:tr>
      <w:tr>
        <w:trPr>
          <w:trHeight w:val="27"/>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chief operating decision maker (CODM) does not currently review total assets by segment since the assets are centrally managed and some of the assets are shared by the segments. Accordingly, total assets by segment are not provided.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in the Company</w:t>
      </w:r>
      <w:r>
        <w:rPr>
          <w:rFonts w:ascii="Arial" w:cs="Arial" w:eastAsia="Arial" w:hAnsi="Arial"/>
          <w:sz w:val="17"/>
          <w:szCs w:val="17"/>
          <w:color w:val="auto"/>
        </w:rPr>
        <w:t>’</w:t>
      </w:r>
      <w:r>
        <w:rPr>
          <w:rFonts w:ascii="Arial" w:cs="Arial" w:eastAsia="Arial" w:hAnsi="Arial"/>
          <w:sz w:val="17"/>
          <w:szCs w:val="17"/>
          <w:i w:val="1"/>
          <w:iCs w:val="1"/>
          <w:color w:val="auto"/>
        </w:rPr>
        <w:t>s Annual Report on Form 10-K for its fiscal year ended December 31, 2022 (“2022 Form 10-K”).</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the Company’s 2022 Form 10-K, including the consolidated financial statements and related notes included therein.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Shenandoah Telecommunications Company (“Shentel”, “we”, “our”, “us”, or the “Company”) is a provider of a comprehensive range of broadband communication services and cell tower colocation space in the Mid-Atlantic portion of the United States.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is organized around our reportable segments. Refer to Note 14</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 Reporting</w:t>
      </w:r>
      <w:r>
        <w:rPr>
          <w:rFonts w:ascii="Arial" w:cs="Arial" w:eastAsia="Arial" w:hAnsi="Arial"/>
          <w:sz w:val="18"/>
          <w:szCs w:val="18"/>
          <w:color w:val="auto"/>
        </w:rPr>
        <w:t>, in our unaudited condensed consolidated financial statements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of 2023 Developments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amendment:</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2023, Shentel amended the Credit Agreement resulting in (a) a change of the floating index rate from the one-month term London Inter-Bank Offered Rate to the one-month term Secured Overnight Financing Rate, (b) an extension of the borrowing deadline under the Term Loans from June 30, 2023 to December 31, 2023, and (c) an extension of the first principal repayment date for the Term Loans from September 30, 2023 to March 31,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arrangements: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2023, Shentel entered into pay fixed, receive variable interest rate swaps totaling $150.0 million of notional principal (the “Swaps”). The Swaps contain monthly payment terms beginning in May 2024, which extend through their maturity dates in June 2026. The Swaps are designated as a cash flow hedge, representing 50% of the Company’s expected outstanding debt (including expected future borrowings under the Term Loans). The Company uses the Swaps to manage its exposure to interest rate risk for its long-term variable-rate Term Loans.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 termination:</w:t>
      </w:r>
    </w:p>
    <w:p>
      <w:pPr>
        <w:spacing w:after="0" w:line="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2021, Shentel’s Board of Directors adopted a resolution to terminate its pension plan. The Company terminated the pension plan and all benefits were distributed in June 2023 through the combination of lump sum payments and the purchase of non-participating annuity contracts at the option of the pension plan participants. The Company made an additional $2.9 million contribution from its cash balance as a result of the settlement and recognized a settlement gain of $0.7 million in other income (expense).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with the Three Months Ended June 30, 2022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0"/>
              </w:rPr>
              <w:t>Three Months Ended 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34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5"/>
                <w:szCs w:val="15"/>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920" w:type="dxa"/>
            <w:vAlign w:val="bottom"/>
          </w:tcPr>
          <w:p>
            <w:pPr>
              <w:jc w:val="right"/>
              <w:ind w:right="210"/>
              <w:spacing w:after="0" w:line="176" w:lineRule="exact"/>
              <w:rPr>
                <w:sz w:val="20"/>
                <w:szCs w:val="20"/>
                <w:color w:val="auto"/>
              </w:rPr>
            </w:pPr>
            <w:r>
              <w:rPr>
                <w:rFonts w:ascii="Arial" w:cs="Arial" w:eastAsia="Arial" w:hAnsi="Arial"/>
                <w:sz w:val="18"/>
                <w:szCs w:val="18"/>
                <w:b w:val="1"/>
                <w:bCs w:val="1"/>
                <w:color w:val="auto"/>
              </w:rPr>
              <w:t>% of</w:t>
            </w:r>
          </w:p>
        </w:tc>
        <w:tc>
          <w:tcPr>
            <w:tcW w:w="1300" w:type="dxa"/>
            <w:vAlign w:val="bottom"/>
            <w:gridSpan w:val="2"/>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4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Revenue</w:t>
            </w: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71,341</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66,021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2"/>
        </w:trPr>
        <w:tc>
          <w:tcPr>
            <w:tcW w:w="434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69,158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2,369</w:t>
            </w: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(3,137)</w:t>
            </w: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499"/>
        </w:trPr>
        <w:tc>
          <w:tcPr>
            <w:tcW w:w="434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2,546</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(3,726)</w:t>
            </w: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42"/>
        </w:trPr>
        <w:tc>
          <w:tcPr>
            <w:tcW w:w="434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increased approximately $5.3 million, or 8.1%, during the three months ended June 30, 2023 compared with the three months ended June 30, 2022, primarily driven by growth of $5.3 million, or 8.6%, in the Broadband segment. Refer to the discussion of the results of operations for the Broadband and Tower segments, included within this MD&amp;A, 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expenses decreased approximately $0.2 million, or 0.3%, for the three months ended June 30, 2023 compared with the three months ended June 30, 2022, primarily driven by $0.3 million and $0.2 million of lower Broadband and Tower operating expenses, respectively, partially offset by $0.3 million of incremental Corporate operating expenses.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Other income, net increased $0.8 million, or 130.1%, for the three months ended June 30, 2023 compared with the three months ended June 30, 2022, primarily driven by a pension settlement gain resulting from the termination of Shentel’s pension plan in June 2023.</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recognized $0.8 million of income tax expense for the three months ended June 30, 2023, compared with $0.5 million of income tax benefit for the three months ended June 30, 2022. The $1.3 million increase in income tax expense was driven by higher pre-tax income during the three months ended June 30,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with the Six Months Ended June 30, 2022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3"/>
              </w:rPr>
              <w:t>Six Months Ended 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r>
      <w:tr>
        <w:trPr>
          <w:trHeight w:val="175"/>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jc w:val="right"/>
              <w:ind w:right="210"/>
              <w:spacing w:after="0" w:line="176"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Revenue</w:t>
            </w:r>
          </w:p>
        </w:tc>
        <w:tc>
          <w:tcPr>
            <w:tcW w:w="13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4"/>
        </w:trPr>
        <w:tc>
          <w:tcPr>
            <w:tcW w:w="434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143,027</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130,435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42"/>
        </w:trPr>
        <w:tc>
          <w:tcPr>
            <w:tcW w:w="434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133,952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5,097</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(3,517)</w:t>
            </w: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(244.9)</w:t>
            </w:r>
          </w:p>
        </w:tc>
      </w:tr>
      <w:tr>
        <w:trPr>
          <w:trHeight w:val="512"/>
        </w:trPr>
        <w:tc>
          <w:tcPr>
            <w:tcW w:w="434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(270.5)</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6,391</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(4,276)</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10,667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(249.5)</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665.8</w:t>
            </w:r>
          </w:p>
        </w:tc>
      </w:tr>
      <w:tr>
        <w:trPr>
          <w:trHeight w:val="236"/>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increased approximately $12.6 million, or 9.7%, during the six months ended June 30, 2023 compared with the six months ended June 30, 2022, primarily driven by growth of $12.8 million, or 10.5%, in the Broadband segment, partially offset by a decline of $0.2 million, or 2.3%, in the Tower segment. Refer to the discussion of the results of operations for the Broadband and Tower segments, included within this MD&amp;A,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Operating expenses increased approximately $4.0 million, or 3.0%, for the six months ended June 30, 2023 compared with the six months ended June 30, 2022, primarily driven by $4.0 million of incremental Broadband operating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income, net increased $2.1 million, or 270.5%, for the six months ended June 30, 2023 compared with the six months ended June 30, 2022, primarily driven by sales taxes refunds received and interest income related to tax refunds during the six months ended June 30, 2023, as well as a pension settlement gain resulting from the termination of Shentel’s pension plan in June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recognized $2.5 million of income tax expense for the six months ended June 30, 2023, compared with $0.4 million of income tax benefit for the six months ended June 30, 2022. The $3.0 million increase in income tax expense was driven by higher pre-tax income during the six months ended June 30, 2023.</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Broadband</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Broadband segment provides broadband internet, video and voice services to residential and commercial customers in portions of Virginia, West Virginia, Maryland, Pennsylvania and Kentucky, via hybrid fiber coaxial cable under the brand name of Shentel, and fiber optics under the brand name of Glo Fiber. The Broadband segment also leases dark fiber and provides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over 9,000 route miles of fiber.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i w:val="1"/>
                <w:iCs w:val="1"/>
                <w:color w:val="0000FF"/>
                <w:w w:val="88"/>
              </w:rPr>
              <w:t>Table of Contents</w:t>
            </w:r>
          </w:p>
        </w:tc>
        <w:tc>
          <w:tcPr>
            <w:tcW w:w="6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90"/>
        </w:trPr>
        <w:tc>
          <w:tcPr>
            <w:tcW w:w="7820" w:type="dxa"/>
            <w:vAlign w:val="bottom"/>
            <w:gridSpan w:val="2"/>
          </w:tcPr>
          <w:p>
            <w:pPr>
              <w:spacing w:after="0"/>
              <w:rPr>
                <w:sz w:val="20"/>
                <w:szCs w:val="20"/>
                <w:color w:val="auto"/>
              </w:rPr>
            </w:pPr>
            <w:r>
              <w:rPr>
                <w:rFonts w:ascii="Arial" w:cs="Arial" w:eastAsia="Arial" w:hAnsi="Arial"/>
                <w:sz w:val="18"/>
                <w:szCs w:val="18"/>
                <w:color w:val="auto"/>
              </w:rPr>
              <w:t>The following table indicates selected operating statistics of our Broadband segment:</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June 30,</w:t>
            </w:r>
          </w:p>
        </w:tc>
      </w:tr>
      <w:tr>
        <w:trPr>
          <w:trHeight w:val="237"/>
        </w:trPr>
        <w:tc>
          <w:tcPr>
            <w:tcW w:w="12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Broadband homes and businesses passed (1)</w:t>
            </w:r>
          </w:p>
        </w:tc>
        <w:tc>
          <w:tcPr>
            <w:tcW w:w="30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396,035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324,186</w:t>
            </w:r>
          </w:p>
        </w:tc>
      </w:tr>
      <w:tr>
        <w:trPr>
          <w:trHeight w:val="230"/>
        </w:trPr>
        <w:tc>
          <w:tcPr>
            <w:tcW w:w="7820" w:type="dxa"/>
            <w:vAlign w:val="bottom"/>
            <w:gridSpan w:val="2"/>
          </w:tcPr>
          <w:p>
            <w:pPr>
              <w:ind w:left="340"/>
              <w:spacing w:after="0"/>
              <w:rPr>
                <w:sz w:val="20"/>
                <w:szCs w:val="20"/>
                <w:color w:val="auto"/>
              </w:rPr>
            </w:pPr>
            <w:r>
              <w:rPr>
                <w:rFonts w:ascii="Arial" w:cs="Arial" w:eastAsia="Arial" w:hAnsi="Arial"/>
                <w:sz w:val="18"/>
                <w:szCs w:val="18"/>
                <w:color w:val="auto"/>
              </w:rPr>
              <w:t>Cable Markets</w:t>
            </w:r>
          </w:p>
        </w:tc>
        <w:tc>
          <w:tcPr>
            <w:tcW w:w="30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213,188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211,681</w:t>
            </w:r>
          </w:p>
        </w:tc>
      </w:tr>
      <w:tr>
        <w:trPr>
          <w:trHeight w:val="230"/>
        </w:trPr>
        <w:tc>
          <w:tcPr>
            <w:tcW w:w="7820" w:type="dxa"/>
            <w:vAlign w:val="bottom"/>
            <w:gridSpan w:val="2"/>
          </w:tcPr>
          <w:p>
            <w:pPr>
              <w:ind w:left="340"/>
              <w:spacing w:after="0"/>
              <w:rPr>
                <w:sz w:val="20"/>
                <w:szCs w:val="20"/>
                <w:color w:val="auto"/>
              </w:rPr>
            </w:pPr>
            <w:r>
              <w:rPr>
                <w:rFonts w:ascii="Arial" w:cs="Arial" w:eastAsia="Arial" w:hAnsi="Arial"/>
                <w:sz w:val="18"/>
                <w:szCs w:val="18"/>
                <w:color w:val="auto"/>
              </w:rPr>
              <w:t>Glo Fiber Markets</w:t>
            </w:r>
          </w:p>
        </w:tc>
        <w:tc>
          <w:tcPr>
            <w:tcW w:w="3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182,847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112,505</w:t>
            </w:r>
          </w:p>
        </w:tc>
      </w:tr>
      <w:tr>
        <w:trPr>
          <w:trHeight w:val="35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Residential &amp; Small and Medium Business ("SMB") RGUs: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782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30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142,247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125,003</w:t>
            </w:r>
          </w:p>
        </w:tc>
      </w:tr>
      <w:tr>
        <w:trPr>
          <w:trHeight w:val="230"/>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Cable Markets</w:t>
            </w:r>
          </w:p>
        </w:tc>
        <w:tc>
          <w:tcPr>
            <w:tcW w:w="3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109,404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107,878</w:t>
            </w:r>
          </w:p>
        </w:tc>
      </w:tr>
      <w:tr>
        <w:trPr>
          <w:trHeight w:val="242"/>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Glo Fiber Markets</w:t>
            </w:r>
          </w:p>
        </w:tc>
        <w:tc>
          <w:tcPr>
            <w:tcW w:w="30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32,843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17,125</w:t>
            </w:r>
          </w:p>
        </w:tc>
      </w:tr>
      <w:tr>
        <w:trPr>
          <w:trHeight w:val="229"/>
        </w:trPr>
        <w:tc>
          <w:tcPr>
            <w:tcW w:w="7820" w:type="dxa"/>
            <w:vAlign w:val="bottom"/>
            <w:gridSpan w:val="2"/>
          </w:tcPr>
          <w:p>
            <w:pPr>
              <w:ind w:left="140"/>
              <w:spacing w:after="0"/>
              <w:rPr>
                <w:sz w:val="20"/>
                <w:szCs w:val="20"/>
                <w:color w:val="auto"/>
              </w:rPr>
            </w:pPr>
            <w:r>
              <w:rPr>
                <w:rFonts w:ascii="Arial" w:cs="Arial" w:eastAsia="Arial" w:hAnsi="Arial"/>
                <w:sz w:val="18"/>
                <w:szCs w:val="18"/>
                <w:color w:val="auto"/>
              </w:rPr>
              <w:t>Video</w:t>
            </w:r>
          </w:p>
        </w:tc>
        <w:tc>
          <w:tcPr>
            <w:tcW w:w="30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44,800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49,027</w:t>
            </w:r>
          </w:p>
        </w:tc>
      </w:tr>
      <w:tr>
        <w:trPr>
          <w:trHeight w:val="244"/>
        </w:trPr>
        <w:tc>
          <w:tcPr>
            <w:tcW w:w="7820" w:type="dxa"/>
            <w:vAlign w:val="bottom"/>
            <w:gridSpan w:val="2"/>
          </w:tcPr>
          <w:p>
            <w:pPr>
              <w:ind w:left="140"/>
              <w:spacing w:after="0"/>
              <w:rPr>
                <w:sz w:val="20"/>
                <w:szCs w:val="20"/>
                <w:color w:val="auto"/>
              </w:rPr>
            </w:pPr>
            <w:r>
              <w:rPr>
                <w:rFonts w:ascii="Arial" w:cs="Arial" w:eastAsia="Arial" w:hAnsi="Arial"/>
                <w:sz w:val="18"/>
                <w:szCs w:val="18"/>
                <w:color w:val="auto"/>
              </w:rPr>
              <w:t>Voice</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40,313</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39,535</w:t>
            </w:r>
          </w:p>
        </w:tc>
      </w:tr>
      <w:tr>
        <w:trPr>
          <w:trHeight w:val="224"/>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Total Residential &amp; SMB RGUs (excludes RLEC)</w:t>
            </w:r>
          </w:p>
        </w:tc>
        <w:tc>
          <w:tcPr>
            <w:tcW w:w="30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227,360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213,565</w:t>
            </w:r>
          </w:p>
        </w:tc>
      </w:tr>
      <w:tr>
        <w:trPr>
          <w:trHeight w:val="336"/>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Residential &amp; SMB Penetration (2)</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782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38.6 %</w:t>
            </w:r>
          </w:p>
        </w:tc>
      </w:tr>
      <w:tr>
        <w:trPr>
          <w:trHeight w:val="242"/>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Cable Markets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51.3 %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51.0 %</w:t>
            </w:r>
          </w:p>
        </w:tc>
      </w:tr>
      <w:tr>
        <w:trPr>
          <w:trHeight w:val="230"/>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Glo Fiber Markets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15.2 %</w:t>
            </w:r>
          </w:p>
        </w:tc>
      </w:tr>
      <w:tr>
        <w:trPr>
          <w:trHeight w:val="230"/>
        </w:trPr>
        <w:tc>
          <w:tcPr>
            <w:tcW w:w="7820" w:type="dxa"/>
            <w:vAlign w:val="bottom"/>
            <w:gridSpan w:val="2"/>
          </w:tcPr>
          <w:p>
            <w:pPr>
              <w:ind w:left="140"/>
              <w:spacing w:after="0"/>
              <w:rPr>
                <w:sz w:val="20"/>
                <w:szCs w:val="20"/>
                <w:color w:val="auto"/>
              </w:rPr>
            </w:pPr>
            <w:r>
              <w:rPr>
                <w:rFonts w:ascii="Arial" w:cs="Arial" w:eastAsia="Arial" w:hAnsi="Arial"/>
                <w:sz w:val="18"/>
                <w:szCs w:val="18"/>
                <w:color w:val="auto"/>
              </w:rPr>
              <w:t>Video</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15.1 %</w:t>
            </w:r>
          </w:p>
        </w:tc>
      </w:tr>
      <w:tr>
        <w:trPr>
          <w:trHeight w:val="243"/>
        </w:trPr>
        <w:tc>
          <w:tcPr>
            <w:tcW w:w="7820" w:type="dxa"/>
            <w:vAlign w:val="bottom"/>
            <w:gridSpan w:val="2"/>
          </w:tcPr>
          <w:p>
            <w:pPr>
              <w:ind w:left="140"/>
              <w:spacing w:after="0"/>
              <w:rPr>
                <w:sz w:val="20"/>
                <w:szCs w:val="20"/>
                <w:color w:val="auto"/>
              </w:rPr>
            </w:pPr>
            <w:r>
              <w:rPr>
                <w:rFonts w:ascii="Arial" w:cs="Arial" w:eastAsia="Arial" w:hAnsi="Arial"/>
                <w:sz w:val="18"/>
                <w:szCs w:val="18"/>
                <w:color w:val="auto"/>
              </w:rPr>
              <w:t>Voice</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337"/>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Residential &amp; SMB ARPU (3)</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782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81.03</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79.94</w:t>
            </w:r>
          </w:p>
        </w:tc>
      </w:tr>
      <w:tr>
        <w:trPr>
          <w:trHeight w:val="242"/>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Cable Markets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82.55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80.82</w:t>
            </w:r>
          </w:p>
        </w:tc>
      </w:tr>
      <w:tr>
        <w:trPr>
          <w:trHeight w:val="229"/>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Glo Fiber Markets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75.63</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74.49</w:t>
            </w:r>
          </w:p>
        </w:tc>
      </w:tr>
      <w:tr>
        <w:trPr>
          <w:trHeight w:val="230"/>
        </w:trPr>
        <w:tc>
          <w:tcPr>
            <w:tcW w:w="7820" w:type="dxa"/>
            <w:vAlign w:val="bottom"/>
            <w:gridSpan w:val="2"/>
          </w:tcPr>
          <w:p>
            <w:pPr>
              <w:ind w:left="140"/>
              <w:spacing w:after="0"/>
              <w:rPr>
                <w:sz w:val="20"/>
                <w:szCs w:val="20"/>
                <w:color w:val="auto"/>
              </w:rPr>
            </w:pPr>
            <w:r>
              <w:rPr>
                <w:rFonts w:ascii="Arial" w:cs="Arial" w:eastAsia="Arial" w:hAnsi="Arial"/>
                <w:sz w:val="18"/>
                <w:szCs w:val="18"/>
                <w:color w:val="auto"/>
              </w:rPr>
              <w:t>Video</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106.21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103.16</w:t>
            </w:r>
          </w:p>
        </w:tc>
      </w:tr>
      <w:tr>
        <w:trPr>
          <w:trHeight w:val="243"/>
        </w:trPr>
        <w:tc>
          <w:tcPr>
            <w:tcW w:w="7820" w:type="dxa"/>
            <w:vAlign w:val="bottom"/>
            <w:gridSpan w:val="2"/>
          </w:tcPr>
          <w:p>
            <w:pPr>
              <w:ind w:left="140"/>
              <w:spacing w:after="0"/>
              <w:rPr>
                <w:sz w:val="20"/>
                <w:szCs w:val="20"/>
                <w:color w:val="auto"/>
              </w:rPr>
            </w:pPr>
            <w:r>
              <w:rPr>
                <w:rFonts w:ascii="Arial" w:cs="Arial" w:eastAsia="Arial" w:hAnsi="Arial"/>
                <w:sz w:val="18"/>
                <w:szCs w:val="18"/>
                <w:color w:val="auto"/>
              </w:rPr>
              <w:t>Voice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25.35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25.95</w:t>
            </w:r>
          </w:p>
        </w:tc>
      </w:tr>
      <w:tr>
        <w:trPr>
          <w:trHeight w:val="337"/>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Fiber route miles</w:t>
            </w:r>
          </w:p>
        </w:tc>
        <w:tc>
          <w:tcPr>
            <w:tcW w:w="30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9,082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7,906</w:t>
            </w: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Total fiber miles (4)</w:t>
            </w:r>
          </w:p>
        </w:tc>
        <w:tc>
          <w:tcPr>
            <w:tcW w:w="3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767,173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589,923</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10" w:lineRule="exact"/>
        <w:rPr>
          <w:sz w:val="20"/>
          <w:szCs w:val="20"/>
          <w:color w:val="auto"/>
        </w:rPr>
      </w:pPr>
    </w:p>
    <w:p>
      <w:pPr>
        <w:ind w:left="660" w:hanging="328"/>
        <w:spacing w:after="0" w:line="252"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passings or available homes, as appropriate.</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Revenue Per RGU calculation = (Residential &amp; SMB Revenue) / average RGUs / 3 months.</w:t>
      </w:r>
    </w:p>
    <w:p>
      <w:pPr>
        <w:spacing w:after="0" w:line="14" w:lineRule="exact"/>
        <w:rPr>
          <w:rFonts w:ascii="Arial" w:cs="Arial" w:eastAsia="Arial" w:hAnsi="Arial"/>
          <w:sz w:val="14"/>
          <w:szCs w:val="14"/>
          <w:color w:val="auto"/>
        </w:rPr>
      </w:pPr>
    </w:p>
    <w:p>
      <w:pPr>
        <w:ind w:left="660" w:hanging="328"/>
        <w:spacing w:after="0" w:line="28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6"/>
          </w:tcPr>
          <w:p>
            <w:pPr>
              <w:spacing w:after="0"/>
              <w:rPr>
                <w:sz w:val="20"/>
                <w:szCs w:val="20"/>
                <w:color w:val="auto"/>
              </w:rPr>
            </w:pPr>
            <w:r>
              <w:rPr>
                <w:rFonts w:ascii="Arial" w:cs="Arial" w:eastAsia="Arial" w:hAnsi="Arial"/>
                <w:sz w:val="18"/>
                <w:szCs w:val="18"/>
                <w:b w:val="1"/>
                <w:bCs w:val="1"/>
                <w:color w:val="auto"/>
                <w:w w:val="91"/>
              </w:rPr>
              <w:t>Three Months Ended June 30, 2023 Compared with the Three Months Ended June 30, 2022</w:t>
            </w: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4620" w:type="dxa"/>
            <w:vAlign w:val="bottom"/>
            <w:gridSpan w:val="2"/>
          </w:tcPr>
          <w:p>
            <w:pPr>
              <w:spacing w:after="0"/>
              <w:rPr>
                <w:sz w:val="20"/>
                <w:szCs w:val="20"/>
                <w:color w:val="auto"/>
              </w:rPr>
            </w:pPr>
            <w:r>
              <w:rPr>
                <w:rFonts w:ascii="Arial" w:cs="Arial" w:eastAsia="Arial" w:hAnsi="Arial"/>
                <w:sz w:val="18"/>
                <w:szCs w:val="18"/>
                <w:color w:val="auto"/>
                <w:w w:val="92"/>
              </w:rPr>
              <w:t>Broadband results from operations are summarized as follows: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6"/>
        </w:trPr>
        <w:tc>
          <w:tcPr>
            <w:tcW w:w="4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Three Months Ended June 30,</w:t>
            </w: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2"/>
                <w:szCs w:val="22"/>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09"/>
        </w:trPr>
        <w:tc>
          <w:tcPr>
            <w:tcW w:w="4360" w:type="dxa"/>
            <w:vAlign w:val="bottom"/>
          </w:tcPr>
          <w:p>
            <w:pPr>
              <w:ind w:left="20"/>
              <w:spacing w:after="0"/>
              <w:rPr>
                <w:sz w:val="20"/>
                <w:szCs w:val="20"/>
                <w:color w:val="auto"/>
              </w:rPr>
            </w:pPr>
            <w:r>
              <w:rPr>
                <w:rFonts w:ascii="Arial" w:cs="Arial" w:eastAsia="Arial" w:hAnsi="Arial"/>
                <w:sz w:val="18"/>
                <w:szCs w:val="18"/>
                <w:color w:val="auto"/>
              </w:rPr>
              <w:t>Broadband operating revenue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Residential &amp; SMB - Cable Markets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44,403</w:t>
            </w:r>
          </w:p>
        </w:tc>
        <w:tc>
          <w:tcPr>
            <w:tcW w:w="1180" w:type="dxa"/>
            <w:vAlign w:val="bottom"/>
          </w:tcPr>
          <w:p>
            <w:pPr>
              <w:jc w:val="right"/>
              <w:spacing w:after="0"/>
              <w:rPr>
                <w:sz w:val="20"/>
                <w:szCs w:val="20"/>
                <w:color w:val="auto"/>
              </w:rPr>
            </w:pPr>
            <w:r>
              <w:rPr>
                <w:rFonts w:ascii="Arial" w:cs="Arial" w:eastAsia="Arial" w:hAnsi="Arial"/>
                <w:sz w:val="18"/>
                <w:szCs w:val="18"/>
                <w:color w:val="auto"/>
              </w:rPr>
              <w:t>66.6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43,843</w:t>
            </w:r>
          </w:p>
        </w:tc>
        <w:tc>
          <w:tcPr>
            <w:tcW w:w="1180" w:type="dxa"/>
            <w:vAlign w:val="bottom"/>
          </w:tcPr>
          <w:p>
            <w:pPr>
              <w:jc w:val="right"/>
              <w:spacing w:after="0"/>
              <w:rPr>
                <w:sz w:val="20"/>
                <w:szCs w:val="20"/>
                <w:color w:val="auto"/>
              </w:rPr>
            </w:pPr>
            <w:r>
              <w:rPr>
                <w:rFonts w:ascii="Arial" w:cs="Arial" w:eastAsia="Arial" w:hAnsi="Arial"/>
                <w:sz w:val="18"/>
                <w:szCs w:val="18"/>
                <w:color w:val="auto"/>
              </w:rPr>
              <w:t>71.4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2"/>
        </w:trPr>
        <w:tc>
          <w:tcPr>
            <w:tcW w:w="4360" w:type="dxa"/>
            <w:vAlign w:val="bottom"/>
          </w:tcPr>
          <w:p>
            <w:pPr>
              <w:ind w:left="140"/>
              <w:spacing w:after="0"/>
              <w:rPr>
                <w:sz w:val="20"/>
                <w:szCs w:val="20"/>
                <w:color w:val="auto"/>
              </w:rPr>
            </w:pPr>
            <w:r>
              <w:rPr>
                <w:rFonts w:ascii="Arial" w:cs="Arial" w:eastAsia="Arial" w:hAnsi="Arial"/>
                <w:sz w:val="18"/>
                <w:szCs w:val="18"/>
                <w:color w:val="auto"/>
              </w:rPr>
              <w:t>Residential &amp; SMB - Glo Fiber Markets (1)</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8,164</w:t>
            </w: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4,056</w:t>
            </w: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Commercial Fiber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10,255</w:t>
            </w: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9,343</w:t>
            </w: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44"/>
        </w:trPr>
        <w:tc>
          <w:tcPr>
            <w:tcW w:w="4360" w:type="dxa"/>
            <w:vAlign w:val="bottom"/>
          </w:tcPr>
          <w:p>
            <w:pPr>
              <w:ind w:left="140"/>
              <w:spacing w:after="0"/>
              <w:rPr>
                <w:sz w:val="20"/>
                <w:szCs w:val="20"/>
                <w:color w:val="auto"/>
              </w:rPr>
            </w:pPr>
            <w:r>
              <w:rPr>
                <w:rFonts w:ascii="Arial" w:cs="Arial" w:eastAsia="Arial" w:hAnsi="Arial"/>
                <w:sz w:val="18"/>
                <w:szCs w:val="18"/>
                <w:color w:val="auto"/>
              </w:rPr>
              <w:t>RLEC &amp; Other</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4360" w:type="dxa"/>
            <w:vAlign w:val="bottom"/>
          </w:tcPr>
          <w:p>
            <w:pPr>
              <w:ind w:left="360"/>
              <w:spacing w:after="0"/>
              <w:rPr>
                <w:sz w:val="20"/>
                <w:szCs w:val="20"/>
                <w:color w:val="auto"/>
              </w:rPr>
            </w:pPr>
            <w:r>
              <w:rPr>
                <w:rFonts w:ascii="Arial" w:cs="Arial" w:eastAsia="Arial" w:hAnsi="Arial"/>
                <w:sz w:val="18"/>
                <w:szCs w:val="18"/>
                <w:color w:val="auto"/>
              </w:rPr>
              <w:t>Total broadband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66,677</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61,412</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Broadband operating expenses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24,752</w:t>
            </w:r>
          </w:p>
        </w:tc>
        <w:tc>
          <w:tcPr>
            <w:tcW w:w="118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25,440</w:t>
            </w:r>
          </w:p>
        </w:tc>
        <w:tc>
          <w:tcPr>
            <w:tcW w:w="1180" w:type="dxa"/>
            <w:vAlign w:val="bottom"/>
          </w:tcPr>
          <w:p>
            <w:pPr>
              <w:jc w:val="right"/>
              <w:spacing w:after="0"/>
              <w:rPr>
                <w:sz w:val="20"/>
                <w:szCs w:val="20"/>
                <w:color w:val="auto"/>
              </w:rPr>
            </w:pPr>
            <w:r>
              <w:rPr>
                <w:rFonts w:ascii="Arial" w:cs="Arial" w:eastAsia="Arial" w:hAnsi="Arial"/>
                <w:sz w:val="18"/>
                <w:szCs w:val="18"/>
                <w:color w:val="auto"/>
              </w:rPr>
              <w:t>41.4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2"/>
        </w:trPr>
        <w:tc>
          <w:tcPr>
            <w:tcW w:w="43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15,924</w:t>
            </w: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13,958</w:t>
            </w: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Impairment expense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836</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4,068</w:t>
            </w: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43"/>
        </w:trPr>
        <w:tc>
          <w:tcPr>
            <w:tcW w:w="43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 broadband operating expenses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57,305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Broadband operating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135.6</w:t>
            </w:r>
          </w:p>
        </w:tc>
      </w:tr>
      <w:tr>
        <w:trPr>
          <w:trHeight w:val="21"/>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w:t>
      </w:r>
    </w:p>
    <w:p>
      <w:pPr>
        <w:spacing w:after="0" w:line="10" w:lineRule="exact"/>
        <w:rPr>
          <w:sz w:val="20"/>
          <w:szCs w:val="20"/>
          <w:color w:val="auto"/>
        </w:rPr>
      </w:pPr>
    </w:p>
    <w:p>
      <w:pPr>
        <w:ind w:left="660" w:hanging="328"/>
        <w:spacing w:after="0" w:line="317" w:lineRule="auto"/>
        <w:tabs>
          <w:tab w:leader="none" w:pos="660" w:val="left"/>
        </w:tabs>
        <w:numPr>
          <w:ilvl w:val="0"/>
          <w:numId w:val="5"/>
        </w:numPr>
        <w:rPr>
          <w:rFonts w:ascii="Arial" w:cs="Arial" w:eastAsia="Arial" w:hAnsi="Arial"/>
          <w:sz w:val="13"/>
          <w:szCs w:val="13"/>
          <w:b w:val="1"/>
          <w:bCs w:val="1"/>
          <w:i w:val="1"/>
          <w:iCs w:val="1"/>
          <w:color w:val="212529"/>
        </w:rPr>
      </w:pPr>
      <w:r>
        <w:rPr>
          <w:rFonts w:ascii="Arial" w:cs="Arial" w:eastAsia="Arial" w:hAnsi="Arial"/>
          <w:sz w:val="13"/>
          <w:szCs w:val="13"/>
          <w:color w:val="auto"/>
        </w:rPr>
        <w:t>Shentel has presented Residential &amp; SMB - Cable Markets and Residential &amp; SMB - Glo Fiber Markets separately for the three months ended June 30, 2023. These revenues were previously reported in one line under the description “Residential &amp; SMB”. Shentel has amended the presentation for the three months ended June 30, 2022 for comparability.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 Cable Markets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Residential &amp; SMB - Cable Markets revenue for the three months ended June 30, 2023 increased approximately $0.6 million, or 1.3%, compared with the three months ended June 30, 2022, primarily driven by 1.4% year-over-year growth in data Revenue Generating Units (“RGUs”) and 2.1% increase in data ARPU driven by increased customer demand for higher speed data service.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 Glo Fiber Markets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Residential &amp; SMB - Glo Fiber Markets revenue for the three months ended June 30, 2023 increased approximately $4.1 million, or 101.3%, compared with the three months ended June 30, 2022, primarily driven by 91.8% year-over-year growth in data RGUs driven by the Company’s expansion of Glo Fiber.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Fiber revenue</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Commercial Fiber revenue for the three months ended June 30, 2023 increased approximately $0.9 million, or 9.8%, compared with the three months ended June 30, 2022, primarily driven by $0.5 million in recurring revenue driven by 19.6% increase in connections and $0.4 million in T-Mobile non-recurring early termination fees. T-Mobile disconnected 22 backhaul circuits during the three months ended June 30, 2023 as part of their previously announced rationalization of the former Sprint network. The Company expects 151 additional backhaul disconnects in 2023 as part of the network rationalization.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services for the three months ended June 30, 2023, decreased approximately $0.7 million, or 2.7%, compared with the three months ended June 30, 2022, primarily driven by lower payroll costs due to higher capitalized labor and lower medical benefit costs, partially offset by higher line costs due to the expansion of the network into new markets and mobile switching centers of wireless carrier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Selling, general and administrative expense for the three months ended June 30, 2023, increased $2.0 million, or 14.1%, compared with the three months ended June 30, 2022, primarily driven by higher advertising costs associated with the Company’s expansion of Glo Fiber and a change in strategy to drive more gross subscriber additions to low cost sales channels, as well as higher bad debt expense.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expense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recorded impairment charges of $0.8 million during the three months ended June 30, 2023, compared with $4.1 million of impairment charges for the three months ended June 30, 2022. Impairment charges for the three months ended June 30, 2023 were primarily a result of colocation lease right-of-use assets that are no longer expected to be used and have no alternative use, while impairment charges in the three months ended June 30, 2022 were primarily a result of the Company’s expected decommissioning of Beam fixed wireless sites.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Depreciation and amortization increased $2.1 million, or 15.6%, compared with the three months ended June 30, 2022, primarily driven by the Company’s expansion of its Glo Fiber network.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with the Six Months Ended June 30, 2022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Broadband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Six Months Ended June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Broadband operating revenue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340" w:type="dxa"/>
            <w:vAlign w:val="bottom"/>
          </w:tcPr>
          <w:p>
            <w:pPr>
              <w:ind w:left="120"/>
              <w:spacing w:after="0"/>
              <w:rPr>
                <w:sz w:val="20"/>
                <w:szCs w:val="20"/>
                <w:color w:val="auto"/>
              </w:rPr>
            </w:pPr>
            <w:r>
              <w:rPr>
                <w:rFonts w:ascii="Arial" w:cs="Arial" w:eastAsia="Arial" w:hAnsi="Arial"/>
                <w:sz w:val="18"/>
                <w:szCs w:val="18"/>
                <w:color w:val="auto"/>
              </w:rPr>
              <w:t>Residential &amp; SMB - Cable Markets (1)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89,159</w:t>
            </w:r>
          </w:p>
        </w:tc>
        <w:tc>
          <w:tcPr>
            <w:tcW w:w="1180" w:type="dxa"/>
            <w:vAlign w:val="bottom"/>
          </w:tcPr>
          <w:p>
            <w:pPr>
              <w:jc w:val="right"/>
              <w:spacing w:after="0"/>
              <w:rPr>
                <w:sz w:val="20"/>
                <w:szCs w:val="20"/>
                <w:color w:val="auto"/>
              </w:rPr>
            </w:pPr>
            <w:r>
              <w:rPr>
                <w:rFonts w:ascii="Arial" w:cs="Arial" w:eastAsia="Arial" w:hAnsi="Arial"/>
                <w:sz w:val="18"/>
                <w:szCs w:val="18"/>
                <w:color w:val="auto"/>
              </w:rPr>
              <w:t>66.6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87,336</w:t>
            </w:r>
          </w:p>
        </w:tc>
        <w:tc>
          <w:tcPr>
            <w:tcW w:w="1220" w:type="dxa"/>
            <w:vAlign w:val="bottom"/>
          </w:tcPr>
          <w:p>
            <w:pPr>
              <w:jc w:val="right"/>
              <w:spacing w:after="0"/>
              <w:rPr>
                <w:sz w:val="20"/>
                <w:szCs w:val="20"/>
                <w:color w:val="auto"/>
              </w:rPr>
            </w:pPr>
            <w:r>
              <w:rPr>
                <w:rFonts w:ascii="Arial" w:cs="Arial" w:eastAsia="Arial" w:hAnsi="Arial"/>
                <w:sz w:val="18"/>
                <w:szCs w:val="18"/>
                <w:color w:val="auto"/>
              </w:rPr>
              <w:t>72.1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Residential &amp; SMB - Glo Fiber Markets (1)</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15,167</w:t>
            </w: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7,476</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7,691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42"/>
        </w:trPr>
        <w:tc>
          <w:tcPr>
            <w:tcW w:w="4340" w:type="dxa"/>
            <w:vAlign w:val="bottom"/>
          </w:tcPr>
          <w:p>
            <w:pPr>
              <w:ind w:left="120"/>
              <w:spacing w:after="0"/>
              <w:rPr>
                <w:sz w:val="20"/>
                <w:szCs w:val="20"/>
                <w:color w:val="auto"/>
              </w:rPr>
            </w:pPr>
            <w:r>
              <w:rPr>
                <w:rFonts w:ascii="Arial" w:cs="Arial" w:eastAsia="Arial" w:hAnsi="Arial"/>
                <w:sz w:val="18"/>
                <w:szCs w:val="18"/>
                <w:color w:val="auto"/>
              </w:rPr>
              <w:t>Commercial Fiber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21,955</w:t>
            </w: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18,407</w:t>
            </w: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4"/>
        </w:trPr>
        <w:tc>
          <w:tcPr>
            <w:tcW w:w="4340" w:type="dxa"/>
            <w:vAlign w:val="bottom"/>
          </w:tcPr>
          <w:p>
            <w:pPr>
              <w:ind w:left="340"/>
              <w:spacing w:after="0"/>
              <w:rPr>
                <w:sz w:val="20"/>
                <w:szCs w:val="20"/>
                <w:color w:val="auto"/>
              </w:rPr>
            </w:pPr>
            <w:r>
              <w:rPr>
                <w:rFonts w:ascii="Arial" w:cs="Arial" w:eastAsia="Arial" w:hAnsi="Arial"/>
                <w:sz w:val="18"/>
                <w:szCs w:val="18"/>
                <w:color w:val="auto"/>
              </w:rPr>
              <w:t>Total broadband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133,880</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121,126</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12,754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41"/>
        </w:trPr>
        <w:tc>
          <w:tcPr>
            <w:tcW w:w="4340" w:type="dxa"/>
            <w:vAlign w:val="bottom"/>
          </w:tcPr>
          <w:p>
            <w:pPr>
              <w:spacing w:after="0"/>
              <w:rPr>
                <w:sz w:val="20"/>
                <w:szCs w:val="20"/>
                <w:color w:val="auto"/>
              </w:rPr>
            </w:pPr>
            <w:r>
              <w:rPr>
                <w:rFonts w:ascii="Arial" w:cs="Arial" w:eastAsia="Arial" w:hAnsi="Arial"/>
                <w:sz w:val="18"/>
                <w:szCs w:val="18"/>
                <w:color w:val="auto"/>
              </w:rPr>
              <w:t>Broadband operating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4340" w:type="dxa"/>
            <w:vAlign w:val="bottom"/>
          </w:tcPr>
          <w:p>
            <w:pPr>
              <w:ind w:left="20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50,181</w:t>
            </w:r>
          </w:p>
        </w:tc>
        <w:tc>
          <w:tcPr>
            <w:tcW w:w="118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50,608</w:t>
            </w:r>
          </w:p>
        </w:tc>
        <w:tc>
          <w:tcPr>
            <w:tcW w:w="1220" w:type="dxa"/>
            <w:vAlign w:val="bottom"/>
          </w:tcPr>
          <w:p>
            <w:pPr>
              <w:jc w:val="right"/>
              <w:spacing w:after="0"/>
              <w:rPr>
                <w:sz w:val="20"/>
                <w:szCs w:val="20"/>
                <w:color w:val="auto"/>
              </w:rPr>
            </w:pPr>
            <w:r>
              <w:rPr>
                <w:rFonts w:ascii="Arial" w:cs="Arial" w:eastAsia="Arial" w:hAnsi="Arial"/>
                <w:sz w:val="18"/>
                <w:szCs w:val="18"/>
                <w:color w:val="auto"/>
              </w:rPr>
              <w:t>41.8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31,495</w:t>
            </w: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27,430</w:t>
            </w:r>
          </w:p>
        </w:tc>
        <w:tc>
          <w:tcPr>
            <w:tcW w:w="1220" w:type="dxa"/>
            <w:vAlign w:val="bottom"/>
          </w:tcPr>
          <w:p>
            <w:pPr>
              <w:jc w:val="right"/>
              <w:spacing w:after="0"/>
              <w:rPr>
                <w:sz w:val="20"/>
                <w:szCs w:val="20"/>
                <w:color w:val="auto"/>
              </w:rPr>
            </w:pPr>
            <w:r>
              <w:rPr>
                <w:rFonts w:ascii="Arial" w:cs="Arial" w:eastAsia="Arial" w:hAnsi="Arial"/>
                <w:sz w:val="18"/>
                <w:szCs w:val="18"/>
                <w:color w:val="auto"/>
              </w:rPr>
              <w:t>22.6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42"/>
        </w:trPr>
        <w:tc>
          <w:tcPr>
            <w:tcW w:w="4340" w:type="dxa"/>
            <w:vAlign w:val="bottom"/>
          </w:tcPr>
          <w:p>
            <w:pPr>
              <w:ind w:left="20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460</w:t>
            </w: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Impairment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1,020</w:t>
            </w: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4,407</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44"/>
        </w:trPr>
        <w:tc>
          <w:tcPr>
            <w:tcW w:w="43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4340" w:type="dxa"/>
            <w:vAlign w:val="bottom"/>
          </w:tcPr>
          <w:p>
            <w:pPr>
              <w:ind w:left="340"/>
              <w:spacing w:after="0"/>
              <w:rPr>
                <w:sz w:val="20"/>
                <w:szCs w:val="20"/>
                <w:color w:val="auto"/>
              </w:rPr>
            </w:pPr>
            <w:r>
              <w:rPr>
                <w:rFonts w:ascii="Arial" w:cs="Arial" w:eastAsia="Arial" w:hAnsi="Arial"/>
                <w:sz w:val="18"/>
                <w:szCs w:val="18"/>
                <w:color w:val="auto"/>
              </w:rPr>
              <w:t>Total broadband operating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112,869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108,838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Broadband 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w:t>
      </w:r>
    </w:p>
    <w:p>
      <w:pPr>
        <w:spacing w:after="0" w:line="10" w:lineRule="exact"/>
        <w:rPr>
          <w:sz w:val="20"/>
          <w:szCs w:val="20"/>
          <w:color w:val="auto"/>
        </w:rPr>
      </w:pPr>
    </w:p>
    <w:p>
      <w:pPr>
        <w:ind w:left="660" w:hanging="328"/>
        <w:spacing w:after="0" w:line="296" w:lineRule="auto"/>
        <w:tabs>
          <w:tab w:leader="none" w:pos="660" w:val="left"/>
        </w:tabs>
        <w:numPr>
          <w:ilvl w:val="0"/>
          <w:numId w:val="6"/>
        </w:numPr>
        <w:rPr>
          <w:rFonts w:ascii="Arial" w:cs="Arial" w:eastAsia="Arial" w:hAnsi="Arial"/>
          <w:sz w:val="13"/>
          <w:szCs w:val="13"/>
          <w:b w:val="1"/>
          <w:bCs w:val="1"/>
          <w:i w:val="1"/>
          <w:iCs w:val="1"/>
          <w:color w:val="212529"/>
        </w:rPr>
      </w:pPr>
      <w:r>
        <w:rPr>
          <w:rFonts w:ascii="Arial" w:cs="Arial" w:eastAsia="Arial" w:hAnsi="Arial"/>
          <w:sz w:val="13"/>
          <w:szCs w:val="13"/>
          <w:color w:val="auto"/>
        </w:rPr>
        <w:t>Shentel has presented Residential &amp; SMB - Cable Markets and Residential &amp; SMB - Glo Fiber Markets separately for the six months ended June 30, 2023. These revenues were previously reported in one line under the description “Residential &amp; SMB”. Shentel has amended the presentation for the six months ended June 30, 2022 for comparability.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 Cable Markets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Residential &amp; SMB - Cable Markets revenue for the six months ended June 30, 2023 increased approximately $1.8 million, or 2.1%, compared with the six months ended June 30, 2022, primarily driven by 1.4% year-over-year growth in data RGUs and 2.1% increase in data ARPU driven by increased customer demand for higher speed data service.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 Glo Fiber Markets revenue</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Residential &amp; SMB - Glo Fiber Markets revenue for the six months ended June 30, 2023 increased approximately $7.7 million, or 102.9%, compared with the six months ended June 30, 2022, primarily driven by 91.8% year-over-year growth in data RGUs driven by the Company’s expansion of Glo Fiber.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Fiber revenue</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Commercial Fiber revenue for the six months ended June 30, 2023 increased approximately $3.5 million, or 19.3%, compared with the six months ended June 30, 2022, primarily driven by $2.5 million in T-Mobile non-recurring early termination fees and $0.9 million in recurring revenue driven by 18.3% increase in connections. T-Mobile disconnected 210 backhaul circuits during the six months ended June 30, 2023 as part of their previously announced rationalization of the former Sprint network. The Company expects 151 additional backhaul disconnects in 2023 as part of the network rationalization.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services for the six months ended June 30, 2023, decreased approximately $0.4 million, or 0.8%, compared with the six months ended June 30, 2022, primarily driven by lower payroll costs due to higher capitalized labor and lower medical benefit costs, partially offset by higher line costs due to the expansion of the network into new markets and mobile switching centers of wireless carrier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Selling, general and administrative expense for the six months ended June 30, 2023, increased $4.1 million, or 14.8%, compared with the six months ended June 30, 2022, primarily driven by higher advertising costs associated with the Company’s expansion of Glo Fiber and a change in strategy to drive more gross subscriber additions to low cost sales channels, higher information technology costs as a result of the Company’s investment in upgraded systems, and higher operating taxes associated with increased network assets associated with the expansion of Glo Fiber.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expense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recorded impairment charges of $1.0 million during the six months ended June 30, 2023, compared with $4.4 million of impairment charges recorded during the six months ended June 30, 2022. Impairment charges for the six months ended June 30, 2023 were primarily a result of colocation lease right-of-use assets that are no longer expected to be used and have no alternative use, while impairment charges in the six months ended June 30, 2022 were primarily a result of the Company’s expected decommissioning of Beam fixed wireless sites.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Depreciation and amortization increased $4.2 million, or 16.3%, compared with the six months ended June 30, 2022, primarily driven by the Company’s expansion of its Glo Fiber network.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Tower</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Tower segment owns cell towers and leases colocation space on the towers to wireless communications providers. Substantially all of our owned towers are built on ground that we lease from the respective landlords.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indicates selected operating statistics of the Tower segment: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97"/>
        </w:trPr>
        <w:tc>
          <w:tcPr>
            <w:tcW w:w="7780" w:type="dxa"/>
            <w:vAlign w:val="bottom"/>
          </w:tcPr>
          <w:p>
            <w:pPr>
              <w:spacing w:after="0"/>
              <w:rPr>
                <w:sz w:val="24"/>
                <w:szCs w:val="24"/>
                <w:color w:val="auto"/>
              </w:rPr>
            </w:pPr>
          </w:p>
        </w:tc>
        <w:tc>
          <w:tcPr>
            <w:tcW w:w="1240" w:type="dxa"/>
            <w:vAlign w:val="bottom"/>
          </w:tcPr>
          <w:p>
            <w:pPr>
              <w:ind w:left="520"/>
              <w:spacing w:after="0"/>
              <w:rPr>
                <w:sz w:val="20"/>
                <w:szCs w:val="20"/>
                <w:color w:val="auto"/>
              </w:rPr>
            </w:pPr>
            <w:r>
              <w:rPr>
                <w:rFonts w:ascii="Arial" w:cs="Arial" w:eastAsia="Arial" w:hAnsi="Arial"/>
                <w:sz w:val="18"/>
                <w:szCs w:val="18"/>
                <w:b w:val="1"/>
                <w:bCs w:val="1"/>
                <w:color w:val="auto"/>
                <w:w w:val="97"/>
              </w:rPr>
              <w:t>June 30,</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r>
      <w:tr>
        <w:trPr>
          <w:trHeight w:val="239"/>
        </w:trPr>
        <w:tc>
          <w:tcPr>
            <w:tcW w:w="9020" w:type="dxa"/>
            <w:vAlign w:val="bottom"/>
            <w:gridSpan w:val="2"/>
          </w:tcPr>
          <w:p>
            <w:pPr>
              <w:ind w:left="844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20"/>
                <w:szCs w:val="20"/>
                <w:color w:val="auto"/>
              </w:rPr>
            </w:pPr>
          </w:p>
        </w:tc>
        <w:tc>
          <w:tcPr>
            <w:tcW w:w="18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6"/>
        </w:trPr>
        <w:tc>
          <w:tcPr>
            <w:tcW w:w="7780" w:type="dxa"/>
            <w:vAlign w:val="bottom"/>
          </w:tcPr>
          <w:p>
            <w:pPr>
              <w:ind w:left="20"/>
              <w:spacing w:after="0"/>
              <w:rPr>
                <w:sz w:val="20"/>
                <w:szCs w:val="20"/>
                <w:color w:val="auto"/>
              </w:rPr>
            </w:pPr>
            <w:r>
              <w:rPr>
                <w:rFonts w:ascii="Arial" w:cs="Arial" w:eastAsia="Arial" w:hAnsi="Arial"/>
                <w:sz w:val="18"/>
                <w:szCs w:val="18"/>
                <w:color w:val="auto"/>
              </w:rPr>
              <w:t>Macro tower sites</w:t>
            </w:r>
          </w:p>
        </w:tc>
        <w:tc>
          <w:tcPr>
            <w:tcW w:w="1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Tenants</w:t>
            </w:r>
          </w:p>
        </w:tc>
        <w:tc>
          <w:tcPr>
            <w:tcW w:w="420" w:type="dxa"/>
            <w:vAlign w:val="bottom"/>
          </w:tcPr>
          <w:p>
            <w:pPr>
              <w:jc w:val="right"/>
              <w:spacing w:after="0"/>
              <w:rPr>
                <w:sz w:val="20"/>
                <w:szCs w:val="20"/>
                <w:color w:val="auto"/>
              </w:rPr>
            </w:pPr>
            <w:r>
              <w:rPr>
                <w:rFonts w:ascii="Arial" w:cs="Arial" w:eastAsia="Arial" w:hAnsi="Arial"/>
                <w:sz w:val="18"/>
                <w:szCs w:val="18"/>
                <w:color w:val="auto"/>
              </w:rPr>
              <w:t>448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Average tenants per tower</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with the Three Months Ended June 30, 2022</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Tower results from operations are summarized as follows:</w:t>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Three Months Ended June 30,</w:t>
            </w:r>
          </w:p>
        </w:tc>
        <w:tc>
          <w:tcPr>
            <w:tcW w:w="1160" w:type="dxa"/>
            <w:vAlign w:val="bottom"/>
            <w:tcBorders>
              <w:bottom w:val="single" w:sz="8" w:color="auto"/>
            </w:tcBorders>
          </w:tcPr>
          <w:p>
            <w:pPr>
              <w:spacing w:after="0"/>
              <w:rPr>
                <w:sz w:val="20"/>
                <w:szCs w:val="20"/>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r>
      <w:tr>
        <w:trPr>
          <w:trHeight w:val="222"/>
        </w:trPr>
        <w:tc>
          <w:tcPr>
            <w:tcW w:w="4340" w:type="dxa"/>
            <w:vAlign w:val="bottom"/>
          </w:tcPr>
          <w:p>
            <w:pPr>
              <w:ind w:left="120"/>
              <w:spacing w:after="0"/>
              <w:rPr>
                <w:sz w:val="20"/>
                <w:szCs w:val="20"/>
                <w:color w:val="auto"/>
              </w:rPr>
            </w:pPr>
            <w:r>
              <w:rPr>
                <w:rFonts w:ascii="Arial" w:cs="Arial" w:eastAsia="Arial" w:hAnsi="Arial"/>
                <w:sz w:val="18"/>
                <w:szCs w:val="18"/>
                <w:color w:val="auto"/>
              </w:rPr>
              <w:t>Tower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4,753</w:t>
            </w: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4,702</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4"/>
        </w:trPr>
        <w:tc>
          <w:tcPr>
            <w:tcW w:w="4340" w:type="dxa"/>
            <w:vAlign w:val="bottom"/>
          </w:tcPr>
          <w:p>
            <w:pPr>
              <w:ind w:left="120"/>
              <w:spacing w:after="0"/>
              <w:rPr>
                <w:sz w:val="20"/>
                <w:szCs w:val="20"/>
                <w:color w:val="auto"/>
              </w:rPr>
            </w:pPr>
            <w:r>
              <w:rPr>
                <w:rFonts w:ascii="Arial" w:cs="Arial" w:eastAsia="Arial" w:hAnsi="Arial"/>
                <w:sz w:val="18"/>
                <w:szCs w:val="18"/>
                <w:color w:val="auto"/>
              </w:rPr>
              <w:t>Tower operating expenses</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Tower 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Revenue for the three months ended June 30, 2023 was consistent with revenue for the three months ended June 30, 2022.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290"/>
        <w:spacing w:after="0"/>
        <w:rPr>
          <w:sz w:val="20"/>
          <w:szCs w:val="20"/>
          <w:color w:val="auto"/>
        </w:rPr>
      </w:pPr>
      <w:r>
        <w:rPr>
          <w:rFonts w:ascii="Arial" w:cs="Arial" w:eastAsia="Arial" w:hAnsi="Arial"/>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26035</wp:posOffset>
            </wp:positionV>
            <wp:extent cx="13201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0" w:lineRule="exact"/>
        <w:rPr>
          <w:sz w:val="20"/>
          <w:szCs w:val="20"/>
          <w:color w:val="auto"/>
        </w:rPr>
      </w:pPr>
    </w:p>
    <w:p>
      <w:pPr>
        <w:ind w:left="1050" w:hanging="1050"/>
        <w:spacing w:after="0"/>
        <w:tabs>
          <w:tab w:leader="none" w:pos="105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17145</wp:posOffset>
            </wp:positionV>
            <wp:extent cx="13201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 w:lineRule="exact"/>
        <w:rPr>
          <w:sz w:val="20"/>
          <w:szCs w:val="20"/>
          <w:color w:val="auto"/>
        </w:rPr>
      </w:pPr>
    </w:p>
    <w:p>
      <w:pPr>
        <w:ind w:left="290"/>
        <w:spacing w:after="0"/>
        <w:tabs>
          <w:tab w:leader="none" w:pos="1309"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1.1</w:t>
      </w:r>
    </w:p>
    <w:p>
      <w:pPr>
        <w:spacing w:after="0" w:line="36" w:lineRule="exact"/>
        <w:rPr>
          <w:sz w:val="20"/>
          <w:szCs w:val="20"/>
          <w:color w:val="auto"/>
        </w:rPr>
      </w:pPr>
    </w:p>
    <w:p>
      <w:pPr>
        <w:ind w:left="1250" w:hanging="1131"/>
        <w:spacing w:after="0"/>
        <w:tabs>
          <w:tab w:leader="none" w:pos="1250" w:val="left"/>
        </w:tabs>
        <w:numPr>
          <w:ilvl w:val="0"/>
          <w:numId w:val="8"/>
        </w:numPr>
        <w:rPr>
          <w:rFonts w:ascii="Arial" w:cs="Arial" w:eastAsia="Arial" w:hAnsi="Arial"/>
          <w:sz w:val="17"/>
          <w:szCs w:val="17"/>
          <w:color w:val="auto"/>
        </w:rPr>
      </w:pPr>
      <w:r>
        <w:rPr>
          <w:rFonts w:ascii="Arial" w:cs="Arial" w:eastAsia="Arial" w:hAnsi="Arial"/>
          <w:sz w:val="17"/>
          <w:szCs w:val="17"/>
          <w:color w:val="auto"/>
        </w:rPr>
        <w:t>(6.2)</w:t>
      </w:r>
    </w:p>
    <w:p>
      <w:pPr>
        <w:spacing w:after="0" w:line="74" w:lineRule="exact"/>
        <w:rPr>
          <w:rFonts w:ascii="Arial" w:cs="Arial" w:eastAsia="Arial" w:hAnsi="Arial"/>
          <w:sz w:val="17"/>
          <w:szCs w:val="17"/>
          <w:color w:val="auto"/>
        </w:rPr>
      </w:pPr>
    </w:p>
    <w:p>
      <w:pPr>
        <w:ind w:left="190"/>
        <w:spacing w:after="0"/>
        <w:rPr>
          <w:rFonts w:ascii="Arial" w:cs="Arial" w:eastAsia="Arial" w:hAnsi="Arial"/>
          <w:sz w:val="17"/>
          <w:szCs w:val="17"/>
          <w:color w:val="auto"/>
        </w:rPr>
      </w:pPr>
      <w:r>
        <w:rPr>
          <w:rFonts w:ascii="Arial" w:cs="Arial" w:eastAsia="Arial" w:hAnsi="Arial"/>
          <w:sz w:val="18"/>
          <w:szCs w:val="18"/>
          <w:color w:val="auto"/>
        </w:rPr>
        <w:t>202</w:t>
      </w:r>
      <w:r>
        <w:rPr>
          <w:rFonts w:ascii="Arial" w:cs="Arial" w:eastAsia="Arial" w:hAnsi="Arial"/>
          <w:sz w:val="15"/>
          <w:szCs w:val="15"/>
          <w:color w:val="auto"/>
        </w:rPr>
        <w:t>8.8</w:t>
      </w:r>
    </w:p>
    <w:p>
      <w:pPr>
        <w:spacing w:after="0" w:line="1265" w:lineRule="exact"/>
        <w:rPr>
          <w:sz w:val="20"/>
          <w:szCs w:val="20"/>
          <w:color w:val="auto"/>
        </w:rPr>
      </w:pPr>
    </w:p>
    <w:p>
      <w:pPr>
        <w:sectPr>
          <w:pgSz w:w="11900" w:h="16838" w:orient="portrait"/>
          <w:cols w:equalWidth="0" w:num="2">
            <w:col w:w="9060" w:space="550"/>
            <w:col w:w="1630"/>
          </w:cols>
          <w:pgMar w:left="320" w:top="125" w:right="339" w:bottom="1440" w:gutter="0" w:footer="0" w:header="0"/>
          <w:type w:val="continuous"/>
        </w:sectPr>
      </w:pPr>
    </w:p>
    <w:p>
      <w:pPr>
        <w:spacing w:after="0" w:line="260" w:lineRule="auto"/>
        <w:rPr>
          <w:sz w:val="20"/>
          <w:szCs w:val="20"/>
          <w:color w:val="auto"/>
        </w:rPr>
      </w:pPr>
      <w:r>
        <w:rPr>
          <w:rFonts w:ascii="Arial" w:cs="Arial" w:eastAsia="Arial" w:hAnsi="Arial"/>
          <w:sz w:val="18"/>
          <w:szCs w:val="18"/>
          <w:color w:val="auto"/>
        </w:rPr>
        <w:t>Operating expenses decreased approximately $0.2 million, or 6.2% for the three months ended June 30, 2023 compared with the three months ended June 30, 2022, primarily driven by lower depreciation and professional service costs.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4"/>
          </w:tcPr>
          <w:p>
            <w:pPr>
              <w:spacing w:after="0"/>
              <w:rPr>
                <w:sz w:val="20"/>
                <w:szCs w:val="20"/>
                <w:color w:val="auto"/>
              </w:rPr>
            </w:pPr>
            <w:r>
              <w:rPr>
                <w:rFonts w:ascii="Arial" w:cs="Arial" w:eastAsia="Arial" w:hAnsi="Arial"/>
                <w:sz w:val="18"/>
                <w:szCs w:val="18"/>
                <w:b w:val="1"/>
                <w:bCs w:val="1"/>
                <w:color w:val="auto"/>
                <w:w w:val="91"/>
              </w:rPr>
              <w:t>Six Months Ended June 30, 2023 Compared with the Six Months Ended June 30, 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4360" w:type="dxa"/>
            <w:vAlign w:val="bottom"/>
          </w:tcPr>
          <w:p>
            <w:pPr>
              <w:spacing w:after="0"/>
              <w:rPr>
                <w:sz w:val="20"/>
                <w:szCs w:val="20"/>
                <w:color w:val="auto"/>
              </w:rPr>
            </w:pPr>
            <w:r>
              <w:rPr>
                <w:rFonts w:ascii="Arial" w:cs="Arial" w:eastAsia="Arial" w:hAnsi="Arial"/>
                <w:sz w:val="18"/>
                <w:szCs w:val="18"/>
                <w:color w:val="auto"/>
                <w:w w:val="94"/>
              </w:rPr>
              <w:t>Tower results from operations are summarized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Six Months Ended June 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4"/>
                <w:szCs w:val="24"/>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4"/>
        </w:trPr>
        <w:tc>
          <w:tcPr>
            <w:tcW w:w="4360" w:type="dxa"/>
            <w:vAlign w:val="bottom"/>
          </w:tcPr>
          <w:p>
            <w:pPr>
              <w:ind w:left="140"/>
              <w:spacing w:after="0"/>
              <w:rPr>
                <w:sz w:val="20"/>
                <w:szCs w:val="20"/>
                <w:color w:val="auto"/>
              </w:rPr>
            </w:pPr>
            <w:r>
              <w:rPr>
                <w:rFonts w:ascii="Arial" w:cs="Arial" w:eastAsia="Arial" w:hAnsi="Arial"/>
                <w:sz w:val="18"/>
                <w:szCs w:val="18"/>
                <w:color w:val="auto"/>
              </w:rPr>
              <w:t>Tower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9,329</w:t>
            </w: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9,549</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2"/>
        </w:trPr>
        <w:tc>
          <w:tcPr>
            <w:tcW w:w="4360" w:type="dxa"/>
            <w:vAlign w:val="bottom"/>
          </w:tcPr>
          <w:p>
            <w:pPr>
              <w:ind w:left="140"/>
              <w:spacing w:after="0"/>
              <w:rPr>
                <w:sz w:val="20"/>
                <w:szCs w:val="20"/>
                <w:color w:val="auto"/>
              </w:rPr>
            </w:pPr>
            <w:r>
              <w:rPr>
                <w:rFonts w:ascii="Arial" w:cs="Arial" w:eastAsia="Arial" w:hAnsi="Arial"/>
                <w:sz w:val="18"/>
                <w:szCs w:val="18"/>
                <w:color w:val="auto"/>
              </w:rPr>
              <w:t>Tower operating expenses</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Tower 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Revenue decreased approximately $0.2 million, or 2.3%, for the six months ended June 30, 2023 compared with the six months ended June 30, 2022, primarily driven by lower application fee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for the six months ended June 30, 2023 were consistent with operating expenses for the six months ended June 30,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 Liquidity and Capital Resources</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Sources and Uses of Cash: </w:t>
      </w:r>
      <w:r>
        <w:rPr>
          <w:rFonts w:ascii="Arial" w:cs="Arial" w:eastAsia="Arial" w:hAnsi="Arial"/>
          <w:sz w:val="18"/>
          <w:szCs w:val="18"/>
          <w:color w:val="auto"/>
        </w:rPr>
        <w:t>Our principal sources of liquidity are our cash and cash equivalents, cash generated from operations, and borrowings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dated July 1, 2021 and as amended in May 2023 (the “Credit Agreement”).</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2021, Congress passed the American Rescue Plan Act to subsidize the deployment of high-speed broadband internet access in unserved areas. We have been awarded approximately $87.5 million in grants to serve approximately 27,600 unserved homes in the states of Virginia, West Virginia and Maryland. The grants will be paid to the Company as certain milestones are completed. The Company expects to its fulfill its performance obligations during the period from 2023 to 2025.</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2023, our cash and cash equivalents totaled $26.3 million and the availability under our delayed draw term loans and revolving line of credit was $275.0 million, for total available liquidity of $301.3 million.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activities generated approximately $69.8 million of cash during the six months ended June 30, 2023, representing an increase of $31.1 million compared with the prior year period, driven primarily by tax refunds received during the six months ended June 30, 2023 and changes in working capital, partially offset by settlement of Shentel’s pension plan.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increased $47.2 million during the six months ended June 30, 2023, compared with the six months ended June 30, 2022, primarily driven by a $47.5 million increase in capital expenditures as a result of higher spending in the Broadband segment to enable our Glo Fiber market expansion.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provided by financing activities was $48.1 million during the six months ended June 30, 2023, compared with net cash used in financing activities of $1.3 million for the six months ended June 30, 2022. The change was primarily driven by $50.0 million borrowed under the Company’s team loans during the six months ended June 30, 2023, partially offset by increases in cash paid for taxes associated with equity award issuances.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received approximately $29.0 million in net cash refunds for income and sales taxes during the six months ended June 30, 2023.</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Indebtedness</w:t>
      </w:r>
      <w:r>
        <w:rPr>
          <w:rFonts w:ascii="Arial" w:cs="Arial" w:eastAsia="Arial" w:hAnsi="Arial"/>
          <w:sz w:val="17"/>
          <w:szCs w:val="17"/>
          <w:color w:val="auto"/>
        </w:rPr>
        <w:t>: During the six months ended June 30, 2023, we borrowed $50.0 million under each of the delayed draw term loan facilities available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Credit Agreement for a total of $125.0 million. The commitments of the lenders under the Credit Agreement to make these term loans to us expire on December 31, 2023. After this date, we will not be able to borrow any undrawn portion of the term loan commitments. We expect to borrow the remaining $175.0 million available under these term loans by December 31, 2023 to fund planned capital expenditures to continue our Glo Fiber network expansion. As of June 30, 2023, the Company’s indebtedness totaled approximately $124.9 million, net of unamortized loan fees of $0.1 million, with an annualized overall weighted average effective interest rate of approximately 5.71%.</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will be required to commence making principal repayments of these term loans on March 31, 2024. The amount of these principal repayments is calculated as a percentage of the principal amount of the term loans outstanding. Based on the principal amounts outstanding as of June 30, 2023, (i) the first term loan will require quarterly principal repayments of $0.4 million from March 31, 2024 through June 30, 2024, then increasing to $0.8 million quarterly from September 30, 2024 through March 31, 2026, with the remaining balance due June 30, 2026, and (ii) the second term loan will require quarterly principal repayments of $0.2 million from March 31, 2024 through March 31, 2028, with the remaining balance due June 30, 2028. These repayment amounts, as well as our interest expense, will increase to the extent we borrow any of the remaining $175.0 million available under the term loans by the borrowing deadline as we expect.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more information about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was in compliance with the financial covenants in our Credit Agreement.</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expect our cash on hand, cash flow from operations, and availability of funds from our Credit Agreement as well as government grants will be sufficient to meet our anticipated liquidity needs for business operations for the next twelve months. There can be no assurance that we will continue to generate cash flows at or above current levels.</w:t>
      </w: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During the second quarter of 2023, our capital expenditures of $136.2 million exceeded our net cash provided by operating activities by $66.4 million, and we expect our capital expenditures will continue to exceed the cash flow provided from operations through 2025, as we expand our Glo Fiber broadband network to potentially reach over 450,000 passings. During 2023, we anticipate funding $260 to $300 million in capital expenditures primarily related to continuing our network expansion for Glo Fiber and government subsidized unserved homes with net cash provided by operating activities, proceeds from our delayed draw term loans and government grants.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actual amount and timing of our future capital requirements may differ materially from our estimates depending on the demand for our products and services, new market developments and expansion opportunities.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cash flows from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critical accounting policies previously disclosed in Part II, Item 8 of our 2022 Form 10-K for the year ended December 31, 2022.</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borrowed a total of $125.0 million pursuant to the variable rate delayed draw term loans available under the Credit Agreement, and we expect to continue to borrow under our Credit Agreement as needed to fund the Company’s future capital expenditures. We expect to draw an additional $175.0 million against the Credit Agreement by December 31, 2023. Fluctuations in interest rates on future borrowings could result in increased market risk.</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June 30, 2023, the Company had $125.0 million of gross variable rate debt outstanding, bearing interest at an annualized weighted average effective rate of 5.71%. An increase in market interest rates of 1.00% would add approximately $1.2 million to annual interest expense.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May 2023, Shentel entered into pay fixed, receive variable interest rate swaps totaling $150.0 million of notional principal (the “Swaps”). The Swaps contain monthly payment terms beginning in May 2024 which extend through their maturity dates in June 2026. The Swaps are designated as a cash flow hedge, representing 50% of the Company’s expected outstanding debt (including expected future borrowings under the Term Loans). The Company uses the Swaps to manage its exposure to interest rate risk for its long-term variable-rate Term Loans through interest rate swaps. When the Swaps' payments term begins, Shentel will effectively pay a fixed weighted-average interest rate of 2.90%, prior to margin added associated with our credit facility.</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June 30, 2023. Our certifying officers concluded that our disclosure controls and procedures were effective as of 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June 30, 2023, the Company has not identified any needed updates to the risk factors included in our most recent Form 10-K.</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June 30, 2023, to settle employee tax withholding obligations related to the vesting of stock awards.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Average Price</w:t>
            </w:r>
          </w:p>
        </w:tc>
      </w:tr>
      <w:tr>
        <w:trPr>
          <w:trHeight w:val="230"/>
        </w:trPr>
        <w:tc>
          <w:tcPr>
            <w:tcW w:w="712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Surrendered</w:t>
            </w:r>
          </w:p>
        </w:tc>
        <w:tc>
          <w:tcPr>
            <w:tcW w:w="14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Paid per Share</w:t>
            </w:r>
          </w:p>
        </w:tc>
      </w:tr>
      <w:tr>
        <w:trPr>
          <w:trHeight w:val="224"/>
        </w:trPr>
        <w:tc>
          <w:tcPr>
            <w:tcW w:w="7120" w:type="dxa"/>
            <w:vAlign w:val="bottom"/>
          </w:tcPr>
          <w:p>
            <w:pPr>
              <w:spacing w:after="0"/>
              <w:rPr>
                <w:sz w:val="20"/>
                <w:szCs w:val="20"/>
                <w:color w:val="auto"/>
              </w:rPr>
            </w:pPr>
            <w:r>
              <w:rPr>
                <w:rFonts w:ascii="Arial" w:cs="Arial" w:eastAsia="Arial" w:hAnsi="Arial"/>
                <w:sz w:val="18"/>
                <w:szCs w:val="18"/>
                <w:color w:val="auto"/>
              </w:rPr>
              <w:t>April 1 to April 30</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w:t>
            </w:r>
          </w:p>
        </w:tc>
      </w:tr>
      <w:tr>
        <w:trPr>
          <w:trHeight w:val="241"/>
        </w:trPr>
        <w:tc>
          <w:tcPr>
            <w:tcW w:w="7120" w:type="dxa"/>
            <w:vAlign w:val="bottom"/>
          </w:tcPr>
          <w:p>
            <w:pPr>
              <w:spacing w:after="0"/>
              <w:rPr>
                <w:sz w:val="20"/>
                <w:szCs w:val="20"/>
                <w:color w:val="auto"/>
              </w:rPr>
            </w:pPr>
            <w:r>
              <w:rPr>
                <w:rFonts w:ascii="Arial" w:cs="Arial" w:eastAsia="Arial" w:hAnsi="Arial"/>
                <w:sz w:val="18"/>
                <w:szCs w:val="18"/>
                <w:color w:val="auto"/>
              </w:rPr>
              <w:t>May 1 to May 31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June 1 to June 30</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21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$20.56</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
        </w:trPr>
        <w:tc>
          <w:tcPr>
            <w:tcW w:w="7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2023, none of our officers or directors adopted or terminated any “Rule 10b5-1 trading arrangement” or any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Index</w:t>
      </w:r>
    </w:p>
    <w:p>
      <w:pPr>
        <w:spacing w:after="0" w:line="387" w:lineRule="exact"/>
        <w:rPr>
          <w:sz w:val="20"/>
          <w:szCs w:val="20"/>
          <w:color w:val="auto"/>
        </w:rPr>
      </w:pPr>
    </w:p>
    <w:p>
      <w:pPr>
        <w:ind w:left="180"/>
        <w:spacing w:after="0"/>
        <w:tabs>
          <w:tab w:leader="none" w:pos="12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Exhibit Description</w:t>
      </w:r>
    </w:p>
    <w:p>
      <w:pPr>
        <w:spacing w:after="0" w:line="297" w:lineRule="exact"/>
        <w:rPr>
          <w:sz w:val="20"/>
          <w:szCs w:val="20"/>
          <w:color w:val="auto"/>
        </w:rPr>
      </w:pPr>
    </w:p>
    <w:p>
      <w:pPr>
        <w:ind w:left="1240" w:right="860" w:hanging="781"/>
        <w:spacing w:after="0" w:line="235" w:lineRule="auto"/>
        <w:tabs>
          <w:tab w:leader="none" w:pos="1220" w:val="left"/>
        </w:tabs>
        <w:rPr>
          <w:rFonts w:ascii="Arial" w:cs="Arial" w:eastAsia="Arial" w:hAnsi="Arial"/>
          <w:sz w:val="18"/>
          <w:szCs w:val="18"/>
          <w:color w:val="0000FF"/>
        </w:rPr>
      </w:pPr>
      <w:hyperlink r:id="rId45">
        <w:r>
          <w:rPr>
            <w:rFonts w:ascii="Arial" w:cs="Arial" w:eastAsia="Arial" w:hAnsi="Arial"/>
            <w:sz w:val="18"/>
            <w:szCs w:val="18"/>
            <w:u w:val="single" w:color="auto"/>
            <w:color w:val="0000FF"/>
          </w:rPr>
          <w:t>10.1</w:t>
        </w:r>
      </w:hyperlink>
      <w:r>
        <w:rPr>
          <w:rFonts w:ascii="Arial" w:cs="Arial" w:eastAsia="Arial" w:hAnsi="Arial"/>
          <w:sz w:val="18"/>
          <w:szCs w:val="18"/>
          <w:color w:val="0000FF"/>
        </w:rPr>
        <w:tab/>
        <w:t>Amendment No. 1 to Credit Agreement, dated May 17, 2023, among Shenandoah Telecommunications Company, certain of its subsidiaries, CoBank ACB, as administrative agent, and the other lenders party thereto.</w:t>
      </w:r>
    </w:p>
    <w:p>
      <w:pPr>
        <w:spacing w:after="0" w:line="283"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00"/>
        </w:rPr>
        <w:t>*</w:t>
      </w:r>
      <w:r>
        <w:rPr>
          <w:sz w:val="20"/>
          <w:szCs w:val="20"/>
          <w:color w:val="auto"/>
        </w:rPr>
        <w:tab/>
      </w:r>
      <w:r>
        <w:rPr>
          <w:rFonts w:ascii="Arial" w:cs="Arial" w:eastAsia="Arial" w:hAnsi="Arial"/>
          <w:sz w:val="16"/>
          <w:szCs w:val="16"/>
          <w:color w:val="auto"/>
        </w:rPr>
        <w:t>Certification of Principal Executive Officer pursuant to Rule 13a-14(a) under the Securities Exchange Act of 1934.</w:t>
      </w:r>
    </w:p>
    <w:p>
      <w:pPr>
        <w:spacing w:after="0" w:line="252"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00"/>
        </w:rPr>
        <w:t>*</w:t>
      </w:r>
      <w:r>
        <w:rPr>
          <w:sz w:val="20"/>
          <w:szCs w:val="20"/>
          <w:color w:val="auto"/>
        </w:rPr>
        <w:tab/>
      </w:r>
      <w:r>
        <w:rPr>
          <w:rFonts w:ascii="Arial" w:cs="Arial" w:eastAsia="Arial" w:hAnsi="Arial"/>
          <w:sz w:val="16"/>
          <w:szCs w:val="16"/>
          <w:color w:val="auto"/>
        </w:rPr>
        <w:t>Certification of Principal Financial Officer pursuant to Rule 13a-14(a) under the Securities Exchange Act of 1934.</w:t>
      </w:r>
    </w:p>
    <w:p>
      <w:pPr>
        <w:spacing w:after="0" w:line="306"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18"/>
          <w:szCs w:val="18"/>
          <w:u w:val="single" w:color="auto"/>
          <w:color w:val="0000FF"/>
        </w:rPr>
        <w:t>31.3</w:t>
      </w:r>
      <w:r>
        <w:rPr>
          <w:rFonts w:ascii="Arial" w:cs="Arial" w:eastAsia="Arial" w:hAnsi="Arial"/>
          <w:sz w:val="18"/>
          <w:szCs w:val="18"/>
          <w:color w:val="000000"/>
        </w:rPr>
        <w:t>*</w:t>
      </w:r>
      <w:r>
        <w:rPr>
          <w:sz w:val="20"/>
          <w:szCs w:val="20"/>
          <w:color w:val="auto"/>
        </w:rPr>
        <w:tab/>
      </w:r>
      <w:r>
        <w:rPr>
          <w:rFonts w:ascii="Arial" w:cs="Arial" w:eastAsia="Arial" w:hAnsi="Arial"/>
          <w:sz w:val="16"/>
          <w:szCs w:val="16"/>
          <w:color w:val="auto"/>
        </w:rPr>
        <w:t>Certification of Principal Accounting Officer pursuant to Rule 13a-14(a) under the Securities Exchange Act of 1934.</w:t>
      </w:r>
    </w:p>
    <w:p>
      <w:pPr>
        <w:spacing w:after="0" w:line="293"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18"/>
          <w:szCs w:val="18"/>
          <w:u w:val="single" w:color="auto"/>
          <w:color w:val="0000FF"/>
        </w:rPr>
        <w:t>32</w:t>
      </w:r>
      <w:r>
        <w:rPr>
          <w:rFonts w:ascii="Arial" w:cs="Arial" w:eastAsia="Arial" w:hAnsi="Arial"/>
          <w:sz w:val="18"/>
          <w:szCs w:val="18"/>
          <w:color w:val="000000"/>
        </w:rPr>
        <w:t>**</w:t>
      </w:r>
      <w:r>
        <w:rPr>
          <w:sz w:val="20"/>
          <w:szCs w:val="20"/>
          <w:color w:val="auto"/>
        </w:rPr>
        <w:tab/>
      </w:r>
      <w:r>
        <w:rPr>
          <w:rFonts w:ascii="Arial" w:cs="Arial" w:eastAsia="Arial" w:hAnsi="Arial"/>
          <w:sz w:val="16"/>
          <w:szCs w:val="16"/>
          <w:color w:val="auto"/>
        </w:rPr>
        <w:t>Certifications pursuant to Rule 13a-14(b) under the Securities Exchange Act of 1934 and 18 U.S.C. § 1350.</w:t>
      </w:r>
    </w:p>
    <w:p>
      <w:pPr>
        <w:spacing w:after="0" w:line="266" w:lineRule="exact"/>
        <w:rPr>
          <w:sz w:val="20"/>
          <w:szCs w:val="20"/>
          <w:color w:val="auto"/>
        </w:rPr>
      </w:pPr>
    </w:p>
    <w:p>
      <w:pPr>
        <w:ind w:left="1240" w:hanging="82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Formatted in Inline XBRL (Extensible Business Reporting Language)</w:t>
      </w:r>
    </w:p>
    <w:p>
      <w:pPr>
        <w:spacing w:after="0" w:line="234"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8880" w:type="dxa"/>
            <w:vAlign w:val="bottom"/>
          </w:tcPr>
          <w:p>
            <w:pPr>
              <w:ind w:left="3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w:t>
            </w:r>
          </w:p>
        </w:tc>
      </w:tr>
      <w:tr>
        <w:trPr>
          <w:trHeight w:val="230"/>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Arial" w:cs="Arial" w:eastAsia="Arial" w:hAnsi="Arial"/>
                <w:sz w:val="18"/>
                <w:szCs w:val="18"/>
                <w:color w:val="auto"/>
              </w:rPr>
              <w:t>tags are embedded within the Inline XBRL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Schema Document</w:t>
            </w:r>
          </w:p>
        </w:tc>
      </w:tr>
      <w:tr>
        <w:trPr>
          <w:trHeight w:val="473"/>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7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73"/>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69" w:lineRule="exact"/>
        <w:rPr>
          <w:sz w:val="20"/>
          <w:szCs w:val="20"/>
          <w:color w:val="auto"/>
        </w:rPr>
      </w:pPr>
    </w:p>
    <w:p>
      <w:pPr>
        <w:ind w:right="4240" w:firstLine="480"/>
        <w:spacing w:after="0" w:line="641" w:lineRule="auto"/>
        <w:tabs>
          <w:tab w:leader="none" w:pos="1232"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660" w:hanging="652"/>
        <w:spacing w:after="0" w:line="263"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-894080</wp:posOffset>
            </wp:positionV>
            <wp:extent cx="55753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5753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SHENANDOAH TELECOMMUNICATIONS COMPANY</w:t>
      </w:r>
    </w:p>
    <w:p>
      <w:pPr>
        <w:spacing w:after="0" w:line="37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 James J. Volk</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J. Volk</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Senior Vice President and Chief Financial Officer</w:t>
      </w:r>
    </w:p>
    <w:p>
      <w:pPr>
        <w:ind w:left="1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August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25" w:right="3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08" w:lineRule="auto"/>
        <w:tabs>
          <w:tab w:leader="none" w:pos="980" w:val="left"/>
        </w:tabs>
        <w:numPr>
          <w:ilvl w:val="2"/>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571"/>
        <w:spacing w:after="0" w:line="34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308" w:lineRule="auto"/>
        <w:tabs>
          <w:tab w:leader="none" w:pos="980" w:val="left"/>
        </w:tabs>
        <w:numPr>
          <w:ilvl w:val="2"/>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2343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23430"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Dennis Romps, certify that:</w:t>
      </w:r>
    </w:p>
    <w:p>
      <w:pPr>
        <w:spacing w:after="0" w:line="11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9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/S/DENNIS ROMPS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Dennis Romps, Vice President - Chief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234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2343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2343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97" w:lineRule="exact"/>
        <w:rPr>
          <w:sz w:val="20"/>
          <w:szCs w:val="20"/>
          <w:color w:val="auto"/>
        </w:rPr>
      </w:pPr>
    </w:p>
    <w:p>
      <w:pPr>
        <w:ind w:right="360" w:firstLine="656"/>
        <w:spacing w:after="0" w:line="263" w:lineRule="auto"/>
        <w:tabs>
          <w:tab w:leader="none" w:pos="12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three and six months ended June 30, 2023 filed on the date hereof with the Securities and Exchange Commission (the “Report”) fully complies with the requirements of Section 13(a) or 15(d) of the Securities Exchange Act of 1934; and</w:t>
      </w:r>
    </w:p>
    <w:p>
      <w:pPr>
        <w:spacing w:after="0" w:line="183" w:lineRule="exact"/>
        <w:rPr>
          <w:rFonts w:ascii="Arial" w:cs="Arial" w:eastAsia="Arial" w:hAnsi="Arial"/>
          <w:sz w:val="18"/>
          <w:szCs w:val="18"/>
          <w:color w:val="auto"/>
        </w:rPr>
      </w:pPr>
    </w:p>
    <w:p>
      <w:pPr>
        <w:ind w:left="1220" w:hanging="564"/>
        <w:spacing w:after="0"/>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Christopher E. French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August 2, 2023</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J. Volk</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August 2, 2023</w:t>
      </w:r>
    </w:p>
    <w:p>
      <w:pPr>
        <w:spacing w:after="0" w:line="3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2343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23430" cy="34290"/>
                    </a:xfrm>
                    <a:prstGeom prst="rect">
                      <a:avLst/>
                    </a:prstGeom>
                    <a:noFill/>
                  </pic:spPr>
                </pic:pic>
              </a:graphicData>
            </a:graphic>
          </wp:anchor>
        </w:drawing>
      </w:r>
    </w:p>
    <w:sectPr>
      <w:pgSz w:w="11900" w:h="16838" w:orient="portrait"/>
      <w:cols w:equalWidth="0" w:num="1">
        <w:col w:w="11240"/>
      </w:cols>
      <w:pgMar w:left="3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51"/>
    </w:lvl>
  </w:abstractNum>
  <w:abstractNum w:abstractNumId="8">
    <w:nsid w:val="66EF438D"/>
    <w:multiLevelType w:val="hybridMultilevel"/>
    <w:lvl w:ilvl="0">
      <w:lvlJc w:val="left"/>
      <w:lvlText w:val="(%1)"/>
      <w:numFmt w:val="decimal"/>
      <w:start w:val="101"/>
    </w:lvl>
  </w:abstractNum>
  <w:abstractNum w:abstractNumId="9">
    <w:nsid w:val="140E0F76"/>
    <w:multiLevelType w:val="hybridMultilevel"/>
    <w:lvl w:ilvl="0">
      <w:lvlJc w:val="left"/>
      <w:lvlText w:val="*"/>
      <w:numFmt w:val="bullet"/>
      <w:start w:val="1"/>
    </w:lvl>
    <w:lvl w:ilvl="1">
      <w:lvlJc w:val="left"/>
      <w:lvlText w:val="%2"/>
      <w:numFmt w:val="decimal"/>
      <w:start w:val="104"/>
    </w:lvl>
  </w:abstractNum>
  <w:abstractNum w:abstractNumId="10">
    <w:nsid w:val="3352255A"/>
    <w:multiLevelType w:val="hybridMultilevel"/>
    <w:lvl w:ilvl="0">
      <w:lvlJc w:val="left"/>
      <w:lvlText w:val="**"/>
      <w:numFmt w:val="bullet"/>
      <w:start w:val="1"/>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decimal"/>
      <w:start w:val="1"/>
    </w:lvl>
  </w:abstractNum>
  <w:abstractNum w:abstractNumId="12">
    <w:nsid w:val="DED7263"/>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3">
    <w:nsid w:val="7FDCC233"/>
    <w:multiLevelType w:val="hybridMultilevel"/>
    <w:lvl w:ilvl="0">
      <w:lvlJc w:val="left"/>
      <w:lvlText w:val="%1."/>
      <w:numFmt w:val="decimal"/>
      <w:start w:val="1"/>
    </w:lvl>
    <w:lvl w:ilvl="1">
      <w:lvlJc w:val="left"/>
      <w:lvlText w:val="(%2)"/>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45" Type="http://schemas.openxmlformats.org/officeDocument/2006/relationships/hyperlink" Target="https://www.sec.gov/ix?doc=/Archives/edgar/data/354963/000117184323003425/f8k_0518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2023-08-02T07:14:20Z</dcterms:created>
  <dcterms:modified xsi:type="dcterms:W3CDTF">2023-08-02T07:14:20Z</dcterms:modified>
</cp:coreProperties>
</file>