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36"/>
        </w:rPr>
      </w:pPr>
      <w:bookmarkStart w:id="0" w:name="f8k_072126.htm"/>
      <w:bookmarkStart w:id="1" w:name="ksf8k_072126"/>
      <w:bookmarkEnd w:id="0"/>
      <w:bookmarkEnd w:id="1"/>
      <w:r>
        <w:rPr>
          <w:b/>
          <w:sz w:val="36"/>
        </w:rPr>
        <w:t>UNITED STATES</w:t>
        <w:b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FORM </w:t>
      </w:r>
      <w:bookmarkStart w:id="2" w:name="xdx_90F_edei--DocumentType_c20260720__20"/>
      <w:bookmarkEnd w:id="2"/>
      <w:r>
        <w:rPr>
          <w:b/>
          <w:sz w:val="36"/>
        </w:rPr>
        <w:t>8-K</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br/>
        <w:t>Pursuant to Section 13 or 15(d)</w:t>
        <w:b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1_edei--DocumentPeriodEndDate_c202"/>
      <w:bookmarkEnd w:id="3"/>
      <w:r>
        <w:rPr>
          <w:sz w:val="20"/>
        </w:rPr>
        <w:t>July 20, 2026</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drawing>
          <wp:inline distT="0" distB="0" distL="0" distR="0">
            <wp:extent cx="357187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71875" cy="771525"/>
                    </a:xfrm>
                    <a:prstGeom prst="rect">
                      <a:avLst/>
                    </a:prstGeom>
                  </pic:spPr>
                </pic:pic>
              </a:graphicData>
            </a:graphic>
          </wp:inline>
        </w:drawing>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hanging="0"/>
        <w:jc w:val="center"/>
        <w:rPr>
          <w:b/>
          <w:sz w:val="36"/>
        </w:rPr>
      </w:pPr>
      <w:bookmarkStart w:id="4" w:name="xdx_90E_edei--EntityRegistrantName_c2026"/>
      <w:bookmarkEnd w:id="4"/>
      <w:r>
        <w:rPr>
          <w:b/>
          <w:sz w:val="36"/>
        </w:rPr>
        <w:t>Shenandoah Telecommunications Company</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b/>
                <w:sz w:val="20"/>
              </w:rPr>
            </w:pPr>
            <w:bookmarkStart w:id="5" w:name="xdx_90E_edei--EntityIncorporationStateCo"/>
            <w:bookmarkEnd w:id="5"/>
            <w:r>
              <w:rPr>
                <w:b/>
                <w:sz w:val="20"/>
              </w:rPr>
              <w:t>Virginia</w:t>
            </w:r>
          </w:p>
        </w:tc>
        <w:tc>
          <w:tcPr>
            <w:tcW w:w="2210" w:type="dxa"/>
            <w:tcBorders/>
            <w:vAlign w:val="center"/>
          </w:tcPr>
          <w:p>
            <w:pPr>
              <w:pStyle w:val="TableContents"/>
              <w:bidi w:val="0"/>
              <w:spacing w:before="0" w:after="283"/>
              <w:jc w:val="center"/>
              <w:rPr>
                <w:b/>
                <w:sz w:val="20"/>
              </w:rPr>
            </w:pPr>
            <w:bookmarkStart w:id="6" w:name="xdx_90B_edei--EntityFileNumber_c20260720"/>
            <w:bookmarkEnd w:id="6"/>
            <w:r>
              <w:rPr>
                <w:b/>
                <w:sz w:val="20"/>
              </w:rPr>
              <w:t>0-9881</w:t>
            </w:r>
          </w:p>
        </w:tc>
        <w:tc>
          <w:tcPr>
            <w:tcW w:w="2780" w:type="dxa"/>
            <w:tcBorders/>
            <w:vAlign w:val="center"/>
          </w:tcPr>
          <w:p>
            <w:pPr>
              <w:pStyle w:val="TableContents"/>
              <w:bidi w:val="0"/>
              <w:spacing w:before="0" w:after="283"/>
              <w:jc w:val="center"/>
              <w:rPr>
                <w:b/>
                <w:sz w:val="20"/>
              </w:rPr>
            </w:pPr>
            <w:bookmarkStart w:id="7" w:name="xdx_90D_edei--EntityTaxIdentificationNum"/>
            <w:bookmarkEnd w:id="7"/>
            <w:r>
              <w:rPr>
                <w:b/>
                <w:sz w:val="20"/>
              </w:rPr>
              <w:t>54-1162807</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8" w:name="xdx_909_edei--EntityAddressAddressLine1_"/>
      <w:bookmarkEnd w:id="8"/>
      <w:r>
        <w:rPr>
          <w:b/>
          <w:sz w:val="20"/>
        </w:rPr>
        <w:t>500 Shentel Way</w:t>
      </w:r>
    </w:p>
    <w:p>
      <w:pPr>
        <w:pStyle w:val="TextBody"/>
        <w:bidi w:val="0"/>
        <w:spacing w:before="0" w:after="0"/>
        <w:ind w:left="0" w:right="0" w:hanging="0"/>
        <w:jc w:val="center"/>
        <w:rPr>
          <w:b/>
          <w:sz w:val="20"/>
        </w:rPr>
      </w:pPr>
      <w:bookmarkStart w:id="9" w:name="xdx_909_edei--EntityAddressAddressLine2_"/>
      <w:bookmarkEnd w:id="9"/>
      <w:r>
        <w:rPr>
          <w:b/>
          <w:sz w:val="20"/>
        </w:rPr>
        <w:t>P.O. Box 459</w:t>
      </w:r>
    </w:p>
    <w:p>
      <w:pPr>
        <w:pStyle w:val="TextBody"/>
        <w:bidi w:val="0"/>
        <w:spacing w:before="0" w:after="0"/>
        <w:ind w:left="0" w:right="0" w:hanging="0"/>
        <w:jc w:val="center"/>
        <w:rPr>
          <w:b/>
          <w:sz w:val="20"/>
        </w:rPr>
      </w:pPr>
      <w:bookmarkStart w:id="10" w:name="xdx_901_edei--EntityAddressCityOrTown_c2"/>
      <w:bookmarkEnd w:id="10"/>
      <w:r>
        <w:rPr>
          <w:b/>
          <w:sz w:val="20"/>
        </w:rPr>
        <w:t xml:space="preserve">Edinburg, </w:t>
      </w:r>
      <w:bookmarkStart w:id="11" w:name="xdx_902_edei--EntityAddressStateOrProvin"/>
      <w:bookmarkEnd w:id="11"/>
      <w:r>
        <w:rPr>
          <w:b/>
          <w:sz w:val="20"/>
        </w:rPr>
        <w:t xml:space="preserve">VA </w:t>
      </w:r>
      <w:bookmarkStart w:id="12" w:name="xdx_90E_edei--EntityAddressPostalZipCode"/>
      <w:bookmarkEnd w:id="12"/>
      <w:r>
        <w:rPr>
          <w:b/>
          <w:sz w:val="20"/>
        </w:rPr>
        <w:t>22824</w:t>
      </w:r>
    </w:p>
    <w:p>
      <w:pPr>
        <w:pStyle w:val="TextBody"/>
        <w:bidi w:val="0"/>
        <w:spacing w:before="0" w:after="0"/>
        <w:ind w:left="0" w:right="0" w:hanging="0"/>
        <w:jc w:val="center"/>
        <w:rPr>
          <w:sz w:val="20"/>
        </w:rPr>
      </w:pPr>
      <w:r>
        <w:rPr>
          <w:sz w:val="20"/>
        </w:rPr>
        <w:t>(Address of principal executive offices) (Zip Code)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3" w:name="xdx_906_edei--CityAreaCode_c20260720__20"/>
      <w:bookmarkEnd w:id="13"/>
      <w:r>
        <w:rPr>
          <w:b/>
          <w:sz w:val="20"/>
        </w:rPr>
        <w:t xml:space="preserve">(540) </w:t>
      </w:r>
      <w:bookmarkStart w:id="14" w:name="xdx_90E_edei--LocalPhoneNumber_c20260720"/>
      <w:bookmarkEnd w:id="14"/>
      <w:r>
        <w:rPr>
          <w:b/>
          <w:sz w:val="20"/>
        </w:rPr>
        <w:t>984-4141</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5" w:name="xdx_905_edei--WrittenCommunications_c202"/>
      <w:bookmarkEnd w:id="15"/>
      <w:r>
        <w:rPr/>
        <w:t xml:space="preserve">☐ </w:t>
      </w:r>
      <w:r>
        <w:rPr>
          <w:sz w:val="20"/>
        </w:rPr>
        <w:t>Written communications pursuant to Rule 425 under the Securities Act (17 CFR 230.425)</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6" w:name="xdx_902_edei--SolicitingMaterial_c202607"/>
      <w:bookmarkEnd w:id="16"/>
      <w:r>
        <w:rPr/>
        <w:t xml:space="preserve">☐ </w:t>
      </w:r>
      <w:r>
        <w:rPr>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7" w:name="xdx_90F_edei--PreCommencementTenderOffer"/>
      <w:bookmarkEnd w:id="17"/>
      <w:r>
        <w:rPr/>
        <w:t xml:space="preserve">☐ </w:t>
      </w:r>
      <w:r>
        <w:rPr>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8" w:name="xdx_90C_edei--PreCommencementIssuerTende"/>
      <w:bookmarkEnd w:id="18"/>
      <w:r>
        <w:rPr/>
        <w:t xml:space="preserve">☐ </w:t>
      </w:r>
      <w:r>
        <w:rPr>
          <w:sz w:val="20"/>
        </w:rPr>
        <w:t>Pre-commencement communications pursuant to Rule 13e-4(c) under the Exchange Act (17 CFR 240.13e-4(c))</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7650" w:type="dxa"/>
        <w:jc w:val="left"/>
        <w:tblInd w:w="0" w:type="dxa"/>
        <w:tblLayout w:type="fixed"/>
        <w:tblCellMar>
          <w:top w:w="0" w:type="dxa"/>
          <w:left w:w="0" w:type="dxa"/>
          <w:bottom w:w="28" w:type="dxa"/>
          <w:right w:w="0" w:type="dxa"/>
        </w:tblCellMar>
      </w:tblPr>
      <w:tblGrid>
        <w:gridCol w:w="2525"/>
        <w:gridCol w:w="1535"/>
        <w:gridCol w:w="3590"/>
      </w:tblGrid>
      <w:tr>
        <w:trPr/>
        <w:tc>
          <w:tcPr>
            <w:tcW w:w="252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525" w:type="dxa"/>
            <w:tcBorders/>
            <w:tcMar>
              <w:bottom w:w="0" w:type="dxa"/>
            </w:tcMar>
            <w:vAlign w:val="center"/>
          </w:tcPr>
          <w:p>
            <w:pPr>
              <w:pStyle w:val="TableContents"/>
              <w:bidi w:val="0"/>
              <w:spacing w:before="0" w:after="283"/>
              <w:jc w:val="center"/>
              <w:rPr>
                <w:sz w:val="20"/>
              </w:rPr>
            </w:pPr>
            <w:bookmarkStart w:id="19" w:name="xdx_90C_edei--Security12bTitle_c20260720"/>
            <w:bookmarkEnd w:id="19"/>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bookmarkStart w:id="20" w:name="xdx_902_edei--TradingSymbol_c20260720__2"/>
            <w:bookmarkEnd w:id="20"/>
            <w:r>
              <w:rPr>
                <w:sz w:val="20"/>
              </w:rPr>
              <w:t>SHEN</w:t>
            </w:r>
          </w:p>
        </w:tc>
        <w:tc>
          <w:tcPr>
            <w:tcW w:w="3590" w:type="dxa"/>
            <w:tcBorders/>
            <w:tcMar>
              <w:bottom w:w="0" w:type="dxa"/>
            </w:tcMar>
            <w:vAlign w:val="center"/>
          </w:tcPr>
          <w:p>
            <w:pPr>
              <w:pStyle w:val="TableContents"/>
              <w:bidi w:val="0"/>
              <w:spacing w:before="0" w:after="283"/>
              <w:jc w:val="center"/>
              <w:rPr>
                <w:sz w:val="20"/>
              </w:rPr>
            </w:pPr>
            <w:bookmarkStart w:id="21" w:name="xdx_909_edei--SecurityExchangeName_c2026"/>
            <w:bookmarkEnd w:id="21"/>
            <w:r>
              <w:rPr>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Emerging growth company </w:t>
      </w:r>
      <w:bookmarkStart w:id="22" w:name="xdx_907_edei--EntityEmergingGrowthCompan"/>
      <w:bookmarkEnd w:id="22"/>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49"/>
        <w:gridCol w:w="60"/>
        <w:gridCol w:w="9396"/>
      </w:tblGrid>
      <w:tr>
        <w:trPr/>
        <w:tc>
          <w:tcPr>
            <w:tcW w:w="749" w:type="dxa"/>
            <w:tcBorders/>
            <w:shd w:fill="FFFFFF" w:val="clear"/>
            <w:vAlign w:val="center"/>
          </w:tcPr>
          <w:p>
            <w:pPr>
              <w:pStyle w:val="TableContents"/>
              <w:bidi w:val="0"/>
              <w:spacing w:before="0" w:after="283"/>
              <w:jc w:val="left"/>
              <w:rPr>
                <w:b/>
                <w:sz w:val="20"/>
              </w:rPr>
            </w:pPr>
            <w:r>
              <w:rPr>
                <w:b/>
                <w:sz w:val="20"/>
              </w:rPr>
              <w:t>Item 5.02.</w:t>
            </w:r>
          </w:p>
        </w:tc>
        <w:tc>
          <w:tcPr>
            <w:tcW w:w="60" w:type="dxa"/>
            <w:tcBorders/>
            <w:shd w:fill="FFFFFF" w:val="clear"/>
            <w:vAlign w:val="center"/>
          </w:tcPr>
          <w:p>
            <w:pPr>
              <w:pStyle w:val="TableContents"/>
              <w:bidi w:val="0"/>
              <w:spacing w:before="0" w:after="283"/>
              <w:jc w:val="left"/>
              <w:rPr/>
            </w:pPr>
            <w:r>
              <w:rPr/>
              <w:t> </w:t>
            </w:r>
          </w:p>
        </w:tc>
        <w:tc>
          <w:tcPr>
            <w:tcW w:w="9396" w:type="dxa"/>
            <w:tcBorders/>
            <w:shd w:fill="FFFFFF" w:val="clear"/>
            <w:vAlign w:val="center"/>
          </w:tcPr>
          <w:p>
            <w:pPr>
              <w:pStyle w:val="TableContents"/>
              <w:bidi w:val="0"/>
              <w:spacing w:before="0" w:after="283"/>
              <w:jc w:val="left"/>
              <w:rPr>
                <w:b/>
                <w:sz w:val="20"/>
              </w:rPr>
            </w:pPr>
            <w:r>
              <w:rPr>
                <w:b/>
                <w:sz w:val="20"/>
              </w:rPr>
              <w:t>Departure of Directors or Certain Officers; Election of Directors; Appointment of Certain Officers; Compensatory Arrangements of Certain Officers.</w:t>
            </w:r>
          </w:p>
        </w:tc>
      </w:tr>
    </w:tbl>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sz w:val="20"/>
        </w:rPr>
      </w:pPr>
      <w:r>
        <w:rPr>
          <w:color w:val="212529"/>
          <w:sz w:val="20"/>
        </w:rPr>
        <w:t xml:space="preserve">On July 20, 2026, Tracy Willis, Vice President and Chief Accounting Officer of Shenandoah Telecommunications Company (the “Company”), notified the Company of her intention to resign from the Company, effective August 6, 2026. Effective upon her departure, James Volk, the Company’s Senior Vice President and Chief Financial Officer, will serve as the Company’s principal accounting officer and will continue to serve as the Company’s principal financial officer. </w:t>
      </w:r>
      <w:r>
        <w:rPr>
          <w:sz w:val="20"/>
        </w:rPr>
        <w:t>Ms. Willis’ departure was not the result of any disagreement with the Company, including any matter relating to the Company's operations, policies, practices, accounting principles, or financial statement disclosures.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tbl>
      <w:tblPr>
        <w:tblW w:w="6385" w:type="dxa"/>
        <w:jc w:val="left"/>
        <w:tblInd w:w="0" w:type="dxa"/>
        <w:tblLayout w:type="fixed"/>
        <w:tblCellMar>
          <w:top w:w="0" w:type="dxa"/>
          <w:left w:w="0" w:type="dxa"/>
          <w:bottom w:w="0" w:type="dxa"/>
          <w:right w:w="0" w:type="dxa"/>
        </w:tblCellMar>
      </w:tblPr>
      <w:tblGrid>
        <w:gridCol w:w="1730"/>
        <w:gridCol w:w="4655"/>
      </w:tblGrid>
      <w:tr>
        <w:trPr/>
        <w:tc>
          <w:tcPr>
            <w:tcW w:w="173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sz w:val="20"/>
              </w:rPr>
            </w:pPr>
            <w:r>
              <w:rPr>
                <w:sz w:val="20"/>
              </w:rPr>
              <w:t>SHENANDOAH TELECOMMUNICATIONS COMPANY</w:t>
            </w:r>
          </w:p>
        </w:tc>
      </w:tr>
      <w:tr>
        <w:trPr/>
        <w:tc>
          <w:tcPr>
            <w:tcW w:w="173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20"/>
              </w:rPr>
            </w:pPr>
            <w:r>
              <w:rPr>
                <w:sz w:val="20"/>
              </w:rPr>
              <w:t>Dated: July 22, 2026</w:t>
            </w:r>
          </w:p>
        </w:tc>
        <w:tc>
          <w:tcPr>
            <w:tcW w:w="46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Angela M. Olsen</w:t>
            </w:r>
          </w:p>
        </w:tc>
      </w:tr>
      <w:tr>
        <w:trPr/>
        <w:tc>
          <w:tcPr>
            <w:tcW w:w="173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sz w:val="20"/>
              </w:rPr>
            </w:pPr>
            <w:r>
              <w:rPr>
                <w:sz w:val="20"/>
              </w:rPr>
              <w:t>Angela M. Olsen</w:t>
            </w:r>
          </w:p>
        </w:tc>
      </w:tr>
      <w:tr>
        <w:trPr/>
        <w:tc>
          <w:tcPr>
            <w:tcW w:w="173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sz w:val="20"/>
              </w:rPr>
            </w:pPr>
            <w:r>
              <w:rPr>
                <w:sz w:val="20"/>
              </w:rPr>
              <w:t>Vice President - Legal and General Counsel</w:t>
            </w:r>
          </w:p>
        </w:tc>
      </w:tr>
      <w:tr>
        <w:trPr/>
        <w:tc>
          <w:tcPr>
            <w:tcW w:w="173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458</Words>
  <Characters>2618</Characters>
  <CharactersWithSpaces>3115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