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520" w:right="1960" w:hanging="485"/>
        <w:spacing w:after="0" w:line="450" w:lineRule="auto"/>
        <w:tabs>
          <w:tab w:leader="none" w:pos="6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34"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transition period from__________ to __________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14605</wp:posOffset>
            </wp:positionV>
            <wp:extent cx="203136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8"/>
                <w:szCs w:val="18"/>
                <w:color w:val="auto"/>
                <w:w w:val="90"/>
              </w:rPr>
              <w:t>(Exact name of registrant as specified in its charter)</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82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Virginia</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right"/>
              <w:ind w:right="2122"/>
              <w:spacing w:after="0"/>
              <w:rPr>
                <w:sz w:val="20"/>
                <w:szCs w:val="20"/>
                <w:color w:val="auto"/>
              </w:rPr>
            </w:pPr>
            <w:r>
              <w:rPr>
                <w:rFonts w:ascii="Arial" w:cs="Arial" w:eastAsia="Arial" w:hAnsi="Arial"/>
                <w:sz w:val="18"/>
                <w:szCs w:val="18"/>
                <w:b w:val="1"/>
                <w:bCs w:val="1"/>
                <w:color w:val="auto"/>
                <w:w w:val="89"/>
              </w:rPr>
              <w:t>54-1162807</w:t>
            </w:r>
          </w:p>
        </w:tc>
        <w:tc>
          <w:tcPr>
            <w:tcW w:w="0" w:type="dxa"/>
            <w:vAlign w:val="bottom"/>
          </w:tcPr>
          <w:p>
            <w:pPr>
              <w:spacing w:after="0"/>
              <w:rPr>
                <w:sz w:val="1"/>
                <w:szCs w:val="1"/>
                <w:color w:val="auto"/>
              </w:rPr>
            </w:pPr>
          </w:p>
        </w:tc>
      </w:tr>
      <w:tr>
        <w:trPr>
          <w:trHeight w:val="270"/>
        </w:trPr>
        <w:tc>
          <w:tcPr>
            <w:tcW w:w="6240" w:type="dxa"/>
            <w:vAlign w:val="bottom"/>
            <w:gridSpan w:val="4"/>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20" w:type="dxa"/>
            <w:vAlign w:val="bottom"/>
          </w:tcPr>
          <w:p>
            <w:pPr>
              <w:spacing w:after="0"/>
              <w:rPr>
                <w:sz w:val="23"/>
                <w:szCs w:val="23"/>
                <w:color w:val="auto"/>
              </w:rPr>
            </w:pPr>
          </w:p>
        </w:tc>
        <w:tc>
          <w:tcPr>
            <w:tcW w:w="4060" w:type="dxa"/>
            <w:vAlign w:val="bottom"/>
            <w:gridSpan w:val="2"/>
          </w:tcPr>
          <w:p>
            <w:pPr>
              <w:jc w:val="center"/>
              <w:ind w:right="1122"/>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4420" w:type="dxa"/>
            <w:vAlign w:val="bottom"/>
            <w:gridSpan w:val="3"/>
          </w:tcPr>
          <w:p>
            <w:pPr>
              <w:ind w:left="1540"/>
              <w:spacing w:after="0"/>
              <w:rPr>
                <w:sz w:val="20"/>
                <w:szCs w:val="20"/>
                <w:color w:val="auto"/>
              </w:rPr>
            </w:pPr>
            <w:r>
              <w:rPr>
                <w:rFonts w:ascii="Arial" w:cs="Arial" w:eastAsia="Arial" w:hAnsi="Arial"/>
                <w:sz w:val="18"/>
                <w:szCs w:val="18"/>
                <w:color w:val="auto"/>
                <w:w w:val="95"/>
              </w:rPr>
              <w:t>500 Shentel Way , Edinburg , Virginia</w:t>
            </w:r>
          </w:p>
        </w:tc>
        <w:tc>
          <w:tcPr>
            <w:tcW w:w="1300" w:type="dxa"/>
            <w:vAlign w:val="bottom"/>
            <w:gridSpan w:val="2"/>
          </w:tcPr>
          <w:p>
            <w:pPr>
              <w:jc w:val="right"/>
              <w:ind w:right="679"/>
              <w:spacing w:after="0"/>
              <w:rPr>
                <w:sz w:val="20"/>
                <w:szCs w:val="20"/>
                <w:color w:val="auto"/>
              </w:rPr>
            </w:pPr>
            <w:r>
              <w:rPr>
                <w:rFonts w:ascii="Arial" w:cs="Arial" w:eastAsia="Arial" w:hAnsi="Arial"/>
                <w:sz w:val="18"/>
                <w:szCs w:val="18"/>
                <w:color w:val="auto"/>
              </w:rPr>
              <w:t>22824</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97"/>
              <w:spacing w:after="0"/>
              <w:rPr>
                <w:sz w:val="20"/>
                <w:szCs w:val="20"/>
                <w:color w:val="auto"/>
              </w:rPr>
            </w:pPr>
            <w:r>
              <w:rPr>
                <w:rFonts w:ascii="Arial" w:cs="Arial" w:eastAsia="Arial" w:hAnsi="Arial"/>
                <w:sz w:val="18"/>
                <w:szCs w:val="18"/>
                <w:color w:val="auto"/>
                <w:w w:val="93"/>
              </w:rPr>
              <w:t>(Address of principal executive offices) (Zip Code)</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( 540 ) 984-4141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8"/>
                <w:szCs w:val="18"/>
                <w:color w:val="auto"/>
                <w:w w:val="89"/>
              </w:rPr>
              <w:t>(Registrant's telephone number, including area code)</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420" w:type="dxa"/>
            <w:vAlign w:val="bottom"/>
            <w:gridSpan w:val="3"/>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4"/>
                <w:szCs w:val="24"/>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Pr>
          <w:p>
            <w:pPr>
              <w:ind w:left="20"/>
              <w:spacing w:after="0"/>
              <w:rPr>
                <w:sz w:val="20"/>
                <w:szCs w:val="20"/>
                <w:color w:val="auto"/>
              </w:rPr>
            </w:pPr>
            <w:r>
              <w:rPr>
                <w:rFonts w:ascii="Arial" w:cs="Arial" w:eastAsia="Arial" w:hAnsi="Arial"/>
                <w:sz w:val="14"/>
                <w:szCs w:val="14"/>
                <w:color w:val="auto"/>
                <w:w w:val="92"/>
              </w:rPr>
              <w:t>Common Stock (No Par Value)</w:t>
            </w:r>
          </w:p>
        </w:tc>
        <w:tc>
          <w:tcPr>
            <w:tcW w:w="2200" w:type="dxa"/>
            <w:vAlign w:val="bottom"/>
          </w:tcPr>
          <w:p>
            <w:pPr>
              <w:jc w:val="center"/>
              <w:ind w:left="297"/>
              <w:spacing w:after="0"/>
              <w:rPr>
                <w:sz w:val="20"/>
                <w:szCs w:val="20"/>
                <w:color w:val="auto"/>
              </w:rPr>
            </w:pPr>
            <w:r>
              <w:rPr>
                <w:rFonts w:ascii="Arial" w:cs="Arial" w:eastAsia="Arial" w:hAnsi="Arial"/>
                <w:sz w:val="14"/>
                <w:szCs w:val="14"/>
                <w:color w:val="auto"/>
                <w:w w:val="97"/>
              </w:rPr>
              <w:t>SHEN</w:t>
            </w:r>
          </w:p>
        </w:tc>
        <w:tc>
          <w:tcPr>
            <w:tcW w:w="2220" w:type="dxa"/>
            <w:vAlign w:val="bottom"/>
            <w:gridSpan w:val="2"/>
          </w:tcPr>
          <w:p>
            <w:pPr>
              <w:jc w:val="center"/>
              <w:ind w:left="142"/>
              <w:spacing w:after="0"/>
              <w:rPr>
                <w:sz w:val="20"/>
                <w:szCs w:val="20"/>
                <w:color w:val="auto"/>
              </w:rPr>
            </w:pPr>
            <w:r>
              <w:rPr>
                <w:rFonts w:ascii="Arial" w:cs="Arial" w:eastAsia="Arial" w:hAnsi="Arial"/>
                <w:sz w:val="14"/>
                <w:szCs w:val="14"/>
                <w:color w:val="auto"/>
                <w:w w:val="97"/>
              </w:rPr>
              <w:t>NASDAQ Global Select Market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center"/>
              <w:ind w:right="762"/>
              <w:spacing w:after="0"/>
              <w:rPr>
                <w:sz w:val="20"/>
                <w:szCs w:val="20"/>
                <w:color w:val="auto"/>
              </w:rPr>
            </w:pPr>
            <w:r>
              <w:rPr>
                <w:rFonts w:ascii="Arial" w:cs="Arial" w:eastAsia="Arial" w:hAnsi="Arial"/>
                <w:sz w:val="14"/>
                <w:szCs w:val="14"/>
                <w:color w:val="auto"/>
                <w:w w:val="91"/>
              </w:rPr>
              <w:t>49,842,000</w:t>
            </w:r>
          </w:p>
        </w:tc>
        <w:tc>
          <w:tcPr>
            <w:tcW w:w="0" w:type="dxa"/>
            <w:vAlign w:val="bottom"/>
          </w:tcPr>
          <w:p>
            <w:pPr>
              <w:spacing w:after="0"/>
              <w:rPr>
                <w:sz w:val="1"/>
                <w:szCs w:val="1"/>
                <w:color w:val="auto"/>
              </w:rPr>
            </w:pPr>
          </w:p>
        </w:tc>
      </w:tr>
      <w:tr>
        <w:trPr>
          <w:trHeight w:val="169"/>
        </w:trPr>
        <w:tc>
          <w:tcPr>
            <w:tcW w:w="1820" w:type="dxa"/>
            <w:vAlign w:val="bottom"/>
            <w:vMerge w:val="restart"/>
          </w:tcPr>
          <w:p>
            <w:pPr>
              <w:ind w:left="480"/>
              <w:spacing w:after="0"/>
              <w:rPr>
                <w:sz w:val="20"/>
                <w:szCs w:val="20"/>
                <w:color w:val="auto"/>
              </w:rPr>
            </w:pPr>
            <w:r>
              <w:rPr>
                <w:rFonts w:ascii="Arial" w:cs="Arial" w:eastAsia="Arial" w:hAnsi="Arial"/>
                <w:sz w:val="14"/>
                <w:szCs w:val="14"/>
                <w:color w:val="auto"/>
              </w:rPr>
              <w:t>(Title of Class)</w:t>
            </w:r>
          </w:p>
        </w:tc>
        <w:tc>
          <w:tcPr>
            <w:tcW w:w="2200" w:type="dxa"/>
            <w:vAlign w:val="bottom"/>
            <w:vMerge w:val="restart"/>
          </w:tcPr>
          <w:p>
            <w:pPr>
              <w:jc w:val="center"/>
              <w:ind w:left="297"/>
              <w:spacing w:after="0"/>
              <w:rPr>
                <w:sz w:val="20"/>
                <w:szCs w:val="20"/>
                <w:color w:val="auto"/>
              </w:rPr>
            </w:pPr>
            <w:r>
              <w:rPr>
                <w:rFonts w:ascii="Arial" w:cs="Arial" w:eastAsia="Arial" w:hAnsi="Arial"/>
                <w:sz w:val="14"/>
                <w:szCs w:val="14"/>
                <w:color w:val="auto"/>
                <w:w w:val="94"/>
              </w:rPr>
              <w:t>(Trading Symbol)</w:t>
            </w:r>
          </w:p>
        </w:tc>
        <w:tc>
          <w:tcPr>
            <w:tcW w:w="2540" w:type="dxa"/>
            <w:vAlign w:val="bottom"/>
            <w:gridSpan w:val="3"/>
            <w:vMerge w:val="restart"/>
          </w:tcPr>
          <w:p>
            <w:pPr>
              <w:jc w:val="center"/>
              <w:ind w:right="10"/>
              <w:spacing w:after="0"/>
              <w:rPr>
                <w:sz w:val="20"/>
                <w:szCs w:val="20"/>
                <w:color w:val="auto"/>
              </w:rPr>
            </w:pPr>
            <w:r>
              <w:rPr>
                <w:rFonts w:ascii="Arial" w:cs="Arial" w:eastAsia="Arial" w:hAnsi="Arial"/>
                <w:sz w:val="14"/>
                <w:szCs w:val="14"/>
                <w:color w:val="auto"/>
                <w:w w:val="92"/>
              </w:rPr>
              <w:t>(Name of Exchange on which Registered)</w:t>
            </w:r>
          </w:p>
        </w:tc>
        <w:tc>
          <w:tcPr>
            <w:tcW w:w="4060" w:type="dxa"/>
            <w:vAlign w:val="bottom"/>
            <w:gridSpan w:val="2"/>
          </w:tcPr>
          <w:p>
            <w:pPr>
              <w:jc w:val="center"/>
              <w:ind w:left="59"/>
              <w:spacing w:after="0"/>
              <w:rPr>
                <w:sz w:val="20"/>
                <w:szCs w:val="20"/>
                <w:color w:val="auto"/>
              </w:rPr>
            </w:pPr>
            <w:r>
              <w:rPr>
                <w:rFonts w:ascii="Arial" w:cs="Arial" w:eastAsia="Arial" w:hAnsi="Arial"/>
                <w:sz w:val="14"/>
                <w:szCs w:val="14"/>
                <w:color w:val="auto"/>
                <w:w w:val="92"/>
              </w:rPr>
              <w:t>(The number of shares of the registrant's common stock outstanding</w:t>
            </w: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200" w:type="dxa"/>
            <w:vAlign w:val="bottom"/>
            <w:vMerge w:val="continue"/>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980" w:type="dxa"/>
            <w:vAlign w:val="bottom"/>
          </w:tcPr>
          <w:p>
            <w:pPr>
              <w:spacing w:after="0"/>
              <w:rPr>
                <w:sz w:val="8"/>
                <w:szCs w:val="8"/>
                <w:color w:val="auto"/>
              </w:rPr>
            </w:pPr>
          </w:p>
        </w:tc>
        <w:tc>
          <w:tcPr>
            <w:tcW w:w="3080" w:type="dxa"/>
            <w:vAlign w:val="bottom"/>
            <w:vMerge w:val="restart"/>
          </w:tcPr>
          <w:p>
            <w:pPr>
              <w:jc w:val="center"/>
              <w:ind w:right="762"/>
              <w:spacing w:after="0"/>
              <w:rPr>
                <w:sz w:val="20"/>
                <w:szCs w:val="20"/>
                <w:color w:val="auto"/>
              </w:rPr>
            </w:pPr>
            <w:r>
              <w:rPr>
                <w:rFonts w:ascii="Arial" w:cs="Arial" w:eastAsia="Arial" w:hAnsi="Arial"/>
                <w:sz w:val="14"/>
                <w:szCs w:val="14"/>
                <w:color w:val="auto"/>
                <w:w w:val="97"/>
              </w:rPr>
              <w:t>on April 24, 2020)</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p>
      <w:pPr>
        <w:ind w:left="40"/>
        <w:spacing w:after="0" w:line="181" w:lineRule="exact"/>
        <w:tabs>
          <w:tab w:leader="none" w:pos="1600" w:val="left"/>
          <w:tab w:leader="none" w:pos="2020" w:val="left"/>
          <w:tab w:leader="none" w:pos="3260" w:val="left"/>
          <w:tab w:leader="none" w:pos="3680" w:val="left"/>
          <w:tab w:leader="none" w:pos="5260" w:val="left"/>
          <w:tab w:leader="none" w:pos="5680" w:val="left"/>
          <w:tab w:leader="none" w:pos="7660" w:val="left"/>
          <w:tab w:leader="none" w:pos="8080" w:val="left"/>
          <w:tab w:leader="none" w:pos="10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180" w:type="dxa"/>
            <w:vAlign w:val="bottom"/>
          </w:tcPr>
          <w:p>
            <w:pPr>
              <w:jc w:val="center"/>
              <w:ind w:left="1450"/>
              <w:spacing w:after="0"/>
              <w:rPr>
                <w:sz w:val="20"/>
                <w:szCs w:val="20"/>
                <w:color w:val="auto"/>
              </w:rPr>
            </w:pPr>
            <w:r>
              <w:rPr>
                <w:rFonts w:ascii="Arial" w:cs="Arial" w:eastAsia="Arial" w:hAnsi="Arial"/>
                <w:sz w:val="18"/>
                <w:szCs w:val="18"/>
                <w:color w:val="auto"/>
                <w:w w:val="85"/>
              </w:rPr>
              <w:t>Page</w:t>
            </w:r>
          </w:p>
        </w:tc>
      </w:tr>
      <w:tr>
        <w:trPr>
          <w:trHeight w:val="230"/>
        </w:trPr>
        <w:tc>
          <w:tcPr>
            <w:tcW w:w="7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180" w:type="dxa"/>
            <w:vAlign w:val="bottom"/>
          </w:tcPr>
          <w:p>
            <w:pPr>
              <w:jc w:val="center"/>
              <w:ind w:left="1430"/>
              <w:spacing w:after="0"/>
              <w:rPr>
                <w:sz w:val="20"/>
                <w:szCs w:val="20"/>
                <w:color w:val="auto"/>
              </w:rPr>
            </w:pPr>
            <w:r>
              <w:rPr>
                <w:rFonts w:ascii="Arial" w:cs="Arial" w:eastAsia="Arial" w:hAnsi="Arial"/>
                <w:sz w:val="18"/>
                <w:szCs w:val="18"/>
                <w:color w:val="auto"/>
                <w:w w:val="90"/>
              </w:rPr>
              <w:t>Numbers</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PART I.</w:t>
            </w:r>
          </w:p>
        </w:tc>
        <w:tc>
          <w:tcPr>
            <w:tcW w:w="8040" w:type="dxa"/>
            <w:vAlign w:val="bottom"/>
          </w:tcPr>
          <w:p>
            <w:pPr>
              <w:ind w:left="80"/>
              <w:spacing w:after="0"/>
              <w:rPr>
                <w:sz w:val="20"/>
                <w:szCs w:val="20"/>
                <w:color w:val="auto"/>
              </w:rPr>
            </w:pPr>
            <w:r>
              <w:rPr>
                <w:rFonts w:ascii="Arial" w:cs="Arial" w:eastAsia="Arial" w:hAnsi="Arial"/>
                <w:sz w:val="18"/>
                <w:szCs w:val="18"/>
                <w:color w:val="auto"/>
              </w:rPr>
              <w:t>FINANCIAL INFORMATION</w:t>
            </w:r>
          </w:p>
        </w:tc>
        <w:tc>
          <w:tcPr>
            <w:tcW w:w="2180" w:type="dxa"/>
            <w:vAlign w:val="bottom"/>
          </w:tcPr>
          <w:p>
            <w:pPr>
              <w:spacing w:after="0"/>
              <w:rPr>
                <w:sz w:val="23"/>
                <w:szCs w:val="23"/>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2180" w:type="dxa"/>
            <w:vAlign w:val="bottom"/>
          </w:tcPr>
          <w:p>
            <w:pPr>
              <w:spacing w:after="0"/>
              <w:rPr>
                <w:sz w:val="24"/>
                <w:szCs w:val="24"/>
                <w:color w:val="auto"/>
              </w:rPr>
            </w:pPr>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Comprehensive Income</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Shareholders’ Equity</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18</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80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218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30</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31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60" w:top="557"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440" w:type="dxa"/>
            <w:vAlign w:val="bottom"/>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120,232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101,651</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$410 and $533, respectively</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61,526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Inventory, net of allowances of $71 and $66, respectively</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60,923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60,527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257,909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241,753</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695,920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701,514</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299,458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314,147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149,070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149,070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382,973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392,589</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53,436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53,352</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1,850,777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1,864,813</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31,672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30,384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40,295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42,567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139,644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147,336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688,464</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137,567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37,422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36,914</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Benefit plan obligations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343,723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352,439</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549,952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556,585</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40" w:type="dxa"/>
            <w:vAlign w:val="bottom"/>
          </w:tcPr>
          <w:p>
            <w:pPr>
              <w:ind w:left="180"/>
              <w:spacing w:after="0"/>
              <w:rPr>
                <w:sz w:val="20"/>
                <w:szCs w:val="20"/>
                <w:color w:val="auto"/>
              </w:rPr>
            </w:pPr>
            <w:r>
              <w:rPr>
                <w:rFonts w:ascii="Arial" w:cs="Arial" w:eastAsia="Arial" w:hAnsi="Arial"/>
                <w:sz w:val="18"/>
                <w:szCs w:val="18"/>
                <w:color w:val="auto"/>
                <w:w w:val="93"/>
              </w:rPr>
              <w:t>Common stock, no par value, authorized 96,000; 49,842 and 49,671 issued and outstanding at March 31, 2020</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and December 31, 2019, respectively</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43,158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42,110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443,290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430,010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 net of taxes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472,428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1,850,777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1,864,813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0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4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00" w:type="dxa"/>
            <w:vAlign w:val="bottom"/>
            <w:vMerge w:val="restart"/>
          </w:tcPr>
          <w:p>
            <w:pPr>
              <w:ind w:left="140"/>
              <w:spacing w:after="0"/>
              <w:rPr>
                <w:sz w:val="20"/>
                <w:szCs w:val="20"/>
                <w:color w:val="auto"/>
              </w:rPr>
            </w:pPr>
            <w:r>
              <w:rPr>
                <w:rFonts w:ascii="Arial" w:cs="Arial" w:eastAsia="Arial" w:hAnsi="Arial"/>
                <w:sz w:val="18"/>
                <w:szCs w:val="18"/>
                <w:color w:val="auto"/>
              </w:rPr>
              <w:t>Service revenue and other</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140,188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143,231</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153,188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158,843</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40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49,518</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28,722</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36,911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130,138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134,056</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400" w:type="dxa"/>
            <w:vAlign w:val="bottom"/>
          </w:tcPr>
          <w:p>
            <w:pPr>
              <w:ind w:left="140"/>
              <w:spacing w:after="0"/>
              <w:rPr>
                <w:sz w:val="20"/>
                <w:szCs w:val="20"/>
                <w:color w:val="auto"/>
              </w:rPr>
            </w:pPr>
            <w:r>
              <w:rPr>
                <w:rFonts w:ascii="Arial" w:cs="Arial" w:eastAsia="Arial" w:hAnsi="Arial"/>
                <w:sz w:val="18"/>
                <w:szCs w:val="18"/>
                <w:color w:val="auto"/>
              </w:rPr>
              <w:t>Unrealized loss on interest rate hedge, net of tax</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2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Net income per share, basic and diluted:</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Basic net income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140"/>
              <w:spacing w:after="0"/>
              <w:rPr>
                <w:sz w:val="20"/>
                <w:szCs w:val="20"/>
                <w:color w:val="auto"/>
              </w:rPr>
            </w:pPr>
            <w:r>
              <w:rPr>
                <w:rFonts w:ascii="Arial" w:cs="Arial" w:eastAsia="Arial" w:hAnsi="Arial"/>
                <w:sz w:val="18"/>
                <w:szCs w:val="18"/>
                <w:color w:val="auto"/>
              </w:rPr>
              <w:t>Diluted net income per share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49,775</w:t>
            </w:r>
          </w:p>
        </w:tc>
        <w:tc>
          <w:tcPr>
            <w:tcW w:w="0" w:type="dxa"/>
            <w:vAlign w:val="bottom"/>
          </w:tcPr>
          <w:p>
            <w:pPr>
              <w:spacing w:after="0"/>
              <w:rPr>
                <w:sz w:val="1"/>
                <w:szCs w:val="1"/>
                <w:color w:val="auto"/>
              </w:rPr>
            </w:pPr>
          </w:p>
        </w:tc>
      </w:tr>
      <w:tr>
        <w:trPr>
          <w:trHeight w:val="27"/>
        </w:trPr>
        <w:tc>
          <w:tcPr>
            <w:tcW w:w="840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50,115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49,671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42,110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430,010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472,428</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13,280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13,280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(6,106)</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2,985</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(1,945)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(1,945)</w:t>
            </w:r>
          </w:p>
        </w:tc>
      </w:tr>
      <w:tr>
        <w:trPr>
          <w:trHeight w:val="276"/>
        </w:trPr>
        <w:tc>
          <w:tcPr>
            <w:tcW w:w="4140" w:type="dxa"/>
            <w:vAlign w:val="bottom"/>
          </w:tcPr>
          <w:p>
            <w:pPr>
              <w:ind w:left="140"/>
              <w:spacing w:after="0"/>
              <w:rPr>
                <w:sz w:val="20"/>
                <w:szCs w:val="20"/>
                <w:color w:val="auto"/>
              </w:rPr>
            </w:pPr>
            <w:r>
              <w:rPr>
                <w:rFonts w:ascii="Arial" w:cs="Arial" w:eastAsia="Arial" w:hAnsi="Arial"/>
                <w:sz w:val="14"/>
                <w:szCs w:val="14"/>
                <w:color w:val="auto"/>
                <w:w w:val="97"/>
              </w:rPr>
              <w:t>Common stock issued to acquire non-controlling interest in nTelos</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March 31, 2020</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49,842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43,158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443,290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480,650</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6"/>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December 31, 2018</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49,630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47,456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388,496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8,280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444,232</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13,910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13,910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(2,728)</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1,802</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175</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(2,800)</w:t>
            </w:r>
          </w:p>
        </w:tc>
      </w:tr>
      <w:tr>
        <w:trPr>
          <w:trHeight w:val="275"/>
        </w:trPr>
        <w:tc>
          <w:tcPr>
            <w:tcW w:w="4140" w:type="dxa"/>
            <w:vAlign w:val="bottom"/>
          </w:tcPr>
          <w:p>
            <w:pPr>
              <w:ind w:left="140"/>
              <w:spacing w:after="0"/>
              <w:rPr>
                <w:sz w:val="20"/>
                <w:szCs w:val="20"/>
                <w:color w:val="auto"/>
              </w:rPr>
            </w:pPr>
            <w:r>
              <w:rPr>
                <w:rFonts w:ascii="Arial" w:cs="Arial" w:eastAsia="Arial" w:hAnsi="Arial"/>
                <w:sz w:val="14"/>
                <w:szCs w:val="14"/>
                <w:color w:val="auto"/>
                <w:w w:val="97"/>
              </w:rPr>
              <w:t>Common stock issued to acquire non-controlling interest in nTelos</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March 31, 2019</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49,844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46,641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402,406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454,599</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0" w:right="5320"/>
        <w:spacing w:after="0" w:line="346" w:lineRule="auto"/>
        <w:rPr>
          <w:sz w:val="20"/>
          <w:szCs w:val="20"/>
          <w:color w:val="auto"/>
        </w:rPr>
      </w:pPr>
      <w:r>
        <w:rPr>
          <w:rFonts w:ascii="Arial" w:cs="Arial" w:eastAsia="Arial" w:hAnsi="Arial"/>
          <w:sz w:val="16"/>
          <w:szCs w:val="16"/>
          <w:b w:val="1"/>
          <w:bCs w:val="1"/>
          <w:color w:val="auto"/>
        </w:rPr>
        <w:t xml:space="preserve">SHENANDOAH TELECOMMUNICATIONS COMPANY AND SUBSIDIARIES UNAUDITED CONDENSED CONSOLIDATED STATEMENTS OF CASH FLOWS </w:t>
      </w:r>
      <w:r>
        <w:rPr>
          <w:rFonts w:ascii="Arial" w:cs="Arial" w:eastAsia="Arial" w:hAnsi="Arial"/>
          <w:sz w:val="16"/>
          <w:szCs w:val="16"/>
          <w:i w:val="1"/>
          <w:iCs w:val="1"/>
          <w:color w:val="auto"/>
        </w:rPr>
        <w:t>(in thousands)</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5"/>
          <w:szCs w:val="15"/>
          <w:b w:val="1"/>
          <w:bCs w:val="1"/>
          <w:color w:val="auto"/>
        </w:rPr>
        <w:t>Three Months Ended</w:t>
      </w:r>
    </w:p>
    <w:p>
      <w:pPr>
        <w:spacing w:after="0" w:line="38"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33020</wp:posOffset>
            </wp:positionV>
            <wp:extent cx="1568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8" w:lineRule="exact"/>
        <w:rPr>
          <w:sz w:val="20"/>
          <w:szCs w:val="20"/>
          <w:color w:val="auto"/>
        </w:rPr>
      </w:pPr>
    </w:p>
    <w:p>
      <w:pPr>
        <w:jc w:val="both"/>
        <w:ind w:left="9180"/>
        <w:spacing w:after="0"/>
        <w:tabs>
          <w:tab w:leader="none" w:pos="104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46355</wp:posOffset>
            </wp:positionV>
            <wp:extent cx="1568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240"/>
          </w:cols>
          <w:pgMar w:left="320" w:top="125" w:right="3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Accretion of asset retirement obligations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Bad debt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based compensation expense, net of amount capitalized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patronage and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long-term debt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assets and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Inventory,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 lease right-of-use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Waived management fee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Lease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deferrals and accruals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used in investing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13,280</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13,910</w:t>
            </w:r>
          </w:p>
        </w:tc>
      </w:tr>
      <w:tr>
        <w:trPr>
          <w:trHeight w:val="540"/>
        </w:trPr>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32,468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35,520</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5,659</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1,714</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(3,378)</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540"/>
        </w:trPr>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(3,127)</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(1,975)</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7,588</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12,939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7,779</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9,798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9,628</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(1,460)</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4,641</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(9,662)</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(5,714)</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61,108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61,663</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449" w:lineRule="exact"/>
        <w:rPr>
          <w:sz w:val="20"/>
          <w:szCs w:val="20"/>
          <w:color w:val="auto"/>
        </w:rPr>
      </w:pPr>
    </w:p>
    <w:p>
      <w:pPr>
        <w:sectPr>
          <w:pgSz w:w="11900" w:h="16838" w:orient="portrait"/>
          <w:cols w:equalWidth="0" w:num="2">
            <w:col w:w="8040" w:space="720"/>
            <w:col w:w="2480"/>
          </w:cols>
          <w:pgMar w:left="320" w:top="125" w:right="339" w:bottom="1440" w:gutter="0" w:footer="0" w:header="0"/>
          <w:type w:val="continuous"/>
        </w:sectPr>
      </w:pPr>
    </w:p>
    <w:tbl>
      <w:tblPr>
        <w:tblLayout w:type="fixed"/>
        <w:tblInd w:w="180" w:type="dxa"/>
        <w:tblCellMar>
          <w:top w:w="0" w:type="dxa"/>
          <w:left w:w="0" w:type="dxa"/>
          <w:bottom w:w="0" w:type="dxa"/>
          <w:right w:w="0" w:type="dxa"/>
        </w:tblCellMar>
      </w:tblPr>
      <w:tr>
        <w:trPr>
          <w:trHeight w:val="220"/>
        </w:trPr>
        <w:tc>
          <w:tcPr>
            <w:tcW w:w="8580" w:type="dxa"/>
            <w:vAlign w:val="bottom"/>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(32,299)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(44,420)</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6"/>
                <w:szCs w:val="16"/>
                <w:color w:val="auto"/>
              </w:rPr>
              <w:t>Cash disbursed for acquisitions</w:t>
            </w: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1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(32,025)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(54,375)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used in financing activities:</w:t>
      </w:r>
    </w:p>
    <w:p>
      <w:pPr>
        <w:sectPr>
          <w:pgSz w:w="11900" w:h="16838" w:orient="portrait"/>
          <w:cols w:equalWidth="0" w:num="1">
            <w:col w:w="11240"/>
          </w:cols>
          <w:pgMar w:left="320" w:top="125" w:right="339" w:bottom="1440" w:gutter="0" w:footer="0" w:header="0"/>
          <w:type w:val="continuous"/>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Principal payments on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Taxes paid for equity award issuances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 beginning of period</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and cash equivalents, end of period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06"/>
        </w:trPr>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(8,530)</w:t>
            </w:r>
          </w:p>
        </w:tc>
        <w:tc>
          <w:tcPr>
            <w:tcW w:w="940" w:type="dxa"/>
            <w:vAlign w:val="bottom"/>
          </w:tcPr>
          <w:p>
            <w:pPr>
              <w:jc w:val="right"/>
              <w:spacing w:after="0"/>
              <w:rPr>
                <w:sz w:val="20"/>
                <w:szCs w:val="20"/>
                <w:color w:val="auto"/>
              </w:rPr>
            </w:pPr>
            <w:r>
              <w:rPr>
                <w:rFonts w:ascii="Arial" w:cs="Arial" w:eastAsia="Arial" w:hAnsi="Arial"/>
                <w:sz w:val="16"/>
                <w:szCs w:val="16"/>
                <w:color w:val="auto"/>
              </w:rPr>
              <w:t>(19,889)</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(1,945)</w:t>
            </w:r>
          </w:p>
        </w:tc>
        <w:tc>
          <w:tcPr>
            <w:tcW w:w="940" w:type="dxa"/>
            <w:vAlign w:val="bottom"/>
          </w:tcPr>
          <w:p>
            <w:pPr>
              <w:jc w:val="right"/>
              <w:spacing w:after="0"/>
              <w:rPr>
                <w:sz w:val="20"/>
                <w:szCs w:val="20"/>
                <w:color w:val="auto"/>
              </w:rPr>
            </w:pPr>
            <w:r>
              <w:rPr>
                <w:rFonts w:ascii="Arial" w:cs="Arial" w:eastAsia="Arial" w:hAnsi="Arial"/>
                <w:sz w:val="16"/>
                <w:szCs w:val="16"/>
                <w:color w:val="auto"/>
              </w:rPr>
              <w:t>(2,698)</w:t>
            </w:r>
          </w:p>
        </w:tc>
      </w:tr>
    </w:tbl>
    <w:p>
      <w:pPr>
        <w:spacing w:after="0" w:line="64" w:lineRule="exact"/>
        <w:rPr>
          <w:sz w:val="20"/>
          <w:szCs w:val="20"/>
          <w:color w:val="auto"/>
        </w:rPr>
      </w:pPr>
    </w:p>
    <w:p>
      <w:pPr>
        <w:ind w:left="2220" w:hanging="1400"/>
        <w:spacing w:after="0"/>
        <w:tabs>
          <w:tab w:leader="none" w:pos="2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72</w:t>
      </w:r>
    </w:p>
    <w:p>
      <w:pPr>
        <w:spacing w:after="0" w:line="8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(10,502)</w:t>
      </w:r>
      <w:r>
        <w:rPr>
          <w:rFonts w:ascii="Arial" w:cs="Arial" w:eastAsia="Arial" w:hAnsi="Arial"/>
          <w:sz w:val="14"/>
          <w:szCs w:val="14"/>
          <w:color w:val="auto"/>
        </w:rPr>
        <w:t>(22,515)</w:t>
      </w:r>
    </w:p>
    <w:p>
      <w:pPr>
        <w:spacing w:after="0" w:line="8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18,581</w:t>
      </w:r>
      <w:r>
        <w:rPr>
          <w:rFonts w:ascii="Arial" w:cs="Arial" w:eastAsia="Arial" w:hAnsi="Arial"/>
          <w:sz w:val="14"/>
          <w:szCs w:val="14"/>
          <w:color w:val="auto"/>
        </w:rPr>
        <w:t>(15,227)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-307340</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101,651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85,086</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120,232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69,859</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sectPr>
          <w:pgSz w:w="11900" w:h="16838" w:orient="portrait"/>
          <w:cols w:equalWidth="0" w:num="2">
            <w:col w:w="8040" w:space="720"/>
            <w:col w:w="2480"/>
          </w:cols>
          <w:pgMar w:left="320" w:top="125" w:right="339" w:bottom="1440" w:gutter="0" w:footer="0" w:header="0"/>
          <w:type w:val="continuous"/>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Other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The accompanying unaudited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consolidated financial statements should be read in conjunction with the audited consolidated financial statements and notes contained in our Annual Report on Form 10-K for the </w:t>
      </w:r>
      <w:r>
        <w:rPr>
          <w:rFonts w:ascii="Arial" w:cs="Arial" w:eastAsia="Arial" w:hAnsi="Arial"/>
          <w:sz w:val="17"/>
          <w:szCs w:val="17"/>
          <w:color w:val="000000"/>
        </w:rPr>
        <w:t>year ended December 31, 2019 .</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consolidated financial statements. These estimates are inherently subject to judgment and actual results could differ.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212529"/>
        </w:rPr>
        <w:t>T-Mobile Acquisition of Sprint</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12529"/>
        </w:rPr>
        <w:t>On April 1, 2020, T-Mobile US, Inc. (“T-Mobile”) announced the completion of its business combination with Sprint Corporation (“Sprint”) and subsequently delivered to the Company a notice of Network Technology Conversion, Brand Conversion and Combination Conversion (a “Conversion Notice”) pursuant to the terms of our affiliate agreement. The affiliate agreement provides for a 90 -day period following receipt of the Conversion Notice for the parties to negotiate mutually agreeable terms and conditions under which the Company would continue as an affiliate of T-Mobile. The affiliate agreement further provides that, if T-Mobile and the Company have not negotiated a mutually acceptable agreement within the 90 -day period, then T-Mobile would have a period of 60 days thereafter to exercise an option to purchase the assets of our Wireless operations for 90% of the "Entire Business Value," (as defined under our affiliate agreement). If T-Mobile does not exercise its purchase option, the Company would then have a 60 -day period to exercise an option to purchase the legacy T-Mobile network and subscribers in our service area. If the Company does not exercise its purchase option, T-Mobile must sell or decommission its legacy network and customers in our service area. The outcome of these proceedings could significantly impact our business operations and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March 11, 2020, the World Health Organization classified the COVID-19 outbreak as a pandemic. While we do not operate in the densely populated urban markets that have been most-affected by the pandemic, our postpaid gross additions, equipment revenue, and cost of goods sold decreased as stay-at-home directives led to the temporary closure of approximately 40% of our Sprint-branded retail stores in mid-March.</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wireless and broadband internet services are essential during a time of social distancing. Nonetheless, national unemployment rates increased markedly in April. Sprint also adopted the Keep Americans Connected pledge and T-Mobile chose to change subscriber collection policies following its April 1, 2020 acquisition of Sprint. It is reasonably possible that these risks and uncertainties could impact the collectability of our accounts receivable and revenue. It is also reasonably possible that they could impact the measurement of our wireless segment’s contract asset, which is reduced by an estimated refund obligation for amounts that T-Mobile is later unable to collect from its subscribers. We update that estimate based upon trends in our refund experience. To-date, our collection experience and expected credit losses have not been materially affected. We will continue to monitor the impacts of this unprecedented pandemic and will prospectively revise our estimates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anticipate any material impairments of our long-lived assets or of our indefinite-lived intangible assets as a result of COVID-19.</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Revision of Prior Period Financial Statements</w:t>
      </w:r>
    </w:p>
    <w:p>
      <w:pPr>
        <w:spacing w:after="0" w:line="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preparation of our unaudited condensed consolidated financial statements for the three months ended March 31, 2020, we determined that certain errors existed in our previously issued financial statements. Specifically:</w:t>
      </w:r>
    </w:p>
    <w:p>
      <w:pPr>
        <w:spacing w:after="0" w:line="79" w:lineRule="exact"/>
        <w:rPr>
          <w:sz w:val="20"/>
          <w:szCs w:val="20"/>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Prepaid and other assets, as of December 31, 2019, were understated by $2.7 million , deferred tax liabilities were understated by $0.7 million , and retained earnings were understated by $2.0 million as the result of a failure to properly account for handsets that were utilized as demo phones in certain wireless retail stores within our area of operation. All of the impact to retained earnings is attributable to 2017 and prior years.</w:t>
      </w:r>
    </w:p>
    <w:p>
      <w:pPr>
        <w:spacing w:after="0" w:line="2"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plant and equipment, net, and deferred income tax liabilities as of December 31, 2019 were understated by $1.4 million and $0.4 million , respectively. Depreciation expense was overstated by $1.4 million for the year and quarter 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December 31, 2019. Income tax expense and net income were understated by $0.4 million and $1.0 million , respectively, for the year and quarter ended December 31, 2019.</w:t>
      </w:r>
    </w:p>
    <w:p>
      <w:pPr>
        <w:spacing w:after="0" w:line="2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evaluated these errors under the U.S. Securities and Exchange Commission's ("SEC's") authoritative guidance on materiality and the quantification of the effect of prior period misstatements on financial statements, and we have determined that the impact of these errors on our prior period consolidated financial statements is immaterial. However, since the correction of these errors in the first quarter of 2020 could have become material to our results of operations for the year ending December 31, 2020, we revised our prior period financial statements to correct these errors herein. For the year and quarter ended December 31, 2019, the correction of these errors resulted in a $0.02 increase in both basic and diluted earnings per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2019 Annual Report on Form 10-K, that would be expected to impact the Company except for the following:</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adopted ASU No. 2016-13, </w:t>
      </w:r>
      <w:r>
        <w:rPr>
          <w:rFonts w:ascii="Arial" w:cs="Arial" w:eastAsia="Arial" w:hAnsi="Arial"/>
          <w:sz w:val="16"/>
          <w:szCs w:val="16"/>
          <w:i w:val="1"/>
          <w:iCs w:val="1"/>
          <w:color w:val="auto"/>
        </w:rPr>
        <w:t>Financial Instruments - Credit Losses ("ASC 326"): Measurement of Credit Losses on Financial Instruments</w:t>
      </w:r>
      <w:r>
        <w:rPr>
          <w:rFonts w:ascii="Arial" w:cs="Arial" w:eastAsia="Arial" w:hAnsi="Arial"/>
          <w:sz w:val="16"/>
          <w:szCs w:val="16"/>
          <w:color w:val="auto"/>
        </w:rPr>
        <w:t xml:space="preserve"> , as of January 1, 2020 using the modified retrospective transition method. ASC 326 requires the application of a current expected credit loss (“CECL”) impairment model to financial assets measured at amortized cost including trade accounts receivable, net investments in leases, and certain off-balance-sheet credit exposures. Under the CECL model, lifetime expected credit losses on such financial assets are measured and recognized at each reporting date based on historical, current, and forecasted information. Furthermore, the CECL model requires financial assets with similar risk characteristics to be analyzed on a collective basis. There was no significant impact to condensed consolidated financial statements upon adoption.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adopted ASU No. 2018-15, </w:t>
      </w:r>
      <w:r>
        <w:rPr>
          <w:rFonts w:ascii="Arial" w:cs="Arial" w:eastAsia="Arial" w:hAnsi="Arial"/>
          <w:sz w:val="16"/>
          <w:szCs w:val="16"/>
          <w:i w:val="1"/>
          <w:iCs w:val="1"/>
          <w:color w:val="auto"/>
        </w:rPr>
        <w:t>Intangibles - Goodwill and Other - Internal-Use Software ("ASC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as of January 1, 2020. ASC 350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Upon adoption of the standard, implementation costs were capitalized in the period incurred and will be amortized over the term of the hosting arrangement. There was no significant impact to condensed consolidated financial statements upon adoption.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 for a summary of our revenue streams, which are discussed further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Segment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can be agreed. We have triggered the final dispute resolution option with Sprint which we expect will lead to a resolution for travel fee revenue in the second quarter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Wireless segment's contract asset: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Beginning Balance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84,663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65,674</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Contract payments</w:t>
            </w: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18,151</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Contract amortization against revenue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(13,454)</w:t>
            </w: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18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86,198</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70,371</w:t>
            </w: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Wireless contract asset is reduced by an estimated obligation to refund amounts that Sprint is later unable to collect from its subscribers. This refund obligation totaled $7.0 million at both March 31, 2020 and December 31, 2019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Segment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costs: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Beginning Balance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10,091</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Contract payments</w:t>
            </w: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1,699</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Contract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18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10,409</w:t>
            </w: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performance obligations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March 31, 2020 , the Company had approximately $3.2 million allocated to unsatisfied performance obligations that will be satisfied at the rate of approximately $0.8 million per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Note 3. Investments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5440" w:type="dxa"/>
            <w:vAlign w:val="bottom"/>
            <w:vMerge w:val="restart"/>
          </w:tcPr>
          <w:p>
            <w:pPr>
              <w:ind w:left="40"/>
              <w:spacing w:after="0"/>
              <w:rPr>
                <w:sz w:val="20"/>
                <w:szCs w:val="20"/>
                <w:color w:val="auto"/>
              </w:rPr>
            </w:pPr>
            <w:r>
              <w:rPr>
                <w:rFonts w:ascii="Arial" w:cs="Arial" w:eastAsia="Arial" w:hAnsi="Arial"/>
                <w:sz w:val="18"/>
                <w:szCs w:val="18"/>
                <w:color w:val="auto"/>
              </w:rPr>
              <w:t>SERP Investments at fair value</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9,739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SERP Investments at fair value: </w:t>
      </w:r>
      <w:r>
        <w:rPr>
          <w:rFonts w:ascii="Arial" w:cs="Arial" w:eastAsia="Arial" w:hAnsi="Arial"/>
          <w:sz w:val="17"/>
          <w:szCs w:val="17"/>
          <w:color w:val="auto"/>
        </w:rPr>
        <w:t>The Supplemental Executive Retirement Plan (“SERP”) is a benefit plan that provides deferred compensation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 Changes to the investments fair value are presented in Other income (expense), while the reciprocal changes in the liability are presented in selling, general and administrative expense.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Method Investments: </w:t>
      </w:r>
      <w:r>
        <w:rPr>
          <w:rFonts w:ascii="Arial" w:cs="Arial" w:eastAsia="Arial" w:hAnsi="Arial"/>
          <w:sz w:val="18"/>
          <w:szCs w:val="18"/>
          <w:color w:val="auto"/>
        </w:rPr>
        <w:t>Our investment in CoBank’s Class A common stock represented substantially all of our cost method investments with a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$9.0 million and $8.7 million at March 31, 2020 and December 31, 2019 , respectively. We recognized approximately $1.0 million and $0.9 million of patronage income in Other income (expense) in the three months ended March 31, 2020 and 2019 , respectively. Historically, approximately 75% of the patronage distributions were in cash and 25% in equity.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March 31, 2020 , the Company had a 20.0% ownership interest in Valley Network Partnership (“ValleyNet”).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ValleyNet purchase capacity on one another’s fiber network. We recognized revenue of $0.2 million from providing service to ValleyNet during both of the three months ended March 31, 2020 and 2019 . We recognized cost of service of $0.8 million and $0.7 million for the use of ValleyNet’s network during both of the three months ended March 31, 2020 and 2019 ,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4"/>
                <w:szCs w:val="24"/>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7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Estimated Useful Lives</w:t>
            </w:r>
          </w:p>
        </w:tc>
        <w:tc>
          <w:tcPr>
            <w:tcW w:w="166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Land</w:t>
            </w: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Buildings and structures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238,728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232,730</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Cable and fiber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348,658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334,260</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Equipment and software</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870,089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867,898</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Plant in service</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1,464,618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1,441,864</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Plant under construction</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59,097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56,827</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Total property, plant and equipment</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1,523,715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1,498,691</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827,795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797,177</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695,920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701,514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goodwill during the three months ended March 31, 2020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 2019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 and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 and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Indefinite-lived intangibles:</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FCC spectrum licenses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40"/>
              <w:spacing w:after="0"/>
              <w:rPr>
                <w:sz w:val="20"/>
                <w:szCs w:val="20"/>
                <w:color w:val="auto"/>
              </w:rPr>
            </w:pPr>
            <w:r>
              <w:rPr>
                <w:rFonts w:ascii="Arial" w:cs="Arial" w:eastAsia="Arial" w:hAnsi="Arial"/>
                <w:sz w:val="18"/>
                <w:szCs w:val="18"/>
                <w:color w:val="auto"/>
              </w:rPr>
              <w:t>Total indefinite-lived intangibles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140"/>
              <w:spacing w:after="0"/>
              <w:rPr>
                <w:sz w:val="20"/>
                <w:szCs w:val="20"/>
                <w:color w:val="auto"/>
              </w:rPr>
            </w:pPr>
            <w:r>
              <w:rPr>
                <w:rFonts w:ascii="Arial" w:cs="Arial" w:eastAsia="Arial" w:hAnsi="Arial"/>
                <w:sz w:val="18"/>
                <w:szCs w:val="18"/>
                <w:color w:val="auto"/>
              </w:rPr>
              <w:t>Sprint affiliate contract expansion -</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Wireless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(241,231)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455,305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(226,712)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228,593</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FCC spectrum licenses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40"/>
              <w:spacing w:after="0"/>
              <w:rPr>
                <w:sz w:val="20"/>
                <w:szCs w:val="20"/>
                <w:color w:val="auto"/>
              </w:rPr>
            </w:pPr>
            <w:r>
              <w:rPr>
                <w:rFonts w:ascii="Arial" w:cs="Arial" w:eastAsia="Arial" w:hAnsi="Arial"/>
                <w:sz w:val="18"/>
                <w:szCs w:val="18"/>
                <w:color w:val="auto"/>
              </w:rPr>
              <w:t>Total finite-lived intangibles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488,492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(267,348)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221,144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488,492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235,833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566,806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(267,348)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299,458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566,806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(252,659)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314,147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212529"/>
        </w:rPr>
        <w:t>We acquired Big Sandy Broadband, Inc. (“Big Sandy”) on February 28, 2019. The $10 million acquisition price was allocated as follows within our broadband segment: $4.6 million of property, plant and equipment; $2.8 million of subscriber relationships; and $2.6 million of goodwill.</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 xml:space="preserve">In 2016, we acquired nTelos Holdings Corp. and immediately transferred certain of the acquired assets to Sprint in an interrelated nonmonetary exchange. In the exchange, we received a corresponding expansion of our Sprint Affiliate Area, future billings associated with Sprint subscribers already in that expanded area, and an increase in the price that Sprint would pay to buy our Wireless asset group in the event that either party chooses not to renew the affiliate agreement. Sprint also agreed to waive up to $4.2 million of our monthly management fee, not to exceed $255.6 million in total, over a multi-year period. We accounted for these collective rights as an affiliate contract expansion (“ACE”) intangible, which is amortized over the expected benefit period and further reduced as management fees are waived by Sprint. We realized management fee waivers of </w:t>
      </w:r>
      <w:r>
        <w:rPr>
          <w:rFonts w:ascii="Arial" w:cs="Arial" w:eastAsia="Arial" w:hAnsi="Arial"/>
          <w:sz w:val="16"/>
          <w:szCs w:val="16"/>
          <w:color w:val="000000"/>
        </w:rPr>
        <w:t>$9.8 million</w:t>
      </w:r>
      <w:r>
        <w:rPr>
          <w:rFonts w:ascii="Arial" w:cs="Arial" w:eastAsia="Arial" w:hAnsi="Arial"/>
          <w:sz w:val="16"/>
          <w:szCs w:val="16"/>
          <w:color w:val="212529"/>
        </w:rPr>
        <w:t xml:space="preserve"> and</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$9.6 million </w:t>
      </w:r>
      <w:r>
        <w:rPr>
          <w:rFonts w:ascii="Arial" w:cs="Arial" w:eastAsia="Arial" w:hAnsi="Arial"/>
          <w:sz w:val="17"/>
          <w:szCs w:val="17"/>
          <w:color w:val="212529"/>
        </w:rPr>
        <w:t>during the</w:t>
      </w:r>
      <w:r>
        <w:rPr>
          <w:rFonts w:ascii="Arial" w:cs="Arial" w:eastAsia="Arial" w:hAnsi="Arial"/>
          <w:sz w:val="17"/>
          <w:szCs w:val="17"/>
          <w:color w:val="auto"/>
        </w:rPr>
        <w:t xml:space="preserve"> three months ended March 31, 2020 </w:t>
      </w:r>
      <w:r>
        <w:rPr>
          <w:rFonts w:ascii="Arial" w:cs="Arial" w:eastAsia="Arial" w:hAnsi="Arial"/>
          <w:sz w:val="17"/>
          <w:szCs w:val="17"/>
          <w:color w:val="212529"/>
        </w:rPr>
        <w:t>and</w:t>
      </w:r>
      <w:r>
        <w:rPr>
          <w:rFonts w:ascii="Arial" w:cs="Arial" w:eastAsia="Arial" w:hAnsi="Arial"/>
          <w:sz w:val="17"/>
          <w:szCs w:val="17"/>
          <w:color w:val="auto"/>
        </w:rPr>
        <w:t xml:space="preserve"> 2019 </w:t>
      </w:r>
      <w:r>
        <w:rPr>
          <w:rFonts w:ascii="Arial" w:cs="Arial" w:eastAsia="Arial" w:hAnsi="Arial"/>
          <w:sz w:val="17"/>
          <w:szCs w:val="17"/>
          <w:color w:val="212529"/>
        </w:rPr>
        <w:t>, respectively, and</w:t>
      </w:r>
      <w:r>
        <w:rPr>
          <w:rFonts w:ascii="Arial" w:cs="Arial" w:eastAsia="Arial" w:hAnsi="Arial"/>
          <w:sz w:val="17"/>
          <w:szCs w:val="17"/>
          <w:color w:val="auto"/>
        </w:rPr>
        <w:t xml:space="preserve"> $147.0 million </w:t>
      </w:r>
      <w:r>
        <w:rPr>
          <w:rFonts w:ascii="Arial" w:cs="Arial" w:eastAsia="Arial" w:hAnsi="Arial"/>
          <w:sz w:val="17"/>
          <w:szCs w:val="17"/>
          <w:color w:val="212529"/>
        </w:rPr>
        <w:t>since the date of the business combination.</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During 2017 and 2018, we entered into purchase agreements with Sprint to further expand our affiliate territory to include areas around Parkersburg, West Virginia, and Richmond, Virginia, respectively. The relevant portion of these payments were also capitalized as ACE intangible assets.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Amounts paid in connection with the acquisition of a business are presented as amortization expense in our income statement. Amounts paid to Sprint outside of a business combination are accounted for as consideration paid to a customer with amortization presented as a reduction of Service and other revenue in our unaudited condensed consolidated 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Amortization of intangible assets was </w:t>
      </w:r>
      <w:r>
        <w:rPr>
          <w:rFonts w:ascii="Arial" w:cs="Arial" w:eastAsia="Arial" w:hAnsi="Arial"/>
          <w:sz w:val="18"/>
          <w:szCs w:val="18"/>
          <w:color w:val="000000"/>
        </w:rPr>
        <w:t>$4.9 million</w:t>
      </w:r>
      <w:r>
        <w:rPr>
          <w:rFonts w:ascii="Arial" w:cs="Arial" w:eastAsia="Arial" w:hAnsi="Arial"/>
          <w:sz w:val="18"/>
          <w:szCs w:val="18"/>
          <w:color w:val="212529"/>
        </w:rPr>
        <w:t xml:space="preserve"> and </w:t>
      </w:r>
      <w:r>
        <w:rPr>
          <w:rFonts w:ascii="Arial" w:cs="Arial" w:eastAsia="Arial" w:hAnsi="Arial"/>
          <w:sz w:val="18"/>
          <w:szCs w:val="18"/>
          <w:color w:val="000000"/>
        </w:rPr>
        <w:t>$5.7 million</w:t>
      </w:r>
      <w:r>
        <w:rPr>
          <w:rFonts w:ascii="Arial" w:cs="Arial" w:eastAsia="Arial" w:hAnsi="Arial"/>
          <w:sz w:val="18"/>
          <w:szCs w:val="18"/>
          <w:color w:val="212529"/>
        </w:rPr>
        <w:t xml:space="preserve"> for the </w:t>
      </w:r>
      <w:r>
        <w:rPr>
          <w:rFonts w:ascii="Arial" w:cs="Arial" w:eastAsia="Arial" w:hAnsi="Arial"/>
          <w:sz w:val="18"/>
          <w:szCs w:val="18"/>
          <w:color w:val="000000"/>
        </w:rPr>
        <w:t>three months ended March 31, 2020</w:t>
      </w:r>
      <w:r>
        <w:rPr>
          <w:rFonts w:ascii="Arial" w:cs="Arial" w:eastAsia="Arial" w:hAnsi="Arial"/>
          <w:sz w:val="18"/>
          <w:szCs w:val="18"/>
          <w:color w:val="212529"/>
        </w:rPr>
        <w:t xml:space="preserve"> and </w:t>
      </w:r>
      <w:r>
        <w:rPr>
          <w:rFonts w:ascii="Arial" w:cs="Arial" w:eastAsia="Arial" w:hAnsi="Arial"/>
          <w:sz w:val="18"/>
          <w:szCs w:val="18"/>
          <w:color w:val="000000"/>
        </w:rPr>
        <w:t>2019</w:t>
      </w:r>
      <w:r>
        <w:rPr>
          <w:rFonts w:ascii="Arial" w:cs="Arial" w:eastAsia="Arial" w:hAnsi="Arial"/>
          <w:sz w:val="18"/>
          <w:szCs w:val="18"/>
          <w:color w:val="212529"/>
        </w:rPr>
        <w:t xml:space="preserve"> ,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6 .   Other Assets and Accrued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w w:val="91"/>
              </w:rPr>
              <w:t>Prepaid expenses and other, classified as current assets, included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0"/>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Wireless contract asset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46,552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44,844</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Broadband contract acquisition and fulfillment costs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4,898</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Prepaid maintenance expenses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3,329</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6,074</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60,527</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Wireless contract asset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39,646</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39,819</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Broadband contract acquisition and fulfillment costs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6,107</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6,174</w:t>
            </w: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82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53,436</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53,352</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Sales and property taxes payable</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3,789</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Accrued programming costs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3,023</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FCC spectrum license obligations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7,232</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14,391</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60" w:type="dxa"/>
            <w:vAlign w:val="bottom"/>
            <w:vMerge w:val="restart"/>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Noncurrent portion of deferred lease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12,291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12,449</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FCC spectrum license obligations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Noncurrent portion of financing leases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16,990</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Market expectations of the projected London Interbank Offering Rate (LIBOR) decreased significantly during the first quarter of 2020 , which drove the fair value of our interest rate swaps to a liability. Refer to Note 9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 our operating leases had a weighted average remaining lease term of nine years and a weighted average discount rate of 4.3% . Our finance leases had a weighted average remaining lease term of fifteen years and a weighted average discount rate of 5.1% .</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2020 and 2019 , we recognized $17.8 million and $16.9 million of operating lease expense, respectively. We recognized $0.1 million of interest and depreciation expense on finance leases during the three months ended March 31, 2020 and 2019 . Operating lease expense is presented in cost of service or selling, general and administrative expense based on the use of the relevant facility. Variable lease payments and short-term lease expense were both immaterial. We remitted $15.5 million and $14.7 million of operating lease payments during the three months ended March 31, 2020 and 2019 , respectively. We also obtained $3.3 million and $4.6 million of leased assets in exchange for new operating lease liabilities during the three months ended March 31, 2020 and 2019 ,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maturity of lease liabilities at March 31, 2020 :</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45,222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45,330</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66,216</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64,256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64,430</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60,770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60,944</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56,105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56,279</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2025 and thereafter</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191,726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193,258</w:t>
            </w:r>
          </w:p>
        </w:tc>
      </w:tr>
      <w:tr>
        <w:trPr>
          <w:trHeight w:val="27"/>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484,121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486,457</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96,194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96,890</w:t>
            </w:r>
          </w:p>
        </w:tc>
      </w:tr>
      <w:tr>
        <w:trPr>
          <w:trHeight w:val="27"/>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900" w:type="dxa"/>
            <w:vAlign w:val="bottom"/>
          </w:tcPr>
          <w:p>
            <w:pPr>
              <w:ind w:left="1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387,927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389,567</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recognized $2.1 million and $2.0 million of operating lease revenue during the three months ended March 31, 2020 and 2019 , respectively, related to the cell site colocation space and dedicated fiber optic strands that we lease to our customers, which is included in Service and other revenue in the unaudited condensed consolidated statements of comprehensive income. Substantially all of our lease revenue relates to fixed lease payments.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March 31, 2020 :</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5,527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4,742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2025 and thereafter</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4,192</w:t>
            </w:r>
          </w:p>
        </w:tc>
      </w:tr>
      <w:tr>
        <w:trPr>
          <w:trHeight w:val="27"/>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25,263</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syndicated Credit Agreement includes a $75 million , five -year undrawn revolving credit facility, as well as the following outstanding term loans: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Term loan A-1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251,288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258,571</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Term loan A-2</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472,221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473,469</w:t>
            </w:r>
          </w:p>
        </w:tc>
      </w:tr>
      <w:tr>
        <w:trPr>
          <w:trHeight w:val="27"/>
        </w:trPr>
        <w:tc>
          <w:tcPr>
            <w:tcW w:w="7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723,509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732,040</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11,926</w:t>
            </w:r>
          </w:p>
        </w:tc>
      </w:tr>
      <w:tr>
        <w:trPr>
          <w:trHeight w:val="27"/>
        </w:trPr>
        <w:tc>
          <w:tcPr>
            <w:tcW w:w="7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12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712,203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720,114</w:t>
            </w: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 Loan A-1 bears interest at one-month LIBOR plus a margin of 1.50% , while Term Loan A-2 bears interest at one-month LIBOR plus a margin of 1.75% . LIBOR resets monthly. Our cash payments for interest were $5.8 million and $7.2 million during the three months ended March 31, 2020 and 2019 ,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March 31, 2020 , the Company was in compliance with the financial covenants in its credit agreements.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Covenant Requirement</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2420" w:type="dxa"/>
            <w:vAlign w:val="bottom"/>
          </w:tcPr>
          <w:p>
            <w:pPr>
              <w:jc w:val="right"/>
              <w:ind w:right="430"/>
              <w:spacing w:after="0"/>
              <w:rPr>
                <w:sz w:val="20"/>
                <w:szCs w:val="20"/>
                <w:color w:val="auto"/>
              </w:rPr>
            </w:pPr>
            <w:r>
              <w:rPr>
                <w:rFonts w:ascii="Arial" w:cs="Arial" w:eastAsia="Arial" w:hAnsi="Arial"/>
                <w:sz w:val="18"/>
                <w:szCs w:val="18"/>
                <w:color w:val="auto"/>
              </w:rPr>
              <w:t>3.25 or Lower</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3"/>
                <w:szCs w:val="23"/>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2.00 or Higher</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195.0</w:t>
            </w:r>
          </w:p>
        </w:tc>
        <w:tc>
          <w:tcPr>
            <w:tcW w:w="120" w:type="dxa"/>
            <w:vAlign w:val="bottom"/>
          </w:tcPr>
          <w:p>
            <w:pPr>
              <w:spacing w:after="0"/>
              <w:rPr>
                <w:sz w:val="23"/>
                <w:szCs w:val="23"/>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$25.0 or Higher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interest rate swaps are pay-fixed ( 1.16% ), receive-variable (one month LIBOR) that hedged approximately 45.4% of outstanding debt with outstanding notional amounts totaling $328.7 and $339.8 million March 31, 2020 and December 31, 2019 , respectively.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these instruments was estimated using an income approach and observable market inputs. The hedge was determined to be highly effective and therefore all of the change in its fair value was recognized through Other comprehensive income. During the three months ended March 31, 2020 the fair market value decreased by $8.1 million due to a decline in the one month LIBOR. They were presented as follows:</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6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162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62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240" w:type="dxa"/>
            <w:vAlign w:val="bottom"/>
          </w:tcPr>
          <w:p>
            <w:pPr>
              <w:spacing w:after="0"/>
              <w:rPr>
                <w:sz w:val="18"/>
                <w:szCs w:val="18"/>
                <w:color w:val="auto"/>
              </w:rPr>
            </w:pPr>
          </w:p>
        </w:tc>
        <w:tc>
          <w:tcPr>
            <w:tcW w:w="17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Gains (Losses) on</w:t>
            </w:r>
          </w:p>
        </w:tc>
        <w:tc>
          <w:tcPr>
            <w:tcW w:w="2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Income Tax</w:t>
            </w:r>
          </w:p>
        </w:tc>
        <w:tc>
          <w:tcPr>
            <w:tcW w:w="14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Cash Flow</w:t>
            </w: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(Expense)</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r>
      <w:tr>
        <w:trPr>
          <w:trHeight w:val="234"/>
        </w:trPr>
        <w:tc>
          <w:tcPr>
            <w:tcW w:w="6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Hedges</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taxes</w:t>
            </w:r>
          </w:p>
        </w:tc>
      </w:tr>
      <w:tr>
        <w:trPr>
          <w:trHeight w:val="27"/>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308</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Net change in unrealized gain (loss)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(5,785)</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w w:val="91"/>
              </w:rPr>
              <w:t>Amounts reclassified from accumulated other comprehensive income (loss) to interest</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(6,106)</w:t>
            </w:r>
          </w:p>
        </w:tc>
      </w:tr>
      <w:tr>
        <w:trPr>
          <w:trHeight w:val="27"/>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March 31, 2020 . The Company's returns are generally open to examination from 2016 forward and the net operating losses acquired in the acquisition of nTelos are open to examination from 2002 forward.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tax rate for the three months ended March 31, 2020 was approximately 24.4% , as compared with approximately 23.2% for the three months ended March 31, 2019 . The Company had no significant cash payments or refunds for income taxes during the three months ended March 31,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Compensation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three months ended March 31, 2020, the Company granted approximately 70 thousand restricted stock units (RSUs) to employees and approximately 14 thousand RSUs to members of the board of directors, at a market price of $48.47 per award. Under the terms of the award agreements, the RSUs granted to employees vest in fourths on the anniversary date of the grants through 2024. The RSUs granted to the members of the board of directors vest fully on the first anniversary of the grant date. Additionally, approximately 40 thousand Relative Total Shareholder Return (“RTSR”) awards were granted to employees at a value of $56.32 per award. Pursuant to the terms of the RTSR awards, the Company’s stock performance over a three-year period, ending December 31, 2022, will be compared to a group of peer companies, and the actual number of shares to be issued will be determined based upon the performance of the Company’s stock as compared with that of the peer group. The actual number of shares to be issued ranges from 0 shares (if the Company’s stock performance is in the bottom 25% of the peer group) to 150% of the awards granted (if the Company’s stock performance is in the top 25% of the peer group). The Company's stock based compensation award vesting is subject to requirements relating to continued employment with the Company through the service or performance periods, and to special vesting provisions in case of a change of control, death, disability or retirement.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We utilize the treasury stock method to calculate the impact on diluted earnings per share that potentially dilutive stock-based compensation awards have. The following table indicates the computation of basic and diluted earnings per share: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Calculation of net income per share: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weighted 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net income per share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stock-based compensation awards outstanding: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weighted average shares outstanding</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Effect from dilutive shares and options outstanding</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net income per share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602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06"/>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13,910</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49,888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49,775</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91"/>
        </w:trPr>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49,888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49,775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50,115</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280"/>
          </w:cols>
          <w:pgMar w:left="320" w:top="125"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There were fewer than 125 thousand anti-dilutive awards outstanding during the </w:t>
      </w:r>
      <w:r>
        <w:rPr>
          <w:rFonts w:ascii="Arial" w:cs="Arial" w:eastAsia="Arial" w:hAnsi="Arial"/>
          <w:sz w:val="18"/>
          <w:szCs w:val="18"/>
          <w:color w:val="000000"/>
        </w:rPr>
        <w:t>three months ended March 31, 2020</w:t>
      </w:r>
      <w:r>
        <w:rPr>
          <w:rFonts w:ascii="Arial" w:cs="Arial" w:eastAsia="Arial" w:hAnsi="Arial"/>
          <w:sz w:val="18"/>
          <w:szCs w:val="18"/>
          <w:color w:val="212529"/>
        </w:rPr>
        <w:t xml:space="preserve"> and </w:t>
      </w:r>
      <w:r>
        <w:rPr>
          <w:rFonts w:ascii="Arial" w:cs="Arial" w:eastAsia="Arial" w:hAnsi="Arial"/>
          <w:sz w:val="18"/>
          <w:szCs w:val="18"/>
          <w:color w:val="000000"/>
        </w:rPr>
        <w:t>2019 .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make payments to satisfy our lease liabilities and long-term debt. The scheduled payments under those obligations are summarized in the respective notes above. We are also committed to make annual payments of approximately $108.0 thousand on our FCC spectrum license obligation through 2039.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Note 13 .  Segment Reporting</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8"/>
                <w:szCs w:val="18"/>
                <w:b w:val="1"/>
                <w:bCs w:val="1"/>
                <w:color w:val="auto"/>
              </w:rPr>
              <w:t>Three Months Ended March 31, 2020 :</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74,928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74,928</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13,109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 (1)</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34,943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34,943</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47,003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140,188</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47,253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153,188</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49,786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153,188</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49,565</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30,991</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36,911</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39,756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130,138</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23,444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10,030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wp:posOffset>
            </wp:positionV>
            <wp:extent cx="47745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74565" cy="2540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SMB refers to Small and Medium Businesses.</w:t>
      </w: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Arial" w:cs="Arial" w:eastAsia="Arial" w:hAnsi="Arial"/>
                <w:sz w:val="18"/>
                <w:szCs w:val="18"/>
                <w:b w:val="1"/>
                <w:bCs w:val="1"/>
                <w:color w:val="auto"/>
              </w:rPr>
              <w:t>Three Months Ended March 31, 2019 :</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76,182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76,182</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97,330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143,231</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44,459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158,843</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46,881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158,843</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32,532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19,061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49,518</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28,722</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30,370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36,832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134,056</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24,213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6900" w:type="dxa"/>
            <w:vAlign w:val="bottom"/>
            <w:vMerge w:val="restart"/>
          </w:tcPr>
          <w:p>
            <w:pPr>
              <w:spacing w:after="0"/>
              <w:rPr>
                <w:sz w:val="20"/>
                <w:szCs w:val="20"/>
                <w:color w:val="auto"/>
              </w:rPr>
            </w:pPr>
            <w:r>
              <w:rPr>
                <w:rFonts w:ascii="Arial" w:cs="Arial" w:eastAsia="Arial" w:hAnsi="Arial"/>
                <w:sz w:val="18"/>
                <w:szCs w:val="18"/>
                <w:color w:val="auto"/>
              </w:rPr>
              <w:t>Total consolidated operating income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23,050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0"/>
        </w:trPr>
        <w:tc>
          <w:tcPr>
            <w:tcW w:w="69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70"/>
        </w:trPr>
        <w:tc>
          <w:tcPr>
            <w:tcW w:w="690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690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17,572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that may include natural disasters, pandemics and outbreaks of contagious diseases and other adverse public health developments, such as COVID-19, natural disasters, changes in general economic conditions, increases in costs, changes in regulation and other competitive factors. Updates to the Risk Factors described in “Item 1A-Risk Factors” as provided in our Annual Report on Form 10-K for the year ended December 31, 2019 , may be found below in Part II, under the heading “Item 1A-Risk Factors.</w:t>
      </w:r>
    </w:p>
    <w:p>
      <w:pPr>
        <w:spacing w:after="0" w:line="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2019 , including the consolidated financial statements and related notes included therein.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wireless and broadband communications products and services in the Mid-Atlantic portion of the United States. Management’s Discussion and Analysis is organized around our reporting segments. Refer to Note 13 , Segment Reporting , in our unaudited condensed consolidated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Developments</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i w:val="1"/>
          <w:iCs w:val="1"/>
          <w:color w:val="212529"/>
        </w:rPr>
        <w:t xml:space="preserve">T-Mobile business combination with Sprint </w:t>
      </w:r>
      <w:r>
        <w:rPr>
          <w:rFonts w:ascii="Arial" w:cs="Arial" w:eastAsia="Arial" w:hAnsi="Arial"/>
          <w:sz w:val="20"/>
          <w:szCs w:val="20"/>
          <w:color w:val="212529"/>
        </w:rPr>
        <w:t>:</w:t>
      </w:r>
      <w:r>
        <w:rPr>
          <w:rFonts w:ascii="Arial" w:cs="Arial" w:eastAsia="Arial" w:hAnsi="Arial"/>
          <w:sz w:val="20"/>
          <w:szCs w:val="20"/>
          <w:i w:val="1"/>
          <w:iCs w:val="1"/>
          <w:color w:val="212529"/>
        </w:rPr>
        <w:t xml:space="preserve"> </w:t>
      </w:r>
      <w:r>
        <w:rPr>
          <w:rFonts w:ascii="Arial" w:cs="Arial" w:eastAsia="Arial" w:hAnsi="Arial"/>
          <w:sz w:val="17"/>
          <w:szCs w:val="17"/>
          <w:color w:val="212529"/>
        </w:rPr>
        <w:t>On April 1, 2020, T-Mobile US, Inc. (“T-Mobile”) announced the completion of its business combination</w:t>
      </w:r>
      <w:r>
        <w:rPr>
          <w:rFonts w:ascii="Arial" w:cs="Arial" w:eastAsia="Arial" w:hAnsi="Arial"/>
          <w:sz w:val="20"/>
          <w:szCs w:val="20"/>
          <w:i w:val="1"/>
          <w:iCs w:val="1"/>
          <w:color w:val="212529"/>
        </w:rPr>
        <w:t xml:space="preserve"> </w:t>
      </w:r>
      <w:r>
        <w:rPr>
          <w:rFonts w:ascii="Arial" w:cs="Arial" w:eastAsia="Arial" w:hAnsi="Arial"/>
          <w:sz w:val="17"/>
          <w:szCs w:val="17"/>
          <w:color w:val="212529"/>
        </w:rPr>
        <w:t>with Sprint Corporation (“Sprint”) and subsequently delivered to the Company a notice of Network Technology Conversion, Brand Conversion and Combination Conversion (a “Conversion Notice”) pursuant to the terms of the Company’s affiliate agreement with Sprint. As described in more detail in the Company’s 2019 Annual Report on Form 10-K, our Wireless segment has been an affiliate of Sprint since 1995.</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The affiliate agreement provides for a 90-day period following receipt of the Conversion Notice for the parties to negotiate mutually agreeable terms and conditions under which the Company would continue as an affiliate of T-Mobile. The affiliate agreement further provides that, if T-Mobile and the Company have not negotiated a mutually acceptable agreement within the 90-day period, then T-Mobile would have a period of 60 days thereafter to exercise an option to purchase the assets of our Wireless operations for 90% of the “Entire Business Value” (as defined under our affiliate agreement). If T-Mobile does not exercise its purchase option, the Company would then have a 60-day period to exercise an option to purchase the legacy T-Mobile network and subscribers in our service area. If the Company does not exercise its purchase option, T-Mobile must sell or decommission its legacy network and customers in our service area.</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i w:val="1"/>
          <w:iCs w:val="1"/>
          <w:color w:val="auto"/>
        </w:rPr>
        <w:t xml:space="preserve">COVID-19 </w:t>
      </w:r>
      <w:r>
        <w:rPr>
          <w:rFonts w:ascii="Arial" w:cs="Arial" w:eastAsia="Arial" w:hAnsi="Arial"/>
          <w:sz w:val="17"/>
          <w:szCs w:val="17"/>
          <w:color w:val="auto"/>
        </w:rPr>
        <w:t>: We have been closely monitoring the latest developments around the outbreak of a new strain of coronavirus ("COVID-19") and its impact</w:t>
      </w:r>
      <w:r>
        <w:rPr>
          <w:rFonts w:ascii="Arial" w:cs="Arial" w:eastAsia="Arial" w:hAnsi="Arial"/>
          <w:sz w:val="20"/>
          <w:szCs w:val="20"/>
          <w:i w:val="1"/>
          <w:iCs w:val="1"/>
          <w:color w:val="auto"/>
        </w:rPr>
        <w:t xml:space="preserve"> </w:t>
      </w:r>
      <w:r>
        <w:rPr>
          <w:rFonts w:ascii="Arial" w:cs="Arial" w:eastAsia="Arial" w:hAnsi="Arial"/>
          <w:sz w:val="17"/>
          <w:szCs w:val="17"/>
          <w:color w:val="auto"/>
        </w:rPr>
        <w:t>globally. As we focus on our community and do our part to stop COVID-19 from spreading, we have taken the following actions to keep families and businesses safe and connected virtually:</w:t>
      </w:r>
    </w:p>
    <w:p>
      <w:pPr>
        <w:spacing w:after="0" w:line="175" w:lineRule="exact"/>
        <w:rPr>
          <w:sz w:val="20"/>
          <w:szCs w:val="20"/>
          <w:color w:val="auto"/>
        </w:rPr>
      </w:pPr>
    </w:p>
    <w:p>
      <w:pPr>
        <w:ind w:left="660" w:right="2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our Broadband segment, we expanded our service offerings by temporarily increasing the minimum speed and data allowance of our broadband service to 50 Mbps and by 250 GB, respectively, each at no additional charge, and introducing a new $25 per month prepaid internet service.</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Wireless segment, we have supported Sprint’s adoption of the Keep Americans Connected pledge while temporarily closing approximately 40% of the Sprint branded retail locations in our service area to comply with federal and state mandates.</w:t>
      </w:r>
    </w:p>
    <w:p>
      <w:pPr>
        <w:ind w:left="660" w:right="2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implemented alternative working arrangements where practicable to keep our employees safe and maintained our geographically redundant equipment, diverse fiber facilities and monitoring services to support maximum uptime of all our essential networks and services.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these actions did not have a material impact on our first quarter operating results nor do we expect them to impact our long-term growth prospects, we do expect them to temporarily dislocate our wireless operating momentum until the economies in the markets that we serve re-open.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example, changing macroeconomic factors could impact the collectability of accounts receivable and revenue in our Broadband segment, and macroeconomic factors and the Keep Americans Connected pledge could impact our recognition of wireless service revenue in our Wireless segment in future periods. In addition, the measurement of our contract asset, which is reduced by our estimated obligation to refund amounts that Sprint or T-Mobile are later unable to collect from subscribers, could be impacted by macroeconomic factors, the Keep Americans Connected pledge, or any change to credit or collection policies that T-Mobile might make after its April 1, 2020 acquisition of Sprint.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 focus on our community and do our part to stop COVID-19 from spreading, we will continue to evaluate the impact of COVID-19 on our business and operations, including the effect of related state, local and federal government guidelines. The virus and related macroeconomic factors may impact the demand for our products and services, the ways in which our customers use our products and services and our suppliers’ and vendors’ ability to provide products and services to us. Some of these factors could increase the demand for our products and services, while others could decrease demand or make it more difficult for us to serve our customers. Due to the uncertainty surrounding the magnitude and duration of COVID-19, we are unable at this time to predict the impact of COVID-19 on our financial condition, results of operations or cash flow.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with the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c>
          <w:tcPr>
            <w:tcW w:w="120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 of Revenue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34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153,188</w:t>
            </w:r>
          </w:p>
        </w:tc>
        <w:tc>
          <w:tcPr>
            <w:tcW w:w="124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158,843</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100.0</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130,138</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134,056</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84.4</w:t>
            </w:r>
          </w:p>
        </w:tc>
      </w:tr>
      <w:tr>
        <w:trPr>
          <w:trHeight w:val="258"/>
        </w:trPr>
        <w:tc>
          <w:tcPr>
            <w:tcW w:w="34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23,050</w:t>
            </w:r>
          </w:p>
        </w:tc>
        <w:tc>
          <w:tcPr>
            <w:tcW w:w="1240" w:type="dxa"/>
            <w:vAlign w:val="bottom"/>
          </w:tcPr>
          <w:p>
            <w:pPr>
              <w:jc w:val="right"/>
              <w:ind w:right="24"/>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24,787</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15.6</w:t>
            </w:r>
          </w:p>
        </w:tc>
      </w:tr>
      <w:tr>
        <w:trPr>
          <w:trHeight w:val="594"/>
        </w:trPr>
        <w:tc>
          <w:tcPr>
            <w:tcW w:w="34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(6,211)</w:t>
            </w: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(7,954)</w:t>
            </w:r>
          </w:p>
        </w:tc>
        <w:tc>
          <w:tcPr>
            <w:tcW w:w="12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1,287</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0.8</w:t>
            </w:r>
          </w:p>
        </w:tc>
      </w:tr>
      <w:tr>
        <w:trPr>
          <w:trHeight w:val="258"/>
        </w:trPr>
        <w:tc>
          <w:tcPr>
            <w:tcW w:w="3460" w:type="dxa"/>
            <w:vAlign w:val="bottom"/>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17,572</w:t>
            </w:r>
          </w:p>
        </w:tc>
        <w:tc>
          <w:tcPr>
            <w:tcW w:w="1240" w:type="dxa"/>
            <w:vAlign w:val="bottom"/>
          </w:tcPr>
          <w:p>
            <w:pPr>
              <w:jc w:val="right"/>
              <w:ind w:right="24"/>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18,120</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11.4</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4,292</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4,210</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2.7</w:t>
            </w: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13,280</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13,910</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8.8</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71"/>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7" w:lineRule="exact"/>
        <w:rPr>
          <w:sz w:val="20"/>
          <w:szCs w:val="20"/>
          <w:color w:val="auto"/>
        </w:rPr>
      </w:pPr>
    </w:p>
    <w:p>
      <w:pPr>
        <w:ind w:left="1269" w:hanging="1269"/>
        <w:spacing w:after="0"/>
        <w:tabs>
          <w:tab w:leader="none" w:pos="126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9" w:lineRule="exact"/>
        <w:rPr>
          <w:sz w:val="20"/>
          <w:szCs w:val="20"/>
          <w:color w:val="auto"/>
        </w:rPr>
      </w:pPr>
    </w:p>
    <w:tbl>
      <w:tblPr>
        <w:tblLayout w:type="fixed"/>
        <w:tblInd w:w="129" w:type="dxa"/>
        <w:tblCellMar>
          <w:top w:w="0" w:type="dxa"/>
          <w:left w:w="0" w:type="dxa"/>
          <w:bottom w:w="0" w:type="dxa"/>
          <w:right w:w="0" w:type="dxa"/>
        </w:tblCellMar>
      </w:tblPr>
      <w:tr>
        <w:trPr>
          <w:trHeight w:val="206"/>
        </w:trPr>
        <w:tc>
          <w:tcPr>
            <w:tcW w:w="980" w:type="dxa"/>
            <w:vAlign w:val="bottom"/>
          </w:tcPr>
          <w:p>
            <w:pPr>
              <w:jc w:val="right"/>
              <w:ind w:right="439"/>
              <w:spacing w:after="0"/>
              <w:rPr>
                <w:sz w:val="20"/>
                <w:szCs w:val="20"/>
                <w:color w:val="auto"/>
              </w:rPr>
            </w:pPr>
            <w:r>
              <w:rPr>
                <w:rFonts w:ascii="Arial" w:cs="Arial" w:eastAsia="Arial" w:hAnsi="Arial"/>
                <w:sz w:val="16"/>
                <w:szCs w:val="16"/>
                <w:color w:val="auto"/>
                <w:w w:val="86"/>
              </w:rPr>
              <w:t>(5,655)</w:t>
            </w: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980" w:type="dxa"/>
            <w:vAlign w:val="bottom"/>
          </w:tcPr>
          <w:p>
            <w:pPr>
              <w:jc w:val="right"/>
              <w:ind w:right="439"/>
              <w:spacing w:after="0"/>
              <w:rPr>
                <w:sz w:val="20"/>
                <w:szCs w:val="20"/>
                <w:color w:val="auto"/>
              </w:rPr>
            </w:pPr>
            <w:r>
              <w:rPr>
                <w:rFonts w:ascii="Arial" w:cs="Arial" w:eastAsia="Arial" w:hAnsi="Arial"/>
                <w:sz w:val="16"/>
                <w:szCs w:val="16"/>
                <w:color w:val="auto"/>
                <w:w w:val="86"/>
              </w:rPr>
              <w:t>(3,918)</w:t>
            </w: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83"/>
        </w:trPr>
        <w:tc>
          <w:tcPr>
            <w:tcW w:w="980" w:type="dxa"/>
            <w:vAlign w:val="bottom"/>
          </w:tcPr>
          <w:p>
            <w:pPr>
              <w:jc w:val="right"/>
              <w:ind w:right="439"/>
              <w:spacing w:after="0"/>
              <w:rPr>
                <w:sz w:val="20"/>
                <w:szCs w:val="20"/>
                <w:color w:val="auto"/>
              </w:rPr>
            </w:pPr>
            <w:r>
              <w:rPr>
                <w:rFonts w:ascii="Arial" w:cs="Arial" w:eastAsia="Arial" w:hAnsi="Arial"/>
                <w:sz w:val="16"/>
                <w:szCs w:val="16"/>
                <w:color w:val="auto"/>
                <w:w w:val="86"/>
              </w:rPr>
              <w:t>(1,737)</w:t>
            </w: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388" w:lineRule="exact"/>
        <w:rPr>
          <w:sz w:val="20"/>
          <w:szCs w:val="20"/>
          <w:color w:val="auto"/>
        </w:rPr>
      </w:pPr>
    </w:p>
    <w:p>
      <w:pPr>
        <w:ind w:left="129"/>
        <w:spacing w:after="0"/>
        <w:tabs>
          <w:tab w:leader="none" w:pos="1509" w:val="left"/>
        </w:tabs>
        <w:rPr>
          <w:sz w:val="20"/>
          <w:szCs w:val="20"/>
          <w:color w:val="auto"/>
        </w:rPr>
      </w:pPr>
      <w:r>
        <w:rPr>
          <w:rFonts w:ascii="Arial" w:cs="Arial" w:eastAsia="Arial" w:hAnsi="Arial"/>
          <w:sz w:val="15"/>
          <w:szCs w:val="15"/>
          <w:color w:val="auto"/>
        </w:rPr>
        <w:t>(1,743)</w:t>
      </w:r>
      <w:r>
        <w:rPr>
          <w:sz w:val="20"/>
          <w:szCs w:val="20"/>
          <w:color w:val="auto"/>
        </w:rPr>
        <w:tab/>
      </w:r>
      <w:r>
        <w:rPr>
          <w:rFonts w:ascii="Arial" w:cs="Arial" w:eastAsia="Arial" w:hAnsi="Arial"/>
          <w:sz w:val="15"/>
          <w:szCs w:val="15"/>
          <w:color w:val="auto"/>
        </w:rPr>
        <w:t>(21.9)</w:t>
      </w:r>
    </w:p>
    <w:p>
      <w:pPr>
        <w:spacing w:after="0" w:line="98" w:lineRule="exact"/>
        <w:rPr>
          <w:sz w:val="20"/>
          <w:szCs w:val="20"/>
          <w:color w:val="auto"/>
        </w:rPr>
      </w:pPr>
    </w:p>
    <w:p>
      <w:pPr>
        <w:ind w:left="1529" w:hanging="1282"/>
        <w:spacing w:after="0"/>
        <w:tabs>
          <w:tab w:leader="none" w:pos="1529" w:val="left"/>
        </w:tabs>
        <w:numPr>
          <w:ilvl w:val="0"/>
          <w:numId w:val="8"/>
        </w:numPr>
        <w:rPr>
          <w:rFonts w:ascii="Arial" w:cs="Arial" w:eastAsia="Arial" w:hAnsi="Arial"/>
          <w:sz w:val="15"/>
          <w:szCs w:val="15"/>
          <w:color w:val="auto"/>
        </w:rPr>
      </w:pPr>
      <w:r>
        <w:rPr>
          <w:rFonts w:ascii="Arial" w:cs="Arial" w:eastAsia="Arial" w:hAnsi="Arial"/>
          <w:sz w:val="15"/>
          <w:szCs w:val="15"/>
          <w:color w:val="auto"/>
        </w:rPr>
        <w:t>(43.0)</w:t>
      </w:r>
    </w:p>
    <w:p>
      <w:pPr>
        <w:spacing w:after="0" w:line="111" w:lineRule="exact"/>
        <w:rPr>
          <w:sz w:val="20"/>
          <w:szCs w:val="20"/>
          <w:color w:val="auto"/>
        </w:rPr>
      </w:pPr>
    </w:p>
    <w:p>
      <w:pPr>
        <w:ind w:left="1609" w:hanging="1362"/>
        <w:spacing w:after="0"/>
        <w:tabs>
          <w:tab w:leader="none" w:pos="1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(3.0)</w:t>
      </w:r>
    </w:p>
    <w:p>
      <w:pPr>
        <w:spacing w:after="0" w:line="97" w:lineRule="exact"/>
        <w:rPr>
          <w:rFonts w:ascii="Arial" w:cs="Arial" w:eastAsia="Arial" w:hAnsi="Arial"/>
          <w:sz w:val="15"/>
          <w:szCs w:val="15"/>
          <w:color w:val="auto"/>
        </w:rPr>
      </w:pPr>
    </w:p>
    <w:p>
      <w:pPr>
        <w:ind w:left="389"/>
        <w:spacing w:after="0"/>
        <w:rPr>
          <w:rFonts w:ascii="Arial" w:cs="Arial" w:eastAsia="Arial" w:hAnsi="Arial"/>
          <w:sz w:val="15"/>
          <w:szCs w:val="15"/>
          <w:color w:val="auto"/>
        </w:rPr>
      </w:pPr>
      <w:r>
        <w:rPr>
          <w:rFonts w:ascii="Arial" w:cs="Arial" w:eastAsia="Arial" w:hAnsi="Arial"/>
          <w:sz w:val="16"/>
          <w:szCs w:val="16"/>
          <w:color w:val="auto"/>
        </w:rPr>
        <w:t>82</w:t>
      </w:r>
      <w:r>
        <w:rPr>
          <w:rFonts w:ascii="Arial" w:cs="Arial" w:eastAsia="Arial" w:hAnsi="Arial"/>
          <w:sz w:val="14"/>
          <w:szCs w:val="14"/>
          <w:color w:val="auto"/>
        </w:rPr>
        <w:t>1.9</w:t>
      </w:r>
    </w:p>
    <w:p>
      <w:pPr>
        <w:spacing w:after="0" w:line="113" w:lineRule="exact"/>
        <w:rPr>
          <w:sz w:val="20"/>
          <w:szCs w:val="20"/>
          <w:color w:val="auto"/>
        </w:rPr>
      </w:pPr>
    </w:p>
    <w:p>
      <w:pPr>
        <w:ind w:left="1609" w:hanging="1362"/>
        <w:spacing w:after="0"/>
        <w:tabs>
          <w:tab w:leader="none" w:pos="1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(4.5)</w:t>
      </w:r>
    </w:p>
    <w:p>
      <w:pPr>
        <w:spacing w:after="0" w:line="293" w:lineRule="exact"/>
        <w:rPr>
          <w:sz w:val="20"/>
          <w:szCs w:val="20"/>
          <w:color w:val="auto"/>
        </w:rPr>
      </w:pPr>
    </w:p>
    <w:p>
      <w:pPr>
        <w:sectPr>
          <w:pgSz w:w="11900" w:h="16838" w:orient="portrait"/>
          <w:cols w:equalWidth="0" w:num="2">
            <w:col w:w="8540" w:space="671"/>
            <w:col w:w="2029"/>
          </w:cols>
          <w:pgMar w:left="320" w:top="12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decreased approximately $5.7 million , or 3.6% , during the three months ended March 31, 2020 compared with the three months ended March 31, 2019 , primarily due to a decline of $8.5 million in the Wireless segment, partially offset by growth of $2.9 million and $0.7 million in the Broadband and Tower segments, respectively. The Wireless segment recognized $4.5 million in lower travel revenue in the first quarter of 2020 compared to the first quarter of 2019 due to the ongoing dispute with Sprint over resetting of the travel fee. Refer to the discussion of the results of operations for the Wireless, Broadband and Tower segments, included within this quarterly report,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decreased approximately $3.9 million , or 2.9% , during the three months ended March 31, 2020 compared with the three months ended March 31, 2019 . The decrease was primarily due to a decline in Wireless operating expenses driven by depreciation and amortization expense as certain assets acquired from nTelos became fully depreciated and lower cost of goods sold and selling, general and administrative expenses related to temporary retail store closures. This decrease was partially offset by an increase in Broadband operating expenses incurred for the launch of our new fiber-to-the-home service, Glo Fiber.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Interest expense decreased approximately $1.7 million , or 21.9% , during the three months ended March 31, 2020 compared with the three months ended March 31, 2019 . The decrease in interest expense was primarily attributable to the reduction of the applicable base interest rate by 25 basis points and principal repayments on our Credit Facility term loans, combined with the effect of year-over-year declines in LIBOR.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decreased approximately $0.6 million , or 43.0% , during the three months ended March 31, 2020 compared with the three months ended March 31, 2019 . The decrease was primarily due to a decline in the value of our investments that are used to fund our obligation under the supplemental executive retirement plan.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Wireless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Wireless earns postpaid, prepaid and wholesale revenues from Sprint for their subscribers that use our Wireless network service in our Wireless network coverage area. The Company's wireless revenue is variable based on billed revenues to Sprint's subscribers in our Affiliate Area less applicable fees retained by Sprint. Sprint retains an 8% Management Fee and an 8.6% Net Service Fee on postpaid revenues and a 6% Management Fee on prepaid wireless revenues. For postpaid, the Company is also charged for the costs of subsidized handsets sold through Sprint's national channels as well as commissions paid by Sprint to third-party dealers in our Sprint Affiliate Area.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940" w:type="dxa"/>
            <w:vAlign w:val="bottom"/>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1840" w:type="dxa"/>
            <w:vAlign w:val="bottom"/>
          </w:tcPr>
          <w:p>
            <w:pPr>
              <w:jc w:val="right"/>
              <w:ind w:right="49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840" w:type="dxa"/>
            <w:vAlign w:val="bottom"/>
          </w:tcPr>
          <w:p>
            <w:pPr>
              <w:jc w:val="right"/>
              <w:ind w:right="6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40" w:type="dxa"/>
            <w:vAlign w:val="bottom"/>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Postpaid:</w:t>
            </w: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Retail PCS total subscribers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847,771</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800,952</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Retail PCS phone subscribers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738,410</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722,830</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Retail PCS connected device subscribers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109,361</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78,122</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Gross PCS total subscriber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51,991</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50,847</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Gross PCS phone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36,734</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37,786</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Gross PCS connected device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Net PCS total subscriber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Net PCS phone additions (losses)</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Net PCS connected device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PCS monthly retail total churn %</w:t>
            </w:r>
          </w:p>
        </w:tc>
        <w:tc>
          <w:tcPr>
            <w:tcW w:w="18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PCS monthly phone churn %</w:t>
            </w:r>
          </w:p>
        </w:tc>
        <w:tc>
          <w:tcPr>
            <w:tcW w:w="18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PCS monthly connected device churn %</w:t>
            </w:r>
          </w:p>
        </w:tc>
        <w:tc>
          <w:tcPr>
            <w:tcW w:w="18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Prepaid:</w:t>
            </w: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Retail PCS subscribers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279,096</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267,220</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Gross PCS subscriber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39,074</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Net PCS subscriber additions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PCS monthly retail churn %</w:t>
            </w:r>
          </w:p>
        </w:tc>
        <w:tc>
          <w:tcPr>
            <w:tcW w:w="18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594"/>
        </w:trPr>
        <w:tc>
          <w:tcPr>
            <w:tcW w:w="5540" w:type="dxa"/>
            <w:vAlign w:val="bottom"/>
          </w:tcPr>
          <w:p>
            <w:pPr>
              <w:ind w:left="40"/>
              <w:spacing w:after="0"/>
              <w:rPr>
                <w:sz w:val="20"/>
                <w:szCs w:val="20"/>
                <w:color w:val="auto"/>
              </w:rPr>
            </w:pPr>
            <w:r>
              <w:rPr>
                <w:rFonts w:ascii="Arial" w:cs="Arial" w:eastAsia="Arial" w:hAnsi="Arial"/>
                <w:sz w:val="18"/>
                <w:szCs w:val="18"/>
                <w:color w:val="auto"/>
              </w:rPr>
              <w:t>PCS market POPS (000) (1)</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7,227</w:t>
            </w:r>
          </w:p>
        </w:tc>
        <w:tc>
          <w:tcPr>
            <w:tcW w:w="100" w:type="dxa"/>
            <w:vAlign w:val="bottom"/>
          </w:tcPr>
          <w:p>
            <w:pPr>
              <w:spacing w:after="0"/>
              <w:rPr>
                <w:sz w:val="24"/>
                <w:szCs w:val="24"/>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PCS covered POP (000) (1)</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Macro base stations (cell sites)</w:t>
            </w: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3"/>
                <w:szCs w:val="23"/>
                <w:color w:val="auto"/>
              </w:rPr>
            </w:pPr>
          </w:p>
        </w:tc>
        <w:tc>
          <w:tcPr>
            <w:tcW w:w="1840" w:type="dxa"/>
            <w:vAlign w:val="bottom"/>
          </w:tcPr>
          <w:p>
            <w:pPr>
              <w:jc w:val="right"/>
              <w:ind w:right="91"/>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167"/>
        </w:trPr>
        <w:tc>
          <w:tcPr>
            <w:tcW w:w="554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660" w:hanging="328"/>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The data source for POPS is U.S. census data.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w w:val="99"/>
              </w:rPr>
              <w:t>Wireless results from operations are summarized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6"/>
          </w:tcPr>
          <w:p>
            <w:pPr>
              <w:jc w:val="right"/>
              <w:ind w:right="746"/>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jc w:val="right"/>
              <w:ind w:right="246"/>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34"/>
        </w:trPr>
        <w:tc>
          <w:tcPr>
            <w:tcW w:w="478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jc w:val="right"/>
              <w:ind w:right="106"/>
              <w:spacing w:after="0"/>
              <w:rPr>
                <w:sz w:val="20"/>
                <w:szCs w:val="20"/>
                <w:color w:val="auto"/>
              </w:rPr>
            </w:pPr>
            <w:r>
              <w:rPr>
                <w:rFonts w:ascii="Arial" w:cs="Arial" w:eastAsia="Arial" w:hAnsi="Arial"/>
                <w:sz w:val="18"/>
                <w:szCs w:val="18"/>
                <w:b w:val="1"/>
                <w:bCs w:val="1"/>
                <w:color w:val="auto"/>
                <w:w w:val="98"/>
              </w:rPr>
              <w:t>Revenue</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60"/>
              <w:spacing w:after="0"/>
              <w:rPr>
                <w:sz w:val="20"/>
                <w:szCs w:val="20"/>
                <w:color w:val="auto"/>
              </w:rPr>
            </w:pPr>
            <w:r>
              <w:rPr>
                <w:rFonts w:ascii="Arial" w:cs="Arial" w:eastAsia="Arial" w:hAnsi="Arial"/>
                <w:sz w:val="18"/>
                <w:szCs w:val="18"/>
                <w:color w:val="auto"/>
              </w:rPr>
              <w:t>Wireless revenue:</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300"/>
              <w:spacing w:after="0"/>
              <w:rPr>
                <w:sz w:val="20"/>
                <w:szCs w:val="20"/>
                <w:color w:val="auto"/>
              </w:rPr>
            </w:pPr>
            <w:r>
              <w:rPr>
                <w:rFonts w:ascii="Arial" w:cs="Arial" w:eastAsia="Arial" w:hAnsi="Arial"/>
                <w:sz w:val="18"/>
                <w:szCs w:val="18"/>
                <w:color w:val="auto"/>
              </w:rPr>
              <w:t>Gross postpaid billings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103,096</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101,869</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Allocated bad debt</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(5,013)</w:t>
            </w: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(4,393)</w:t>
            </w: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(6,838)</w:t>
            </w: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(5,188)</w:t>
            </w: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 and net service fee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(16,317)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(16,106)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Total postpaid service revenue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74,928</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76,182</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57"/>
        </w:trPr>
        <w:tc>
          <w:tcPr>
            <w:tcW w:w="4780" w:type="dxa"/>
            <w:vAlign w:val="bottom"/>
          </w:tcPr>
          <w:p>
            <w:pPr>
              <w:ind w:left="300"/>
              <w:spacing w:after="0"/>
              <w:rPr>
                <w:sz w:val="20"/>
                <w:szCs w:val="20"/>
                <w:color w:val="auto"/>
              </w:rPr>
            </w:pPr>
            <w:r>
              <w:rPr>
                <w:rFonts w:ascii="Arial" w:cs="Arial" w:eastAsia="Arial" w:hAnsi="Arial"/>
                <w:sz w:val="18"/>
                <w:szCs w:val="18"/>
                <w:color w:val="auto"/>
              </w:rPr>
              <w:t>Gross prepaid billings</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30,936</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29,533</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(15,892)</w:t>
            </w: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(14,537)</w:t>
            </w:r>
          </w:p>
        </w:tc>
        <w:tc>
          <w:tcPr>
            <w:tcW w:w="9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Total prepaid service revenue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13,109</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13,130</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3"/>
        </w:trPr>
        <w:tc>
          <w:tcPr>
            <w:tcW w:w="4780" w:type="dxa"/>
            <w:vAlign w:val="bottom"/>
          </w:tcPr>
          <w:p>
            <w:pPr>
              <w:ind w:left="300"/>
              <w:spacing w:after="0"/>
              <w:rPr>
                <w:sz w:val="20"/>
                <w:szCs w:val="20"/>
                <w:color w:val="auto"/>
              </w:rPr>
            </w:pPr>
            <w:r>
              <w:rPr>
                <w:rFonts w:ascii="Arial" w:cs="Arial" w:eastAsia="Arial" w:hAnsi="Arial"/>
                <w:sz w:val="18"/>
                <w:szCs w:val="18"/>
                <w:color w:val="auto"/>
              </w:rPr>
              <w:t>Travel and other</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3,351</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8,018</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58"/>
        </w:trPr>
        <w:tc>
          <w:tcPr>
            <w:tcW w:w="4780" w:type="dxa"/>
            <w:vAlign w:val="bottom"/>
          </w:tcPr>
          <w:p>
            <w:pPr>
              <w:ind w:left="420"/>
              <w:spacing w:after="0"/>
              <w:rPr>
                <w:sz w:val="20"/>
                <w:szCs w:val="20"/>
                <w:color w:val="auto"/>
              </w:rPr>
            </w:pPr>
            <w:r>
              <w:rPr>
                <w:rFonts w:ascii="Arial" w:cs="Arial" w:eastAsia="Arial" w:hAnsi="Arial"/>
                <w:sz w:val="18"/>
                <w:szCs w:val="18"/>
                <w:color w:val="auto"/>
              </w:rPr>
              <w:t>Wireless service revenue and other</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91,388</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97,330</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Equipment revenue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12,750</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15,291</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58"/>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revenue</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104,138</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112,621</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5"/>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expenses: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33,439</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32,532</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12,528</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14,427</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9,428</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11,079</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25,299</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30,370</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80,694</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88,408</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23,444</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24,213</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6"/>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34290</wp:posOffset>
            </wp:positionV>
            <wp:extent cx="1405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3" w:lineRule="exact"/>
        <w:rPr>
          <w:sz w:val="20"/>
          <w:szCs w:val="20"/>
          <w:color w:val="auto"/>
        </w:rPr>
      </w:pPr>
    </w:p>
    <w:p>
      <w:pPr>
        <w:ind w:left="1106" w:hanging="1106"/>
        <w:spacing w:after="0"/>
        <w:tabs>
          <w:tab w:leader="none" w:pos="110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34290</wp:posOffset>
            </wp:positionV>
            <wp:extent cx="1405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9" w:lineRule="exact"/>
        <w:rPr>
          <w:sz w:val="20"/>
          <w:szCs w:val="20"/>
          <w:color w:val="auto"/>
        </w:rPr>
      </w:pPr>
    </w:p>
    <w:tbl>
      <w:tblPr>
        <w:tblLayout w:type="fixed"/>
        <w:tblInd w:w="66" w:type="dxa"/>
        <w:tblCellMar>
          <w:top w:w="0" w:type="dxa"/>
          <w:left w:w="0" w:type="dxa"/>
          <w:bottom w:w="0" w:type="dxa"/>
          <w:right w:w="0" w:type="dxa"/>
        </w:tblCellMar>
      </w:tblPr>
      <w:tr>
        <w:trPr>
          <w:trHeight w:val="206"/>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1,227</w:t>
            </w:r>
          </w:p>
        </w:tc>
        <w:tc>
          <w:tcPr>
            <w:tcW w:w="8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70"/>
        </w:trPr>
        <w:tc>
          <w:tcPr>
            <w:tcW w:w="780" w:type="dxa"/>
            <w:vAlign w:val="bottom"/>
          </w:tcPr>
          <w:p>
            <w:pPr>
              <w:jc w:val="right"/>
              <w:ind w:right="319"/>
              <w:spacing w:after="0"/>
              <w:rPr>
                <w:sz w:val="20"/>
                <w:szCs w:val="20"/>
                <w:color w:val="auto"/>
              </w:rPr>
            </w:pPr>
            <w:r>
              <w:rPr>
                <w:rFonts w:ascii="Arial" w:cs="Arial" w:eastAsia="Arial" w:hAnsi="Arial"/>
                <w:sz w:val="16"/>
                <w:szCs w:val="16"/>
                <w:color w:val="auto"/>
              </w:rPr>
              <w:t>620</w:t>
            </w:r>
          </w:p>
        </w:tc>
        <w:tc>
          <w:tcPr>
            <w:tcW w:w="880" w:type="dxa"/>
            <w:vAlign w:val="bottom"/>
          </w:tcPr>
          <w:p>
            <w:pPr>
              <w:jc w:val="right"/>
              <w:spacing w:after="0"/>
              <w:rPr>
                <w:sz w:val="20"/>
                <w:szCs w:val="20"/>
                <w:color w:val="auto"/>
              </w:rPr>
            </w:pPr>
            <w:r>
              <w:rPr>
                <w:rFonts w:ascii="Arial" w:cs="Arial" w:eastAsia="Arial" w:hAnsi="Arial"/>
                <w:sz w:val="16"/>
                <w:szCs w:val="16"/>
                <w:color w:val="auto"/>
              </w:rPr>
              <w:t>14.1 %</w:t>
            </w:r>
          </w:p>
        </w:tc>
      </w:tr>
      <w:tr>
        <w:trPr>
          <w:trHeight w:val="270"/>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1,650</w:t>
            </w:r>
          </w:p>
        </w:tc>
        <w:tc>
          <w:tcPr>
            <w:tcW w:w="880" w:type="dxa"/>
            <w:vAlign w:val="bottom"/>
          </w:tcPr>
          <w:p>
            <w:pPr>
              <w:jc w:val="right"/>
              <w:spacing w:after="0"/>
              <w:rPr>
                <w:sz w:val="20"/>
                <w:szCs w:val="20"/>
                <w:color w:val="auto"/>
              </w:rPr>
            </w:pPr>
            <w:r>
              <w:rPr>
                <w:rFonts w:ascii="Arial" w:cs="Arial" w:eastAsia="Arial" w:hAnsi="Arial"/>
                <w:sz w:val="16"/>
                <w:szCs w:val="16"/>
                <w:color w:val="auto"/>
              </w:rPr>
              <w:t>31.8 %</w:t>
            </w:r>
          </w:p>
        </w:tc>
      </w:tr>
    </w:tbl>
    <w:p>
      <w:pPr>
        <w:spacing w:after="0" w:line="64" w:lineRule="exact"/>
        <w:rPr>
          <w:sz w:val="20"/>
          <w:szCs w:val="20"/>
          <w:color w:val="auto"/>
        </w:rPr>
      </w:pPr>
    </w:p>
    <w:p>
      <w:pPr>
        <w:ind w:left="1346" w:hanging="1147"/>
        <w:spacing w:after="0"/>
        <w:tabs>
          <w:tab w:leader="none" w:pos="1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1.3 %</w:t>
      </w:r>
    </w:p>
    <w:p>
      <w:pPr>
        <w:spacing w:after="0" w:line="122"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(1,254)</w:t>
      </w:r>
      <w:r>
        <w:rPr>
          <w:rFonts w:ascii="Arial" w:cs="Arial" w:eastAsia="Arial" w:hAnsi="Arial"/>
          <w:sz w:val="14"/>
          <w:szCs w:val="14"/>
          <w:color w:val="auto"/>
        </w:rPr>
        <w:t>(1.6)%</w:t>
      </w:r>
    </w:p>
    <w:p>
      <w:pPr>
        <w:spacing w:after="0" w:line="100" w:lineRule="exact"/>
        <w:rPr>
          <w:sz w:val="20"/>
          <w:szCs w:val="20"/>
          <w:color w:val="auto"/>
        </w:rPr>
      </w:pPr>
    </w:p>
    <w:tbl>
      <w:tblPr>
        <w:tblLayout w:type="fixed"/>
        <w:tblInd w:w="66" w:type="dxa"/>
        <w:tblCellMar>
          <w:top w:w="0" w:type="dxa"/>
          <w:left w:w="0" w:type="dxa"/>
          <w:bottom w:w="0" w:type="dxa"/>
          <w:right w:w="0" w:type="dxa"/>
        </w:tblCellMar>
      </w:tblPr>
      <w:tr>
        <w:trPr>
          <w:trHeight w:val="206"/>
        </w:trPr>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1,403</w:t>
            </w:r>
          </w:p>
        </w:tc>
        <w:tc>
          <w:tcPr>
            <w:tcW w:w="84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70"/>
        </w:trPr>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1,355</w:t>
            </w:r>
          </w:p>
        </w:tc>
        <w:tc>
          <w:tcPr>
            <w:tcW w:w="84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70"/>
        </w:trPr>
        <w:tc>
          <w:tcPr>
            <w:tcW w:w="820" w:type="dxa"/>
            <w:vAlign w:val="bottom"/>
          </w:tcPr>
          <w:p>
            <w:pPr>
              <w:jc w:val="right"/>
              <w:ind w:right="359"/>
              <w:spacing w:after="0"/>
              <w:rPr>
                <w:sz w:val="20"/>
                <w:szCs w:val="20"/>
                <w:color w:val="auto"/>
              </w:rPr>
            </w:pPr>
            <w:r>
              <w:rPr>
                <w:rFonts w:ascii="Arial" w:cs="Arial" w:eastAsia="Arial" w:hAnsi="Arial"/>
                <w:sz w:val="16"/>
                <w:szCs w:val="16"/>
                <w:color w:val="auto"/>
              </w:rPr>
              <w:t>69</w:t>
            </w:r>
          </w:p>
        </w:tc>
        <w:tc>
          <w:tcPr>
            <w:tcW w:w="840" w:type="dxa"/>
            <w:vAlign w:val="bottom"/>
          </w:tcPr>
          <w:p>
            <w:pPr>
              <w:jc w:val="right"/>
              <w:spacing w:after="0"/>
              <w:rPr>
                <w:sz w:val="20"/>
                <w:szCs w:val="20"/>
                <w:color w:val="auto"/>
              </w:rPr>
            </w:pPr>
            <w:r>
              <w:rPr>
                <w:rFonts w:ascii="Arial" w:cs="Arial" w:eastAsia="Arial" w:hAnsi="Arial"/>
                <w:sz w:val="16"/>
                <w:szCs w:val="16"/>
                <w:color w:val="auto"/>
              </w:rPr>
              <w:t>3.7 %</w:t>
            </w:r>
          </w:p>
        </w:tc>
      </w:tr>
    </w:tbl>
    <w:p>
      <w:pPr>
        <w:spacing w:after="0" w:line="77" w:lineRule="exact"/>
        <w:rPr>
          <w:sz w:val="20"/>
          <w:szCs w:val="20"/>
          <w:color w:val="auto"/>
        </w:rPr>
      </w:pPr>
    </w:p>
    <w:p>
      <w:pPr>
        <w:ind w:left="1286" w:hanging="1066"/>
        <w:spacing w:after="0"/>
        <w:tabs>
          <w:tab w:leader="none" w:pos="1286" w:val="left"/>
        </w:tabs>
        <w:numPr>
          <w:ilvl w:val="0"/>
          <w:numId w:val="14"/>
        </w:numPr>
        <w:rPr>
          <w:rFonts w:ascii="Arial" w:cs="Arial" w:eastAsia="Arial" w:hAnsi="Arial"/>
          <w:sz w:val="14"/>
          <w:szCs w:val="14"/>
          <w:color w:val="auto"/>
        </w:rPr>
      </w:pPr>
      <w:r>
        <w:rPr>
          <w:rFonts w:ascii="Arial" w:cs="Arial" w:eastAsia="Arial" w:hAnsi="Arial"/>
          <w:sz w:val="14"/>
          <w:szCs w:val="14"/>
          <w:color w:val="auto"/>
        </w:rPr>
        <w:t>(0.2)%</w:t>
      </w:r>
    </w:p>
    <w:p>
      <w:pPr>
        <w:spacing w:after="0" w:line="122"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(4,667)</w:t>
      </w:r>
      <w:r>
        <w:rPr>
          <w:rFonts w:ascii="Arial" w:cs="Arial" w:eastAsia="Arial" w:hAnsi="Arial"/>
          <w:sz w:val="14"/>
          <w:szCs w:val="14"/>
          <w:color w:val="auto"/>
        </w:rPr>
        <w:t>(58.2)%</w:t>
      </w:r>
    </w:p>
    <w:p>
      <w:pPr>
        <w:spacing w:after="0" w:line="99"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(5,942)</w:t>
      </w:r>
      <w:r>
        <w:rPr>
          <w:rFonts w:ascii="Arial" w:cs="Arial" w:eastAsia="Arial" w:hAnsi="Arial"/>
          <w:sz w:val="14"/>
          <w:szCs w:val="14"/>
          <w:color w:val="auto"/>
        </w:rPr>
        <w:t>(6.1)%</w:t>
      </w:r>
    </w:p>
    <w:p>
      <w:pPr>
        <w:spacing w:after="0" w:line="86"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(2,541)</w:t>
      </w:r>
      <w:r>
        <w:rPr>
          <w:rFonts w:ascii="Arial" w:cs="Arial" w:eastAsia="Arial" w:hAnsi="Arial"/>
          <w:sz w:val="14"/>
          <w:szCs w:val="14"/>
          <w:color w:val="auto"/>
        </w:rPr>
        <w:t>(16.6)%</w:t>
      </w:r>
    </w:p>
    <w:p>
      <w:pPr>
        <w:spacing w:after="0" w:line="100" w:lineRule="exact"/>
        <w:rPr>
          <w:sz w:val="20"/>
          <w:szCs w:val="20"/>
          <w:color w:val="auto"/>
        </w:rPr>
      </w:pPr>
    </w:p>
    <w:p>
      <w:pPr>
        <w:ind w:left="26"/>
        <w:spacing w:after="0"/>
        <w:tabs>
          <w:tab w:leader="none" w:pos="1266" w:val="left"/>
        </w:tabs>
        <w:rPr>
          <w:sz w:val="20"/>
          <w:szCs w:val="20"/>
          <w:color w:val="auto"/>
        </w:rPr>
      </w:pPr>
      <w:r>
        <w:rPr>
          <w:rFonts w:ascii="Arial" w:cs="Arial" w:eastAsia="Arial" w:hAnsi="Arial"/>
          <w:sz w:val="14"/>
          <w:szCs w:val="14"/>
          <w:color w:val="auto"/>
        </w:rPr>
        <w:t>(8,483)</w:t>
      </w:r>
      <w:r>
        <w:rPr>
          <w:sz w:val="20"/>
          <w:szCs w:val="20"/>
          <w:color w:val="auto"/>
        </w:rPr>
        <w:tab/>
      </w:r>
      <w:r>
        <w:rPr>
          <w:rFonts w:ascii="Arial" w:cs="Arial" w:eastAsia="Arial" w:hAnsi="Arial"/>
          <w:sz w:val="14"/>
          <w:szCs w:val="14"/>
          <w:color w:val="auto"/>
        </w:rPr>
        <w:t>(7.5)%</w:t>
      </w:r>
    </w:p>
    <w:p>
      <w:pPr>
        <w:spacing w:after="0" w:line="379" w:lineRule="exact"/>
        <w:rPr>
          <w:sz w:val="20"/>
          <w:szCs w:val="20"/>
          <w:color w:val="auto"/>
        </w:rPr>
      </w:pPr>
    </w:p>
    <w:p>
      <w:pPr>
        <w:ind w:left="1346" w:hanging="1153"/>
        <w:spacing w:after="0"/>
        <w:tabs>
          <w:tab w:leader="none" w:pos="1346" w:val="left"/>
        </w:tabs>
        <w:numPr>
          <w:ilvl w:val="0"/>
          <w:numId w:val="15"/>
        </w:numPr>
        <w:rPr>
          <w:rFonts w:ascii="Arial" w:cs="Arial" w:eastAsia="Arial" w:hAnsi="Arial"/>
          <w:sz w:val="14"/>
          <w:szCs w:val="14"/>
          <w:color w:val="auto"/>
        </w:rPr>
      </w:pPr>
      <w:r>
        <w:rPr>
          <w:rFonts w:ascii="Arial" w:cs="Arial" w:eastAsia="Arial" w:hAnsi="Arial"/>
          <w:sz w:val="14"/>
          <w:szCs w:val="14"/>
          <w:color w:val="auto"/>
        </w:rPr>
        <w:t>2.8 %</w:t>
      </w:r>
    </w:p>
    <w:p>
      <w:pPr>
        <w:spacing w:after="0" w:line="109"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(1,899)</w:t>
      </w:r>
      <w:r>
        <w:rPr>
          <w:rFonts w:ascii="Arial" w:cs="Arial" w:eastAsia="Arial" w:hAnsi="Arial"/>
          <w:sz w:val="14"/>
          <w:szCs w:val="14"/>
          <w:color w:val="auto"/>
        </w:rPr>
        <w:t>(13.2)%</w:t>
      </w:r>
    </w:p>
    <w:p>
      <w:pPr>
        <w:spacing w:after="0" w:line="86"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(1,651)</w:t>
      </w:r>
      <w:r>
        <w:rPr>
          <w:rFonts w:ascii="Arial" w:cs="Arial" w:eastAsia="Arial" w:hAnsi="Arial"/>
          <w:sz w:val="14"/>
          <w:szCs w:val="14"/>
          <w:color w:val="auto"/>
        </w:rPr>
        <w:t>(14.9)%</w:t>
      </w:r>
    </w:p>
    <w:p>
      <w:pPr>
        <w:spacing w:after="0" w:line="86" w:lineRule="exact"/>
        <w:rPr>
          <w:rFonts w:ascii="Arial" w:cs="Arial" w:eastAsia="Arial" w:hAnsi="Arial"/>
          <w:sz w:val="14"/>
          <w:szCs w:val="14"/>
          <w:color w:val="auto"/>
        </w:rPr>
      </w:pPr>
    </w:p>
    <w:p>
      <w:pPr>
        <w:ind w:left="26"/>
        <w:spacing w:after="0"/>
        <w:rPr>
          <w:rFonts w:ascii="Arial" w:cs="Arial" w:eastAsia="Arial" w:hAnsi="Arial"/>
          <w:sz w:val="14"/>
          <w:szCs w:val="14"/>
          <w:color w:val="auto"/>
        </w:rPr>
      </w:pPr>
      <w:r>
        <w:rPr>
          <w:rFonts w:ascii="Arial" w:cs="Arial" w:eastAsia="Arial" w:hAnsi="Arial"/>
          <w:sz w:val="16"/>
          <w:szCs w:val="16"/>
          <w:color w:val="auto"/>
        </w:rPr>
        <w:t>(5,071)</w:t>
      </w:r>
      <w:r>
        <w:rPr>
          <w:rFonts w:ascii="Arial" w:cs="Arial" w:eastAsia="Arial" w:hAnsi="Arial"/>
          <w:sz w:val="14"/>
          <w:szCs w:val="14"/>
          <w:color w:val="auto"/>
        </w:rPr>
        <w:t>(16.7)%</w:t>
      </w:r>
    </w:p>
    <w:p>
      <w:pPr>
        <w:spacing w:after="0" w:line="100" w:lineRule="exact"/>
        <w:rPr>
          <w:sz w:val="20"/>
          <w:szCs w:val="20"/>
          <w:color w:val="auto"/>
        </w:rPr>
      </w:pPr>
    </w:p>
    <w:p>
      <w:pPr>
        <w:ind w:left="26"/>
        <w:spacing w:after="0"/>
        <w:tabs>
          <w:tab w:leader="none" w:pos="1266" w:val="left"/>
        </w:tabs>
        <w:rPr>
          <w:sz w:val="20"/>
          <w:szCs w:val="20"/>
          <w:color w:val="auto"/>
        </w:rPr>
      </w:pPr>
      <w:r>
        <w:rPr>
          <w:rFonts w:ascii="Arial" w:cs="Arial" w:eastAsia="Arial" w:hAnsi="Arial"/>
          <w:sz w:val="14"/>
          <w:szCs w:val="14"/>
          <w:color w:val="auto"/>
        </w:rPr>
        <w:t>(7,714)</w:t>
      </w:r>
      <w:r>
        <w:rPr>
          <w:sz w:val="20"/>
          <w:szCs w:val="20"/>
          <w:color w:val="auto"/>
        </w:rPr>
        <w:tab/>
      </w:r>
      <w:r>
        <w:rPr>
          <w:rFonts w:ascii="Arial" w:cs="Arial" w:eastAsia="Arial" w:hAnsi="Arial"/>
          <w:sz w:val="14"/>
          <w:szCs w:val="14"/>
          <w:color w:val="auto"/>
        </w:rPr>
        <w:t>(8.7)%</w:t>
      </w:r>
    </w:p>
    <w:p>
      <w:pPr>
        <w:spacing w:after="0" w:line="136" w:lineRule="exact"/>
        <w:rPr>
          <w:sz w:val="20"/>
          <w:szCs w:val="20"/>
          <w:color w:val="auto"/>
        </w:rPr>
      </w:pPr>
    </w:p>
    <w:p>
      <w:pPr>
        <w:ind w:left="1286" w:hanging="1147"/>
        <w:spacing w:after="0"/>
        <w:tabs>
          <w:tab w:leader="none" w:pos="1286" w:val="left"/>
        </w:tabs>
        <w:numPr>
          <w:ilvl w:val="0"/>
          <w:numId w:val="16"/>
        </w:numPr>
        <w:rPr>
          <w:rFonts w:ascii="Arial" w:cs="Arial" w:eastAsia="Arial" w:hAnsi="Arial"/>
          <w:sz w:val="14"/>
          <w:szCs w:val="14"/>
          <w:color w:val="auto"/>
        </w:rPr>
      </w:pPr>
      <w:r>
        <w:rPr>
          <w:rFonts w:ascii="Arial" w:cs="Arial" w:eastAsia="Arial" w:hAnsi="Arial"/>
          <w:sz w:val="14"/>
          <w:szCs w:val="14"/>
          <w:color w:val="auto"/>
        </w:rPr>
        <w:t>(3.2)%</w:t>
      </w:r>
    </w:p>
    <w:p>
      <w:pPr>
        <w:spacing w:after="0" w:line="305" w:lineRule="exact"/>
        <w:rPr>
          <w:sz w:val="20"/>
          <w:szCs w:val="20"/>
          <w:color w:val="auto"/>
        </w:rPr>
      </w:pPr>
    </w:p>
    <w:p>
      <w:pPr>
        <w:sectPr>
          <w:pgSz w:w="11900" w:h="16838" w:orient="portrait"/>
          <w:cols w:equalWidth="0" w:num="2">
            <w:col w:w="8900" w:space="554"/>
            <w:col w:w="1786"/>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our affiliate agreement with Sprint, we have historically earned and recognized monthly revenue of $1.5 million for providing service to Sprint customers who pass through our network area. While we continue to provide these services to Sprint, the agreed upon payments were suspended by Sprint on April 30, 2019. Accordingly, we have ceased recognizing revenue for the services provided after that date until a new prospective fee can be agreed. We have triggered the final dispute resolution option with Sprint and expect resolution during the second quarter of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Wireless revenue decreased approximately $8.5 million , or 8% , for the three months ended March 31, 2020 compared with the three months ended March 31, 2019 . The decrease was primarily attributable to the aforementioned $4.5 million decline in travel revenue, a $2.5 million decline in equipment revenue as retail stores closed amidst the COVID-19 outbreak, $3.0 million in higher amortized customer contract costs partially offset by a $1.7 million increase in postpaid and prepaid revenue from growth in subscribers.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Cost of services increased approximately $0.9 million , or 3% , for the three months ended March 31, 2020 compared with the three months ended March 31, 2019 , primarily due to higher cell site rent expense related to our network expansion.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Cost of goods sold decreased approximately $1.9 million , or 13% , for the three months ended March 31, 2020 compared with the three months ended March 31, 2019 due to lower volume of equipment sales driven by temporary closure of certain retail stores.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 decreased approximately $1.7 million , or 15% , for the three months ended March 31, 2020 compared with the three months ended March 31, 2019 primarily due to lower advertising expense of approximately $1.0 million , and a $0.8 million sales and use tax settlement gain.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and amortization decreased approximately $5.1 million , or 17% , for the three months ended March 31, 2020 compared with the three months ended March 31, 2019 . Depreciation expense declined $4.6 million as certain assets acquired from nTelos in 2016 became fully depreciated. Amortization expense also declined primarily as a result of our Sprint affiliate contract expansion asset which amortizes under an accelerated method that declines over time.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Broadband segment provides broadband, video and voice services to residential and commercial customers in portions of Virginia, West Virginia, Maryland, and Kentucky, via fiber optic and hybrid fiber coaxial (“HFC”) cable. The Broadband segment also leases dark fiber and provides Ethernet and Wavelength fiber optic services to enterprise and wholesale customers throughout the entirety of our service area. The Broadband segment also provides voice and digital subscriber line (“DSL”) telephone services to customers in Virginia’s Shenandoah County as a Rural Local Exchange Carrier (“RLEC”). These integrated networks are connected by an approximately 6,300 fiber route mile network. This fiber optic network also supports our Wireless segment operations and these intercompany transactions are reported at their market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selected operating statistics of Broadband: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40"/>
              <w:spacing w:after="0"/>
              <w:rPr>
                <w:sz w:val="20"/>
                <w:szCs w:val="20"/>
                <w:color w:val="auto"/>
              </w:rPr>
            </w:pPr>
            <w:r>
              <w:rPr>
                <w:rFonts w:ascii="Arial" w:cs="Arial" w:eastAsia="Arial" w:hAnsi="Arial"/>
                <w:sz w:val="16"/>
                <w:szCs w:val="16"/>
                <w:color w:val="auto"/>
              </w:rPr>
              <w:t>Broadband homes passed (1) (2)</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212,129</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206,113</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Broadband customer relationships (3)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103,287</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95,933</w:t>
            </w:r>
          </w:p>
        </w:tc>
        <w:tc>
          <w:tcPr>
            <w:tcW w:w="0" w:type="dxa"/>
            <w:vAlign w:val="bottom"/>
          </w:tcPr>
          <w:p>
            <w:pPr>
              <w:spacing w:after="0"/>
              <w:rPr>
                <w:sz w:val="1"/>
                <w:szCs w:val="1"/>
                <w:color w:val="auto"/>
              </w:rPr>
            </w:pPr>
          </w:p>
        </w:tc>
      </w:tr>
      <w:tr>
        <w:trPr>
          <w:trHeight w:val="446"/>
        </w:trPr>
        <w:tc>
          <w:tcPr>
            <w:tcW w:w="4940" w:type="dxa"/>
            <w:vAlign w:val="bottom"/>
          </w:tcPr>
          <w:p>
            <w:pPr>
              <w:ind w:left="40"/>
              <w:spacing w:after="0"/>
              <w:rPr>
                <w:sz w:val="20"/>
                <w:szCs w:val="20"/>
                <w:color w:val="auto"/>
              </w:rPr>
            </w:pPr>
            <w:r>
              <w:rPr>
                <w:rFonts w:ascii="Arial" w:cs="Arial" w:eastAsia="Arial" w:hAnsi="Arial"/>
                <w:sz w:val="16"/>
                <w:szCs w:val="16"/>
                <w:color w:val="auto"/>
              </w:rPr>
              <w:t>Video:</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53,067</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59,202</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Digital video penetration (5)</w:t>
            </w:r>
          </w:p>
        </w:tc>
        <w:tc>
          <w:tcPr>
            <w:tcW w:w="138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Broadband:</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86,667</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78,867</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Voice: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31,836</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30,737</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Cable and Glo Fiber RGUs</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171,570</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168,806</w:t>
            </w:r>
          </w:p>
        </w:tc>
        <w:tc>
          <w:tcPr>
            <w:tcW w:w="0" w:type="dxa"/>
            <w:vAlign w:val="bottom"/>
          </w:tcPr>
          <w:p>
            <w:pPr>
              <w:spacing w:after="0"/>
              <w:rPr>
                <w:sz w:val="1"/>
                <w:szCs w:val="1"/>
                <w:color w:val="auto"/>
              </w:rPr>
            </w:pPr>
          </w:p>
        </w:tc>
      </w:tr>
      <w:tr>
        <w:trPr>
          <w:trHeight w:val="540"/>
        </w:trPr>
        <w:tc>
          <w:tcPr>
            <w:tcW w:w="4940" w:type="dxa"/>
            <w:vAlign w:val="bottom"/>
          </w:tcPr>
          <w:p>
            <w:pPr>
              <w:ind w:left="40"/>
              <w:spacing w:after="0"/>
              <w:rPr>
                <w:sz w:val="20"/>
                <w:szCs w:val="20"/>
                <w:color w:val="auto"/>
              </w:rPr>
            </w:pPr>
            <w:r>
              <w:rPr>
                <w:rFonts w:ascii="Arial" w:cs="Arial" w:eastAsia="Arial" w:hAnsi="Arial"/>
                <w:sz w:val="16"/>
                <w:szCs w:val="16"/>
                <w:color w:val="auto"/>
              </w:rPr>
              <w:t>RLEC homes passed</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25,848</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25,798</w:t>
            </w:r>
          </w:p>
        </w:tc>
        <w:tc>
          <w:tcPr>
            <w:tcW w:w="0" w:type="dxa"/>
            <w:vAlign w:val="bottom"/>
          </w:tcPr>
          <w:p>
            <w:pPr>
              <w:spacing w:after="0"/>
              <w:rPr>
                <w:sz w:val="1"/>
                <w:szCs w:val="1"/>
                <w:color w:val="auto"/>
              </w:rPr>
            </w:pPr>
          </w:p>
        </w:tc>
      </w:tr>
      <w:tr>
        <w:trPr>
          <w:trHeight w:val="276"/>
        </w:trPr>
        <w:tc>
          <w:tcPr>
            <w:tcW w:w="4940" w:type="dxa"/>
            <w:vAlign w:val="bottom"/>
          </w:tcPr>
          <w:p>
            <w:pPr>
              <w:ind w:left="40"/>
              <w:spacing w:after="0"/>
              <w:rPr>
                <w:sz w:val="20"/>
                <w:szCs w:val="20"/>
                <w:color w:val="auto"/>
              </w:rPr>
            </w:pPr>
            <w:r>
              <w:rPr>
                <w:rFonts w:ascii="Arial" w:cs="Arial" w:eastAsia="Arial" w:hAnsi="Arial"/>
                <w:sz w:val="18"/>
                <w:szCs w:val="18"/>
                <w:color w:val="auto"/>
              </w:rPr>
              <w:t>RLEC customer relationships (3)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10,111</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11,101</w:t>
            </w: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6"/>
                <w:szCs w:val="16"/>
                <w:color w:val="auto"/>
              </w:rPr>
              <w:t>RLEC RGUs: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380"/>
              <w:spacing w:after="0"/>
              <w:rPr>
                <w:sz w:val="20"/>
                <w:szCs w:val="20"/>
                <w:color w:val="auto"/>
              </w:rPr>
            </w:pPr>
            <w:r>
              <w:rPr>
                <w:rFonts w:ascii="Arial" w:cs="Arial" w:eastAsia="Arial" w:hAnsi="Arial"/>
                <w:sz w:val="16"/>
                <w:szCs w:val="16"/>
                <w:color w:val="auto"/>
              </w:rPr>
              <w:t>Data RLEC</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7,947</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8,744</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70"/>
        </w:trPr>
        <w:tc>
          <w:tcPr>
            <w:tcW w:w="4940" w:type="dxa"/>
            <w:vAlign w:val="bottom"/>
          </w:tcPr>
          <w:p>
            <w:pPr>
              <w:ind w:left="380"/>
              <w:spacing w:after="0"/>
              <w:rPr>
                <w:sz w:val="20"/>
                <w:szCs w:val="20"/>
                <w:color w:val="auto"/>
              </w:rPr>
            </w:pPr>
            <w:r>
              <w:rPr>
                <w:rFonts w:ascii="Arial" w:cs="Arial" w:eastAsia="Arial" w:hAnsi="Arial"/>
                <w:sz w:val="16"/>
                <w:szCs w:val="16"/>
                <w:color w:val="auto"/>
              </w:rPr>
              <w:t>Voice RLEC</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14,137</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RLEC RGUs</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22,084</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24,006</w:t>
            </w:r>
          </w:p>
        </w:tc>
        <w:tc>
          <w:tcPr>
            <w:tcW w:w="0" w:type="dxa"/>
            <w:vAlign w:val="bottom"/>
          </w:tcPr>
          <w:p>
            <w:pPr>
              <w:spacing w:after="0"/>
              <w:rPr>
                <w:sz w:val="1"/>
                <w:szCs w:val="1"/>
                <w:color w:val="auto"/>
              </w:rPr>
            </w:pPr>
          </w:p>
        </w:tc>
      </w:tr>
      <w:tr>
        <w:trPr>
          <w:trHeight w:val="553"/>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Total RGUs</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193,654</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192,812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940" w:type="dxa"/>
            <w:vAlign w:val="bottom"/>
          </w:tcPr>
          <w:p>
            <w:pPr>
              <w:ind w:left="40"/>
              <w:spacing w:after="0"/>
              <w:rPr>
                <w:sz w:val="20"/>
                <w:szCs w:val="20"/>
                <w:color w:val="auto"/>
              </w:rPr>
            </w:pPr>
            <w:r>
              <w:rPr>
                <w:rFonts w:ascii="Arial" w:cs="Arial" w:eastAsia="Arial" w:hAnsi="Arial"/>
                <w:sz w:val="16"/>
                <w:szCs w:val="16"/>
                <w:color w:val="auto"/>
              </w:rPr>
              <w:t>Fiber route miles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6,273</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5,799</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Total fiber miles (6)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334,802</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303,511</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approximately 16,600 RLEC homes passed where we are the dual incumbent telephone and cable provider.</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60" w:hanging="328"/>
        <w:spacing w:after="0" w:line="27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6"/>
              </w:rPr>
              <w:t>Broadband results from operations are summarized as follows: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6"/>
          </w:tcPr>
          <w:p>
            <w:pPr>
              <w:jc w:val="right"/>
              <w:ind w:right="745"/>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right"/>
              <w:ind w:right="265"/>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25"/>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60"/>
              <w:spacing w:after="0"/>
              <w:rPr>
                <w:sz w:val="20"/>
                <w:szCs w:val="20"/>
                <w:color w:val="auto"/>
              </w:rPr>
            </w:pPr>
            <w:r>
              <w:rPr>
                <w:rFonts w:ascii="Arial" w:cs="Arial" w:eastAsia="Arial" w:hAnsi="Arial"/>
                <w:sz w:val="18"/>
                <w:szCs w:val="18"/>
                <w:color w:val="auto"/>
              </w:rPr>
              <w:t>Broadband revenue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200"/>
              <w:spacing w:after="0"/>
              <w:rPr>
                <w:sz w:val="20"/>
                <w:szCs w:val="20"/>
                <w:color w:val="auto"/>
              </w:rPr>
            </w:pPr>
            <w:r>
              <w:rPr>
                <w:rFonts w:ascii="Arial" w:cs="Arial" w:eastAsia="Arial" w:hAnsi="Arial"/>
                <w:sz w:val="18"/>
                <w:szCs w:val="18"/>
                <w:color w:val="auto"/>
              </w:rPr>
              <w:t>Cable, residential and SMB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34,943</w:t>
            </w:r>
          </w:p>
        </w:tc>
        <w:tc>
          <w:tcPr>
            <w:tcW w:w="98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32,426</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69.2</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Fiber, enterprise and wholesale</w:t>
            </w:r>
          </w:p>
        </w:tc>
        <w:tc>
          <w:tcPr>
            <w:tcW w:w="22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7,645</w:t>
            </w:r>
          </w:p>
        </w:tc>
        <w:tc>
          <w:tcPr>
            <w:tcW w:w="9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6,563</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14.0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Rural local exchange carrier</w:t>
            </w:r>
          </w:p>
        </w:tc>
        <w:tc>
          <w:tcPr>
            <w:tcW w:w="22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5,132</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5,681</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12.1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Equipment and other</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2,211</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3"/>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revenue</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46,881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3"/>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3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19,243</w:t>
            </w:r>
          </w:p>
        </w:tc>
        <w:tc>
          <w:tcPr>
            <w:tcW w:w="98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19,061</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40.7</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0.5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9,499</w:t>
            </w:r>
          </w:p>
        </w:tc>
        <w:tc>
          <w:tcPr>
            <w:tcW w:w="98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7,569</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16.1</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76"/>
        </w:trPr>
        <w:tc>
          <w:tcPr>
            <w:tcW w:w="48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9,991</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21.3</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64"/>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operating expenses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39,756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36,832</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78.6</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10,049</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21.4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residential and small and medium business (SMB)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Cable, residential and SMB revenue increased during the three months ended March 31, 2020 approximately $2.5 million , or 7.8% , primarily driven by broadband subscriber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enterprise and wholesale revenue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Fiber, enterprise and wholesale revenue increased during the three months ended March 31, 2020 approximately $1.1 million , or 16.5% , due primarily to an increase in new enterprise and backhaul connections.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Rural local exchange carrier (RLEC)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RLEC revenue decreased approximately $0.5 million , or 9.7% , compared with the three months ended March 31, 2019 due to a decline in residential data subscribers and switched access revenue from other carriers.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were comparable with three months ended March 31, 2019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were comparable with three months ended March 31, 2019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Selling, general and administrative expense increased $1.9 million or 25% compared with the three months ended March 31, 2019 , primarily due to $1.3 million of expenses incurred to support Glo Fiber in four markets and a $0.3 million increase in advertising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Depreciation and amortization increased $0.9 million or 9% , compared with the three months ended March 31, 2019 , primarily as a result of our network expansion and the introduction of fiber to the home service under our brand, Glo Fiber.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Tower segment owns 226 cell towers and leases colocation space on those towers to our Wireless segment, as well as to other wireless communications providers. Substantially all of our owned towers are built on ground that we lease from the respective landlords. The colocation space that we lease to our Wireless segment is priced at our estimate of fair market value, which updates from time to time based upon our observation of the market.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w w:val="99"/>
              </w:rPr>
              <w:t>The following table indicates selected operating statistics of the Tower segment: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0"/>
        </w:trPr>
        <w:tc>
          <w:tcPr>
            <w:tcW w:w="4900" w:type="dxa"/>
            <w:vAlign w:val="bottom"/>
          </w:tcPr>
          <w:p>
            <w:pPr>
              <w:spacing w:after="0"/>
              <w:rPr>
                <w:sz w:val="24"/>
                <w:szCs w:val="24"/>
                <w:color w:val="auto"/>
              </w:rPr>
            </w:pPr>
          </w:p>
        </w:tc>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360" w:type="dxa"/>
            <w:vAlign w:val="bottom"/>
            <w:gridSpan w:val="2"/>
          </w:tcPr>
          <w:p>
            <w:pPr>
              <w:ind w:left="568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7"/>
        </w:trPr>
        <w:tc>
          <w:tcPr>
            <w:tcW w:w="49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Towers owned</w:t>
            </w: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Tenants (1)</w:t>
            </w:r>
          </w:p>
        </w:tc>
        <w:tc>
          <w:tcPr>
            <w:tcW w:w="4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Average tenants per tower</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42"/>
        </w:trPr>
        <w:tc>
          <w:tcPr>
            <w:tcW w:w="49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r>
    </w:tbl>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203 and 175 intercompany tenants for our Wireless segment as of March 31, 2020 and 2019,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Tower results from operations are summarized as follows: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6"/>
          </w:tcPr>
          <w:p>
            <w:pPr>
              <w:jc w:val="right"/>
              <w:ind w:right="741"/>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jc w:val="right"/>
              <w:ind w:right="241"/>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101"/>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7"/>
              <w:spacing w:after="0"/>
              <w:rPr>
                <w:sz w:val="20"/>
                <w:szCs w:val="20"/>
                <w:color w:val="auto"/>
              </w:rPr>
            </w:pPr>
            <w:r>
              <w:rPr>
                <w:rFonts w:ascii="Arial" w:cs="Arial" w:eastAsia="Arial" w:hAnsi="Arial"/>
                <w:sz w:val="18"/>
                <w:szCs w:val="18"/>
                <w:b w:val="1"/>
                <w:bCs w:val="1"/>
                <w:color w:val="auto"/>
              </w:rPr>
              <w:t>%</w:t>
            </w: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2"/>
        </w:trPr>
        <w:tc>
          <w:tcPr>
            <w:tcW w:w="4860" w:type="dxa"/>
            <w:vAlign w:val="bottom"/>
          </w:tcPr>
          <w:p>
            <w:pPr>
              <w:ind w:left="200"/>
              <w:spacing w:after="0"/>
              <w:rPr>
                <w:sz w:val="20"/>
                <w:szCs w:val="20"/>
                <w:color w:val="auto"/>
              </w:rPr>
            </w:pPr>
            <w:r>
              <w:rPr>
                <w:rFonts w:ascii="Arial" w:cs="Arial" w:eastAsia="Arial" w:hAnsi="Arial"/>
                <w:sz w:val="18"/>
                <w:szCs w:val="18"/>
                <w:color w:val="auto"/>
              </w:rPr>
              <w:t>Tower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3,730</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3,033</w:t>
            </w:r>
          </w:p>
        </w:tc>
        <w:tc>
          <w:tcPr>
            <w:tcW w:w="960" w:type="dxa"/>
            <w:vAlign w:val="bottom"/>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Tower operating expenses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1,935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Tower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increased approximately $0.7 million , or 23% , during the three months ended March 31, 2020 compared with the three months ended March 31, 2019 . This increase was due to a 10.9% increase in tenants and an 11.4% increase in the lease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comparable with the prior year quarter.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OIBDA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represents Operating income before depreciation, amortization of intangible assets, stock-based compensation and certain other items of revenue, expense, gain or loss not reflective of our operating performance, which may or may not be recurring in nature.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has limitations as an analytical tool and should not be considered in isolation or as a substitute for operating income, net income or any other measure of financial performance reported in accordance with U.S. Generally Accepted Accounting Principles (“GAAP”).</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to operating income, which we consider to be the most directly comparable GAAP financial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Wireless</w:t>
            </w: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10,030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23,050</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32,468</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OIBDA</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60,386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Non-recurring deal advisory fees</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49,168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20,901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64,201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Wireless</w:t>
            </w: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35,520</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OIBDA</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65,966</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54,583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67,680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and proceeds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Credit Facility.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2020 our cash and cash equivalents totaled $120.2 million and the availability under our revolving line of credit was $75.0 million , for total available liquidity of $195.2 million .</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generated approximately $61.1 million of net cash from operations during the three months ended March 31, 2020 , consistent with the three months ended March 31, 2019 .</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cash used in investing activities decreased $22.4 million during the three months ended March 31, 2020 , compared with the three months ended March 31, 2019 due to the following:</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million decline in acquisitions. In 2019, the Company acquired Big Sandy Broadband, Inc. for $10.0 million .</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$12.1 million decrease in capital expenditures due primarily to a $17.0 million decline in Wireless segment as the Ntelos and Parkersburg network expansions were completed in the first half of 2019 partially offset by $5.0 million in higher spending in Broadband segment driven by our Glo Fiber market expansion.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decreased $12.0 million , or 53.4% , during the three months ended March 31, 2020 primarily driven by:</w:t>
      </w:r>
    </w:p>
    <w:p>
      <w:pPr>
        <w:spacing w:after="0" w:line="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$11.4 million decrease in principal repayments on our term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$0.8 million decrease in payments for taxes related to share-based compensation vesting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 As of March 31, 2020 , the Company’s indebtedness totaled approximately $712.2 million , net of unamortized loan fees of $11.3 million ,</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an annualized overall weighted average interest rate of approximately 3.2% . Refer to Note 8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information about the Company's Credit Facility and financial covenants.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Borrowing Capacity: </w:t>
      </w:r>
      <w:r>
        <w:rPr>
          <w:rFonts w:ascii="Arial" w:cs="Arial" w:eastAsia="Arial" w:hAnsi="Arial"/>
          <w:sz w:val="17"/>
          <w:szCs w:val="17"/>
          <w:color w:val="auto"/>
        </w:rPr>
        <w:t>As of March 31, 2020 , the Company’s outstanding debt principal, under the Credit Facility, totaled $723.5 million ,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annualized effective interest rate of 3.2% after considering the impact of the interest rate swap contracts and unamortized loan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 we were in compliance with the financial covenants in our Credit Facility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cash on hand, available funds under our revolving credit facility, and our cash flow from operations will be sufficient to meet our anticipated liquidity needs for business operations for the next twelve months. There can be no assurance that we will continue to generate cash flows at or above current levels or that we will be able to maintain our ability to borrow under our credit facility. Thereafter, capital expenditures will likely be required to continue planned capital upgrades to the wireless and broadband networks and provide increased capacity to meet expected growth in demand for our products and services. The actual amount and timing of our future capital requirements may differ materially from our estimate depending on the demand for our products and services, including the outcome of a potential amendment of our wireless affiliate agreement with T-Mobile, new market developments and expansion opportunities.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and services, availability of labor resources and capital, changes in our relationship with Sprint, natural disasters, pandemics and outbreaks of contagious diseases and other adverse public health developments, such as COVID-19, and other conditions. The Wireless segment’s operations are dependent upon T-Mobile’s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our Broadband markets, is also critical to our ability to maintain a positive cash flow from operations. The foregoing events individually or collectively could affect our results.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2019 .</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 the Company had $723.5 million of gross variable rate debt outstanding, bearing interest at a weighted average rate of 3.2% . An increase in market interest rates of 1.00% would add approximately $7.1 million to annual interest expense, excluding the effect of our interest rate swaps. The swaps cover notional principal equal to $328.7 million , or approximately 45.4% as of March 31, 2020 . The Company is required to pay a combined fixed rate of approximately 1.16% and receive a variable rate based on one month LIBOR ( 1.60% at March 31, 2020 ), to manage a portion of its interest rate risk. Changes in the net interest paid or received under the swaps would offset a corresponding portion of the change in interest expense on the variable rate debt outstanding.</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disclosed in our Annual Report on Form 10-K for our fiscal year ended December 31, 2019,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 Chief Accounting Officer, have concluded that our disclosure controls and procedures continued to be ineffective as of March 31, 2020.</w:t>
      </w:r>
    </w:p>
    <w:p>
      <w:pPr>
        <w:spacing w:after="0" w:line="20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4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part of the Company’s continued remediation efforts, during the period ended March 31, 2020 the Company hired several experienced accounting professionals to further strengthen its technical accounting and internal control over financial reporting capabilities. Aside from these actions and the ongoing execution of Management's Remediation Plan, there were no changes in our internal control over financial reporting during the most recently completed fiscal quarter that materially affected or are reasonably likely to materially affect our internal control over financial reporting.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discuss in our Annual Report on Form 10-K various risks that may materially affect our business. We use this section to update this discussion to reflect material developments since our Form 10-K was filed. As of March 31, 2020 , except as </w:t>
      </w:r>
      <w:r>
        <w:rPr>
          <w:rFonts w:ascii="Arial" w:cs="Arial" w:eastAsia="Arial" w:hAnsi="Arial"/>
          <w:sz w:val="17"/>
          <w:szCs w:val="17"/>
          <w:color w:val="212529"/>
        </w:rPr>
        <w:t>described below, there have been no significant changes to the</w:t>
      </w:r>
      <w:r>
        <w:rPr>
          <w:rFonts w:ascii="Arial" w:cs="Arial" w:eastAsia="Arial" w:hAnsi="Arial"/>
          <w:sz w:val="17"/>
          <w:szCs w:val="17"/>
          <w:color w:val="auto"/>
        </w:rPr>
        <w:t xml:space="preserve"> </w:t>
      </w:r>
      <w:r>
        <w:rPr>
          <w:rFonts w:ascii="Arial" w:cs="Arial" w:eastAsia="Arial" w:hAnsi="Arial"/>
          <w:sz w:val="17"/>
          <w:szCs w:val="17"/>
          <w:color w:val="212529"/>
        </w:rPr>
        <w:t>Risk Factors previously disclosed in Part I, Item 1A of our Annual Report on Form 10-K for the year ended December 31,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Risks Related to the Business Combination between T-Mobile and Sprint could cause significant volatility in the trading and value of the Company’s common stock</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previously disclosed, on April 1, 2020, T-Mobile US, Inc. (“T-Mobile”) announced the completion of its business combination with Sprint Corporation (“Sprint”) and subsequently delivered to the Company a notice of Network Technology Conversion, Brand Conversion and Combination Conversion (a “Conversion Notice”) pursuant to the terms of the Company’s affiliate agreement with Sprint.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Delivery of the Conversion Notice initiated the process set forth in the affiliate agreement to determine the nature of the Company’s relationship with the combined entity (“New T-Mobile”). The affiliate agreement provides for a 90-day period following receipt of the Conversion Notice for the parties to negotiate mutually agreeable terms and conditions under which the Company would continue as an affiliate of New T-Mobile. The affiliate agreement further provides that, if New T-Mobile and the Company have not negotiated a mutually acceptable agreement within the 90-day period, then New T-Mobile would have a period of 60 days thereafter to exercise an option to purchase the assets of our Wireless operations for 90% of the “Entire Business Value” (as defined under our affiliate agreement). If New T-Mobile does not exercise its purchase option, the Company would then have a 60-day period to exercise an option to purchase the legacy T-Mobile network and subscribers in our service area. If the Company does not exercise its purchase option, New T-Mobile must sell or decommission its legacy network and customers in our service area.</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As previously disclosed, the Company’s management has been in discussions with New T-Mobile regarding the future of the Company’s Wireless operations; however, there can be no assurance as to the outcome of these discussions, including, without limitation, the terms or conditions under which the Company could continue as an affiliate of New T-Mobile or the terms of any purchase of the legacy T-Mobile subscriber and network assets in our service area or the terms to finance such an asset purchase, the timing or terms of any sale of the assets of the Company’s Wireless operations to New T-Mobile (including the value received by the Company pursuant to a negotiated transaction or as a result of the appraisal process under the affiliate agreement), or the use of proceeds from any such sale transaction or the post-closing composition or capital structure of the Company’s remaining operations and business following any such sale transaction. The pending discussions and any ensuring transaction with the New T-Mobile could cause significant volatility in the trading and value of the Company’s common stock.</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affiliate agreement also provides that 90 days following delivery of the Conversion Notice, New T-Mobile may effect a Technology Conversion, Brand Conversion and Combination Conversion (each as defined in the affiliate agreement), following which New T-Mobile is permitted to take certain competitive and other actions that could directly or indirectly adversely affect the Company’s Wireless business and operations.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Uncertainty about the Company’s relationship with New T-Mobile, particularly the effects on customers, distributors, and employees could have a material effect on the Company. These uncertainties may impair our ability to attract and retain customers for our Wireless segment, and retain and motivate key personnel during the pendency of the discussions with New T-Mobile, as existing and prospective employees may experience uncertainty about their future roles with New T-Mobile. Additionally, these uncertainties could cause our third party distributors and dealers to seek to change, cancel or fail to renew existing business relationships with us. Competitors may also target our existing customers by highlighting potential uncertainties and integration difficulties that may result from the uncertainties at this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management and financial resources have been diverted and will continue to be diverted toward the negotiations with New T-Mobile regarding the future of the Company’s Wireless operations. We have incurred, and expect to incur, significant costs, expenses and fees for professional services and other transaction costs in connection with these negotiations and related planning. These costs could adversely affect our financial condition and results of operations prior to the determination of the future of our Wireless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disrupt the operation on our business resulting in adverse impacts to our financial condition, results of operations, and cash flow.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being reported in December 2019 in China, an outbreak of a new strain of coronavirus (“COVID-19”) has spread globally, including to every state in the United States. In March 2020, the World Health Organization declared COVID-19 a 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the impact of COVID-19 on the Company, and there is no guarantee that efforts by Shentel, designed to address adverse impacts of the Coronavirus, will be effective.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Governments in the markets that we operate have mandated residents to stay at home and have temporarily closed businesses that are not considered essential. Although our businesses are considered essential, the Company has temporarily closed approximately 40% of its Sprint branded retail stores as a result of the COVID-19 pandemic, which will adversely affect postpaid subscriber gross additions in the Wireless segment. In addition, the current COVID-19 pandemic, or a future pandemic, could have material and adverse effects on our ability to successfully operate and on our financial condition, results of operations and cash flows due to, among other factors:</w:t>
      </w:r>
    </w:p>
    <w:p>
      <w:pPr>
        <w:spacing w:after="0" w:line="3" w:lineRule="exact"/>
        <w:rPr>
          <w:sz w:val="20"/>
          <w:szCs w:val="20"/>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disruptions or delays in our operations or network performance, as well as network maintenance and construction, testing, supervisory and customer support activities, and inventory and supply procurement;</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operating costs, inventory shortages and/or a decrease in productivity related to travel bans and social distancing efforts, which could include delays in our ability to install broadband services at customer locations or require our vendors and contractors to incur additional costs that may be passed onto us;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deterioration in our ability to operate in affected areas or delays in the supply of products or services to us from vendors that are needed for our efficient operations;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the ability of our counterparties to meet their obligations to us in full,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general reduction in business and economic activity may severely impact our customers and may cause them to be unable to pay for services provided; and</w:t>
      </w: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Shentel has implemented policies and procedures designed to mitigate the risk of adverse impacts of the COVID-19 pandemic, or a future pandemic, on the Company’s operations, but it may incur additional costs to ensure continuity of business operations caused by COVID-19,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about shares repurchased during the first quarter ended March 31, 2020, to settle employee tax withholding related to the vesting of stock awards. There have been no repurchases of shares during the months of January, February and March 2020 through the share repurchase program.</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Publicly</w:t>
            </w:r>
          </w:p>
        </w:tc>
        <w:tc>
          <w:tcPr>
            <w:tcW w:w="100" w:type="dxa"/>
            <w:vAlign w:val="bottom"/>
          </w:tcPr>
          <w:p>
            <w:pPr>
              <w:spacing w:after="0"/>
              <w:rPr>
                <w:sz w:val="18"/>
                <w:szCs w:val="18"/>
                <w:color w:val="auto"/>
              </w:rPr>
            </w:pPr>
          </w:p>
        </w:tc>
        <w:tc>
          <w:tcPr>
            <w:tcW w:w="2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Approximate Dollar Value that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i w:val="1"/>
                <w:iCs w:val="1"/>
                <w:color w:val="auto"/>
              </w:rPr>
              <w:t>($ in thousands, except per share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May Yet be Purchased under the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8"/>
                <w:szCs w:val="18"/>
                <w:i w:val="1"/>
                <w:iCs w:val="1"/>
                <w:color w:val="auto"/>
              </w:rPr>
              <w:t>amounts)</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Surrendered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b w:val="1"/>
                <w:bCs w:val="1"/>
                <w:color w:val="auto"/>
              </w:rPr>
              <w:t>Plans or Programs</w:t>
            </w:r>
          </w:p>
        </w:tc>
        <w:tc>
          <w:tcPr>
            <w:tcW w:w="0" w:type="dxa"/>
            <w:vAlign w:val="bottom"/>
          </w:tcPr>
          <w:p>
            <w:pPr>
              <w:spacing w:after="0"/>
              <w:rPr>
                <w:sz w:val="1"/>
                <w:szCs w:val="1"/>
                <w:color w:val="auto"/>
              </w:rPr>
            </w:pPr>
          </w:p>
        </w:tc>
      </w:tr>
      <w:tr>
        <w:trPr>
          <w:trHeight w:val="27"/>
        </w:trPr>
        <w:tc>
          <w:tcPr>
            <w:tcW w:w="3000" w:type="dxa"/>
            <w:vAlign w:val="bottom"/>
            <w:vMerge w:val="restart"/>
          </w:tcPr>
          <w:p>
            <w:pPr>
              <w:spacing w:after="0"/>
              <w:rPr>
                <w:sz w:val="20"/>
                <w:szCs w:val="20"/>
                <w:color w:val="auto"/>
              </w:rPr>
            </w:pPr>
            <w:r>
              <w:rPr>
                <w:rFonts w:ascii="Arial" w:cs="Arial" w:eastAsia="Arial" w:hAnsi="Arial"/>
                <w:sz w:val="18"/>
                <w:szCs w:val="18"/>
                <w:color w:val="auto"/>
              </w:rPr>
              <w:t>January 1 to January 31</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February 1 to February 29</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42,398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3"/>
                <w:szCs w:val="23"/>
                <w:color w:val="auto"/>
              </w:rPr>
            </w:pP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March 1 to March 31</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3"/>
                <w:szCs w:val="23"/>
                <w:color w:val="auto"/>
              </w:rPr>
            </w:pP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
        </w:trPr>
        <w:tc>
          <w:tcPr>
            <w:tcW w:w="3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42,412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220"/>
        <w:spacing w:after="0"/>
        <w:tabs>
          <w:tab w:leader="none" w:pos="59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Exhibit</w:t>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32">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Rule 13a-14(a) under the Securities Exchange Act of 1934.</w:t>
      </w:r>
    </w:p>
    <w:p>
      <w:pPr>
        <w:spacing w:after="0" w:line="333"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33">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387"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34">
        <w:r>
          <w:rPr>
            <w:rFonts w:ascii="Arial" w:cs="Arial" w:eastAsia="Arial" w:hAnsi="Arial"/>
            <w:sz w:val="18"/>
            <w:szCs w:val="18"/>
            <w:u w:val="single" w:color="auto"/>
            <w:color w:val="0000FF"/>
          </w:rPr>
          <w:t>31.3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200" w:lineRule="exact"/>
        <w:rPr>
          <w:sz w:val="20"/>
          <w:szCs w:val="20"/>
          <w:color w:val="auto"/>
        </w:rPr>
      </w:pPr>
    </w:p>
    <w:p>
      <w:pPr>
        <w:spacing w:after="0" w:line="214" w:lineRule="exact"/>
        <w:rPr>
          <w:sz w:val="20"/>
          <w:szCs w:val="20"/>
          <w:color w:val="auto"/>
        </w:rPr>
      </w:pPr>
    </w:p>
    <w:p>
      <w:pPr>
        <w:ind w:left="460"/>
        <w:spacing w:after="0"/>
        <w:tabs>
          <w:tab w:leader="none" w:pos="128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32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33" w:lineRule="exact"/>
        <w:rPr>
          <w:sz w:val="20"/>
          <w:szCs w:val="20"/>
          <w:color w:val="auto"/>
        </w:rPr>
      </w:pPr>
    </w:p>
    <w:p>
      <w:pPr>
        <w:ind w:left="1300" w:hanging="83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76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w:t>
            </w:r>
          </w:p>
        </w:tc>
      </w:tr>
      <w:tr>
        <w:trPr>
          <w:trHeight w:val="230"/>
        </w:trPr>
        <w:tc>
          <w:tcPr>
            <w:tcW w:w="100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are embedded within the Inline XBRL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00"/>
          </w:cols>
          <w:pgMar w:left="320" w:top="125" w:right="9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Chase L. Stobbe, certify that:</w:t>
      </w:r>
    </w:p>
    <w:p>
      <w:pPr>
        <w:spacing w:after="0" w:line="11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2"/>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/s/CHASE L. STOBBE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Chase L. Stobbe,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t>EXHIBIT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70" w:lineRule="exact"/>
        <w:rPr>
          <w:sz w:val="20"/>
          <w:szCs w:val="20"/>
          <w:color w:val="auto"/>
        </w:rPr>
      </w:pPr>
    </w:p>
    <w:p>
      <w:pPr>
        <w:ind w:firstLine="656"/>
        <w:spacing w:after="0" w:line="342" w:lineRule="auto"/>
        <w:tabs>
          <w:tab w:leader="none" w:pos="121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2020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2020</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Fincncial Officer)</w:t>
      </w:r>
    </w:p>
    <w:p>
      <w:pPr>
        <w:spacing w:after="0" w:line="63"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April 30, 2020</w:t>
      </w:r>
    </w:p>
    <w:p>
      <w:pPr>
        <w:spacing w:after="0" w:line="2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20"/>
      </w:cols>
      <w:pgMar w:left="320" w:top="8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7"/>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554"/>
    </w:lvl>
  </w:abstractNum>
  <w:abstractNum w:abstractNumId="8">
    <w:nsid w:val="3F2DBA31"/>
    <w:multiLevelType w:val="hybridMultilevel"/>
    <w:lvl w:ilvl="0">
      <w:lvlJc w:val="left"/>
      <w:lvlText w:val="(%1)"/>
      <w:numFmt w:val="decimal"/>
      <w:start w:val="548"/>
    </w:lvl>
  </w:abstractNum>
  <w:abstractNum w:abstractNumId="9">
    <w:nsid w:val="7C83E458"/>
    <w:multiLevelType w:val="hybridMultilevel"/>
    <w:lvl w:ilvl="0">
      <w:lvlJc w:val="left"/>
      <w:lvlText w:val="(%1)"/>
      <w:numFmt w:val="decimal"/>
      <w:start w:val="630"/>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211"/>
    </w:lvl>
  </w:abstractNum>
  <w:abstractNum w:abstractNumId="13">
    <w:nsid w:val="628C895D"/>
    <w:multiLevelType w:val="hybridMultilevel"/>
    <w:lvl w:ilvl="0">
      <w:lvlJc w:val="left"/>
      <w:lvlText w:val="(%1)"/>
      <w:numFmt w:val="decimal"/>
      <w:start w:val="21"/>
    </w:lvl>
  </w:abstractNum>
  <w:abstractNum w:abstractNumId="14">
    <w:nsid w:val="333AB105"/>
    <w:multiLevelType w:val="hybridMultilevel"/>
    <w:lvl w:ilvl="0">
      <w:lvlJc w:val="left"/>
      <w:lvlText w:val="%1"/>
      <w:numFmt w:val="decimal"/>
      <w:start w:val="907"/>
    </w:lvl>
  </w:abstractNum>
  <w:abstractNum w:abstractNumId="15">
    <w:nsid w:val="721DA317"/>
    <w:multiLevelType w:val="hybridMultilevel"/>
    <w:lvl w:ilvl="0">
      <w:lvlJc w:val="left"/>
      <w:lvlText w:val="(%1)"/>
      <w:numFmt w:val="decimal"/>
      <w:start w:val="769"/>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6"/>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6">
    <w:nsid w:val="71F324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2020-04-30T07:41:33Z</dcterms:created>
  <dcterms:modified xsi:type="dcterms:W3CDTF">2020-04-30T07:41:33Z</dcterms:modified>
</cp:coreProperties>
</file>